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group-5e279e7ac69ecf132365</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Generalized Design Methodology for Dual-Arm Robotic Platforms: From Conceptualization to Experimental Validation Within the MANiBOT Framework — https://doi.org/10.3390/machines14010074</w:t>
      </w:r>
    </w:p>
    <w:p>
      <w:pPr/>
      <w:r>
        <w:rPr>
          <w:b/>
        </w:rPr>
        <w:t>Later source:</w:t>
      </w:r>
      <w:r>
        <w:t xml:space="preserve"> Consensus research priorities for cancer nursing in Europe: A Delphi study — https://doi.org/10.1016/j.ejon.2026.103102</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group-152913120218f7951d99</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The impact of population ageing on temperature-related mortality projections in the Czech Republic — https://doi.org/10.1088/2752-5295/aea925</w:t>
      </w:r>
    </w:p>
    <w:p>
      <w:pPr/>
      <w:r>
        <w:rPr>
          <w:b/>
        </w:rPr>
        <w:t>Later source:</w:t>
      </w:r>
      <w:r>
        <w:t xml:space="preserve"> Spatiotemporal dynamics of leptospirosis in Europe: a retrospective observational study with prospective projections — https://doi.org/10.1016/j.lanepe.2026.101671</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group-a45a9cbf63ddb8b48e22</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The Role and Significance of Rail Transport in the Decarbonisation of the EU Transport Sector — https://doi.org/10.3390/smartcities9040064</w:t>
      </w:r>
    </w:p>
    <w:p>
      <w:pPr/>
      <w:r>
        <w:rPr>
          <w:b/>
        </w:rPr>
        <w:t>Later source:</w:t>
      </w:r>
      <w:r>
        <w:t xml:space="preserve"> Slow but tangible progress: the economic dividends of decarbonisation in Cyprus — https://openalex.org/W7159555102</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group-51c9ed7237a974eaf320</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Models of science financing in the context of European integration: analysis of European practices and prospects for Ukraine — https://doi.org/10.15407/etet2026.02.089</w:t>
      </w:r>
    </w:p>
    <w:p>
      <w:pPr/>
      <w:r>
        <w:rPr>
          <w:b/>
        </w:rPr>
        <w:t>Later source:</w:t>
      </w:r>
      <w:r>
        <w:t xml:space="preserve"> Research Infrastructures and the Open Science Roadmap: European and Italian Strategies and Policies — https://doi.org/10.1007/978-3-032-29575-0_2</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group-4316fa6c61e835956ddc</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New ensemble of regional climate projections for Europe — https://doi.org/10.5281/zenodo.20340839</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group-14c442c3a3c65a345320</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Virome analysis reveals ORF7 sequences of type 2 porcine respiratory and reproductive syndrome virus (PRRSV) for the first time in a rodent host (Microtus pennsylvanicus) — https://doi.org/10.1016/j.onehlt.2026.101345</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group-66b7d513ad4fc1692533</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Prioritizing light-vehicle electrification cities through real-world pollution-based GIS assessment — https://doi.org/10.1016/j.trd.2026.105242</w:t>
      </w:r>
    </w:p>
    <w:p>
      <w:pPr/>
      <w:r>
        <w:rPr>
          <w:b/>
        </w:rPr>
        <w:t>Later source:</w:t>
      </w:r>
      <w:r>
        <w:t xml:space="preserve"> Air pollution and greenspace exposure disparities revealed by hyperlocal exposure metrics across European cities — https://doi.org/10.1038/s44458-026-00046-6</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group-a6d617a3312cae84a351</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A tissue time machine to forward-predict single-timepoint data applied to tuberculosis granulomas — https://doi.org/10.64898/2026.10.09.758083</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group-9422e337a23c671de31d</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Placebo and nocebo in clinical practice: An online cross-sectional survey of healthcare professionals from European countries on views, practices and training needs — https://doi.org/10.1371/journal.pone.0338905</w:t>
      </w:r>
    </w:p>
    <w:p>
      <w:pPr/>
      <w:r>
        <w:rPr>
          <w:b/>
        </w:rPr>
        <w:t>Later source:</w:t>
      </w:r>
      <w:r>
        <w:t xml:space="preserve"> Education and training of home hemodialysis patients in Europe: a scoping review — https://doi.org/10.33393/gcnd.2026.3589</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group-7221952170cae140aa3f</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Need for Synergy in Foresight Research for Healthcare and Medical Sciences — https://doi.org/10.36401/iddb-25-1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group-8798e3eeac521858f027</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The European Dilemma—Energy Security or Green Transition — https://doi.org/10.3390/en16093849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group-03e565fcba278780486b</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Value-Engineered Design Optimization of a Recycled Plastic Bracket to Meet Natural Frequency Targets in Passenger Vehicles — https://doi.org/10.4271/2026-26-0355</w:t>
      </w:r>
    </w:p>
    <w:p>
      <w:pPr/>
      <w:r>
        <w:rPr>
          <w:b/>
        </w:rPr>
        <w:t>Later source:</w:t>
      </w:r>
      <w:r>
        <w:t xml:space="preserve"> Fleet renewal and retrofit for emission reductions in offshore logistics — https://doi.org/10.1016/j.martra.2026.100150</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group-2ae19a6a95c3444dd982</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IT SECTOR AS A FACTOR OF ECONOMIC STABILITY AND RECOVERY OF THE NATIONAL ECONOMY OF UKRAINE — https://doi.org/10.31732/2663-2209-2026-81-78-87</w:t>
      </w:r>
    </w:p>
    <w:p>
      <w:pPr/>
      <w:r>
        <w:rPr>
          <w:b/>
        </w:rPr>
        <w:t>Later source:</w:t>
      </w:r>
      <w:r>
        <w:t xml:space="preserve"> Agricultural Development and Industrialisation in South Korea: A Three-level Analysis of Productivity, Inter-sectoral Linkages, and GHGs Emissions — https://doi.org/10.25501/soas.01025535</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group-19d46632548a73b75e2a</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Research on the applicability of alternative decarbonization methods for cruise ships — https://doi.org/10.63662/dissertations/petrova-2025</w:t>
      </w:r>
    </w:p>
    <w:p>
      <w:pPr/>
      <w:r>
        <w:rPr>
          <w:b/>
        </w:rPr>
        <w:t>Later source:</w:t>
      </w:r>
      <w:r>
        <w:t xml:space="preserve"> Decarbonization Pathways in the European Union: Sectoral Contributions to CO2 Emissions Reductions (2000–2022) — https://doi.org/10.3390/environments13030163</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group-ce477d8ac1dc8600e920</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Revolution Inside Wells’s War — https://doi.org/10.1093/9780191993800.003.0015</w:t>
      </w:r>
    </w:p>
    <w:p>
      <w:pPr/>
      <w:r>
        <w:rPr>
          <w:b/>
        </w:rPr>
        <w:t>Later source:</w:t>
      </w:r>
      <w:r>
        <w:t xml:space="preserve"> “The Ultimate Hustlers”: Markets, Single Mothers, and Radical Care Praxis in Kampala, Uganda — https://doi.org/10.1080/24694452.2026.2659159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group-8aa96360dd06055d89af</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Final report: Project 2.4.2 Accelerating Food Transformation — https://doi.org/10.5204/eprints.264226</w:t>
      </w:r>
    </w:p>
    <w:p>
      <w:pPr/>
      <w:r>
        <w:rPr>
          <w:b/>
        </w:rPr>
        <w:t>Later source:</w:t>
      </w:r>
      <w:r>
        <w:t xml:space="preserve"> Globalization and digital transformation: are impacts on skills and inequality in four future scenarios converging? — https://doi.org/10.1080/13511610.2026.2656886</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group-f060f62a674a2adb6678</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Assessment of Socio-Economic Impacts of Hyperloop Technology on European Trade Routes — https://doi.org/10.3390/economies13030065</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group-13163fd37c71ede7336e</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RESEARCH ON FACTORS INFLUENCING THE STATE BUDGET AND ECONOMIC GROWTH IN THE EUROPEAN UNION — https://doi.org/10.65631/jes.2.2026.6</w:t>
      </w:r>
    </w:p>
    <w:p>
      <w:pPr/>
      <w:r>
        <w:rPr>
          <w:b/>
        </w:rPr>
        <w:t>Later source:</w:t>
      </w:r>
      <w:r>
        <w:t xml:space="preserve"> RESEARCH ON FACTORS INFLUENCING THE STATE BUDGET AND ECONOMIC GROWTH IN THE EUROPEAN UNION — https://doi.org/10.65631/jes.1.2026.9</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group-dd6aea3bfa4170e6d0db</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Climate matters: Differences in trends and drivers of summer humid heat in Europe and the Southeast United States — https://doi.org/10.5194/egusphere-egu26-1886</w:t>
      </w:r>
    </w:p>
    <w:p>
      <w:pPr/>
      <w:r>
        <w:rPr>
          <w:b/>
        </w:rPr>
        <w:t>Later source:</w:t>
      </w:r>
      <w:r>
        <w:t xml:space="preserve"> Challenges in digitalization in outdoor recreation: The example of the European pond turtle — https://doi.org/10.1016/j.jort.2026.101095</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group-7fe689dea6cab7c6f375</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Comparative Analysis of the Views of Rodney Stark and Bryan Wilson in the Context of Secularisation Paradigms — https://doi.org/10.35415/sirnakifd.1538315</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group-db5a35209ff54ef96e06</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Transnational Solidarities and Competing Visions of Europe: Vienna's Vote on the Russo‐Japanese War — https://doi.org/10.1111/1468-229x.13327</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group-cdb9e311f29369ec4ff5</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group-33e5cdbb4b59e2872e2f</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Autochthonous transmission of dengue in Europe, with special attention to the Spanish context — https://doi.org/10.1017/s095026882610123x</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group-60081e051c1879617871</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Comparative analysis of digital ecosystems for agri-food sector governance in Russia and the European Union — https://doi.org/10.31442/0235-2494-2026-0-2-10-17</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group-5e4b0105e26d98992509</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Entrepreneurial Universities and Digital Maturity: Qualitative Evaluation of a Change-Ready Culture and Research Propositions — https://doi.org/10.3390/world7040055</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Exploring scenario guided pathways for food assistance in Tuscany</w:t>
      </w:r>
    </w:p>
    <w:p>
      <w:pPr>
        <w:pStyle w:val="SourceNote"/>
      </w:pPr>
      <w:r>
        <w:rPr>
          <w:b/>
        </w:rPr>
        <w:t>Group ID:</w:t>
      </w:r>
      <w:r>
        <w:t xml:space="preserve"> group-14fcf29842dc5c8b6520</w:t>
      </w:r>
    </w:p>
    <w:p>
      <w:pPr>
        <w:pStyle w:val="SourceNote"/>
      </w:pPr>
      <w:r>
        <w:rPr>
          <w:b/>
        </w:rPr>
        <w:t>Original source:</w:t>
      </w:r>
      <w:r>
        <w:t xml:space="preserve"> https://doi.org/10.13128/bae-18520</w:t>
      </w:r>
    </w:p>
    <w:p>
      <w:pPr/>
      <w:r>
        <w:rPr>
          <w:b/>
        </w:rPr>
        <w:t>Original future claim:</w:t>
      </w:r>
      <w:r>
        <w:t xml:space="preserve"> We combine the strengths of back-casted planning, which develops desirable pathways for the future, and explorative scenarios that describe plausible future contexts.</w:t>
      </w:r>
    </w:p>
    <w:p>
      <w:pPr/>
      <w:r>
        <w:rPr>
          <w:b/>
        </w:rPr>
        <w:t>Later source:</w:t>
      </w:r>
      <w:r>
        <w:t xml:space="preserve"> Evaluating Energy Transition Winners and Losers: Are Algae Biofuels Desirable, Feasible, and Viable? — https://doi.org/10.26076/1de1-5a58</w:t>
      </w:r>
    </w:p>
    <w:p>
      <w:pPr/>
      <w:r>
        <w:rPr>
          <w:b/>
        </w:rPr>
        <w:t>Later source:</w:t>
      </w:r>
      <w:r>
        <w:t xml:space="preserve"> Experimental measurement of the residual strength of particulate materials — https://doi.org/10.1201/9780203743317-22</w:t>
      </w:r>
    </w:p>
    <w:p>
      <w:pPr>
        <w:pStyle w:val="SourceNote"/>
      </w:pPr>
      <w:r>
        <w:rPr>
          <w:b/>
        </w:rPr>
        <w:t>Review status:</w:t>
      </w:r>
      <w:r>
        <w:t xml:space="preserve"> unchecked — possible relationship only</w:t>
      </w:r>
    </w:p>
    <w:p>
      <w:pPr>
        <w:pStyle w:val="Heading2"/>
      </w:pPr>
      <w:r>
        <w:t>60.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61. Claim + two later sources: Using scenarios to assess the future supply of NHS nursing staff in England</w:t>
      </w:r>
    </w:p>
    <w:p>
      <w:pPr>
        <w:pStyle w:val="SourceNote"/>
      </w:pPr>
      <w:r>
        <w:rPr>
          <w:b/>
        </w:rPr>
        <w:t>Group ID:</w:t>
      </w:r>
      <w:r>
        <w:t xml:space="preserve"> group-0da9b8e31123af83999c</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Cladodes of Opuntia ficus-indica (L.) Mill. Possess Important Beneficial Properties Dependent on Their Different Stages of Maturity — https://doi.org/10.3390/plants13101365</w:t>
      </w:r>
    </w:p>
    <w:p>
      <w:pPr>
        <w:pStyle w:val="SourceNote"/>
      </w:pPr>
      <w:r>
        <w:rPr>
          <w:b/>
        </w:rPr>
        <w:t>Review status:</w:t>
      </w:r>
      <w:r>
        <w:t xml:space="preserve"> unchecked — possible relationship only</w:t>
      </w:r>
    </w:p>
    <w:p>
      <w:pPr>
        <w:pStyle w:val="Heading2"/>
      </w:pPr>
      <w:r>
        <w:t>62.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63.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64.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65. Claim + two later sources: Beyond Futures: Designing Futures by Educating Future Designers</w:t>
      </w:r>
    </w:p>
    <w:p>
      <w:pPr>
        <w:pStyle w:val="SourceNote"/>
      </w:pPr>
      <w:r>
        <w:rPr>
          <w:b/>
        </w:rPr>
        <w:t>Group ID:</w:t>
      </w:r>
      <w:r>
        <w:t xml:space="preserve"> group-823ba617a61346303cfe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Manifestos and manifestations: The role of a solar designer — https://doi.org/10.1016/j.yjoc.2026.100131</w:t>
      </w:r>
    </w:p>
    <w:p>
      <w:pPr/>
      <w:r>
        <w:rPr>
          <w:b/>
        </w:rPr>
        <w:t>Later source:</w:t>
      </w:r>
      <w:r>
        <w:t xml:space="preserve"> The Designers’ Perspective on Autonomous Mining Systems and Sociotechnology — https://doi.org/10.1007/s42461-024-00952-0</w:t>
      </w:r>
    </w:p>
    <w:p>
      <w:pPr>
        <w:pStyle w:val="SourceNote"/>
      </w:pPr>
      <w:r>
        <w:rPr>
          <w:b/>
        </w:rPr>
        <w:t>Review status:</w:t>
      </w:r>
      <w:r>
        <w:t xml:space="preserve"> unchecked — possible relationship only</w:t>
      </w:r>
    </w:p>
    <w:p>
      <w:pPr>
        <w:pStyle w:val="Heading2"/>
      </w:pPr>
      <w:r>
        <w:t>66. Claim + two later sources: Baltic herring for food: Shades of grey in how backcasting recommendations work across exploratory scenarios</w:t>
      </w:r>
    </w:p>
    <w:p>
      <w:pPr>
        <w:pStyle w:val="SourceNote"/>
      </w:pPr>
      <w:r>
        <w:rPr>
          <w:b/>
        </w:rPr>
        <w:t>Group ID:</w:t>
      </w:r>
      <w:r>
        <w:t xml:space="preserve"> group-9a3c5aa030838ea13326</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Case Study: The BBC's Recommendations Team — https://doi.org/10.6084/m9.figshare.31869499</w:t>
      </w:r>
    </w:p>
    <w:p>
      <w:pPr>
        <w:pStyle w:val="SourceNote"/>
      </w:pPr>
      <w:r>
        <w:rPr>
          <w:b/>
        </w:rPr>
        <w:t>Review status:</w:t>
      </w:r>
      <w:r>
        <w:t xml:space="preserve"> unchecked — possible relationship only</w:t>
      </w:r>
    </w:p>
    <w:p>
      <w:pPr>
        <w:pStyle w:val="Heading2"/>
      </w:pPr>
      <w:r>
        <w:t>67.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68.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69.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70.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71.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72.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73. Claim + two later sources: The implications of demographic and economic projections on public pension spending in the European Union</w:t>
      </w:r>
    </w:p>
    <w:p>
      <w:pPr>
        <w:pStyle w:val="SourceNote"/>
      </w:pPr>
      <w:r>
        <w:rPr>
          <w:b/>
        </w:rPr>
        <w:t>Group ID:</w:t>
      </w:r>
      <w:r>
        <w:t xml:space="preserve"> group-9bf5a6a33da7b7f296c5</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Demographic Transformation and Sustainable Workforce Challenges in the European Union — https://doi.org/10.14207/ejsd.2026.v15n2p121</w:t>
      </w:r>
    </w:p>
    <w:p>
      <w:pPr>
        <w:pStyle w:val="SourceNote"/>
      </w:pPr>
      <w:r>
        <w:rPr>
          <w:b/>
        </w:rPr>
        <w:t>Review status:</w:t>
      </w:r>
      <w:r>
        <w:t xml:space="preserve"> unchecked — possible relationship only</w:t>
      </w:r>
    </w:p>
    <w:p>
      <w:pPr>
        <w:pStyle w:val="Heading2"/>
      </w:pPr>
      <w:r>
        <w:t>74. Claim + two later sources: Actual and potential development of consumer demand on the organic food market in Europe</w:t>
      </w:r>
    </w:p>
    <w:p>
      <w:pPr>
        <w:pStyle w:val="SourceNote"/>
      </w:pPr>
      <w:r>
        <w:rPr>
          <w:b/>
        </w:rPr>
        <w:t>Group ID:</w:t>
      </w:r>
      <w:r>
        <w:t xml:space="preserve"> group-0f443f5c23f8771e44be</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Economic incentives for conifers may limit broadleaf expansion in climate-adaptive European forests — https://doi.org/10.1038/s43247-026-04087-6</w:t>
      </w:r>
    </w:p>
    <w:p>
      <w:pPr>
        <w:pStyle w:val="SourceNote"/>
      </w:pPr>
      <w:r>
        <w:rPr>
          <w:b/>
        </w:rPr>
        <w:t>Review status:</w:t>
      </w:r>
      <w:r>
        <w:t xml:space="preserve"> unchecked — possible relationship only</w:t>
      </w:r>
    </w:p>
    <w:p>
      <w:pPr>
        <w:pStyle w:val="Heading2"/>
      </w:pPr>
      <w:r>
        <w:t>75.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76.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77.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78. Claim + two later sources: European cephalopods distribution under climate-change scenarios</w:t>
      </w:r>
    </w:p>
    <w:p>
      <w:pPr>
        <w:pStyle w:val="SourceNote"/>
      </w:pPr>
      <w:r>
        <w:rPr>
          <w:b/>
        </w:rPr>
        <w:t>Group ID:</w:t>
      </w:r>
      <w:r>
        <w:t xml:space="preserve"> group-62f8f82344c22d2b93a0</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Spatial resilience and population replacement in Europe during MIS 3: a comparative study of Neanderthals and H. sapiens — https://doi.org/10.1016/j.quascirev.2026.109850</w:t>
      </w:r>
    </w:p>
    <w:p>
      <w:pPr/>
      <w:r>
        <w:rPr>
          <w:b/>
        </w:rPr>
        <w:t>Later source:</w:t>
      </w:r>
      <w:r>
        <w:t xml:space="preserve"> Online Gambling In Europe: Prevalence, Risk and Regulatory Challenges In The Digital Era — https://doi.org/10.35198/01-2026-001-0004</w:t>
      </w:r>
    </w:p>
    <w:p>
      <w:pPr>
        <w:pStyle w:val="SourceNote"/>
      </w:pPr>
      <w:r>
        <w:rPr>
          <w:b/>
        </w:rPr>
        <w:t>Review status:</w:t>
      </w:r>
      <w:r>
        <w:t xml:space="preserve"> unchecked — possible relationship only</w:t>
      </w:r>
    </w:p>
    <w:p>
      <w:pPr>
        <w:pStyle w:val="Heading2"/>
      </w:pPr>
      <w:r>
        <w:t>79.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80. Claim + two later sources: How much can societal turning points affect forecasts’ accuracy in Europe? Case of post-communistic transformation in Slovakia and the Czech Republic</w:t>
      </w:r>
    </w:p>
    <w:p>
      <w:pPr>
        <w:pStyle w:val="SourceNote"/>
      </w:pPr>
      <w:r>
        <w:rPr>
          <w:b/>
        </w:rPr>
        <w:t>Group ID:</w:t>
      </w:r>
      <w:r>
        <w:t xml:space="preserve"> group-cf740870b374fcd90b08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From Moral Crusade to European Reality: The Rights of Nature “Solution” in Search of a Problem — https://doi.org/10.1017/aju.2026.10088</w:t>
      </w:r>
    </w:p>
    <w:p>
      <w:pPr>
        <w:pStyle w:val="SourceNote"/>
      </w:pPr>
      <w:r>
        <w:rPr>
          <w:b/>
        </w:rPr>
        <w:t>Review status:</w:t>
      </w:r>
      <w:r>
        <w:t xml:space="preserve"> unchecked — possible relationship only</w:t>
      </w:r>
    </w:p>
    <w:p>
      <w:pPr>
        <w:pStyle w:val="Heading2"/>
      </w:pPr>
      <w:r>
        <w:t>81. Claim + two later sources: Macro Study of Global Electric Vehicle Expansion</w:t>
      </w:r>
    </w:p>
    <w:p>
      <w:pPr>
        <w:pStyle w:val="SourceNote"/>
      </w:pPr>
      <w:r>
        <w:rPr>
          <w:b/>
        </w:rPr>
        <w:t>Group ID:</w:t>
      </w:r>
      <w:r>
        <w:t xml:space="preserve"> group-d65a363f219226ad28a5</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Fiscal and regulatory incentives for electric vehicle adoption in Polish micro-enterprises: economic analysis and policy recommendations — https://doi.org/10.22306/al.v13i1.712</w:t>
      </w:r>
    </w:p>
    <w:p>
      <w:pPr/>
      <w:r>
        <w:rPr>
          <w:b/>
        </w:rPr>
        <w:t>Later source:</w:t>
      </w:r>
      <w:r>
        <w:t xml:space="preserve"> Understanding motivations for agroforestry maintenance and adoption: a comparative analysis in Europe — https://doi.org/10.1186/s40100-026-00506-6</w:t>
      </w:r>
    </w:p>
    <w:p>
      <w:pPr>
        <w:pStyle w:val="SourceNote"/>
      </w:pPr>
      <w:r>
        <w:rPr>
          <w:b/>
        </w:rPr>
        <w:t>Review status:</w:t>
      </w:r>
      <w:r>
        <w:t xml:space="preserve"> unchecked — possible relationship only</w:t>
      </w:r>
    </w:p>
    <w:p>
      <w:pPr>
        <w:pStyle w:val="Heading2"/>
      </w:pPr>
      <w:r>
        <w:t>82.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83. Claim + two later sources: Impacts of Scaling up Agroecology on the Sustainability of European Agriculture in 2050</w:t>
      </w:r>
    </w:p>
    <w:p>
      <w:pPr>
        <w:pStyle w:val="SourceNote"/>
      </w:pPr>
      <w:r>
        <w:rPr>
          <w:b/>
        </w:rPr>
        <w:t>Group ID:</w:t>
      </w:r>
      <w:r>
        <w:t xml:space="preserve"> group-19752233bba98e21d532</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Insufficient environmental protection by the European regulatory framework for pesticides — https://doi.org/10.32942/x24q1g</w:t>
      </w:r>
    </w:p>
    <w:p>
      <w:pPr>
        <w:pStyle w:val="SourceNote"/>
      </w:pPr>
      <w:r>
        <w:rPr>
          <w:b/>
        </w:rPr>
        <w:t>Review status:</w:t>
      </w:r>
      <w:r>
        <w:t xml:space="preserve"> unchecked — possible relationship only</w:t>
      </w:r>
    </w:p>
    <w:p>
      <w:pPr>
        <w:pStyle w:val="Heading2"/>
      </w:pPr>
      <w:r>
        <w:t>84. Claim + two later sources: How to Achieve a Healthier and More Sustainable Europe by 2040 According to the Public? Results of a Five-Country Questionnaire Survey</w:t>
      </w:r>
    </w:p>
    <w:p>
      <w:pPr>
        <w:pStyle w:val="SourceNote"/>
      </w:pPr>
      <w:r>
        <w:rPr>
          <w:b/>
        </w:rPr>
        <w:t>Group ID:</w:t>
      </w:r>
      <w:r>
        <w:t xml:space="preserve"> group-1b39d997f69efb391268</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European Workers Job Perceptions Survey — https://doi.org/10.17605/osf.io/dswb6</w:t>
      </w:r>
    </w:p>
    <w:p>
      <w:pPr>
        <w:pStyle w:val="SourceNote"/>
      </w:pPr>
      <w:r>
        <w:rPr>
          <w:b/>
        </w:rPr>
        <w:t>Review status:</w:t>
      </w:r>
      <w:r>
        <w:t xml:space="preserve"> unchecked — possible relationship only</w:t>
      </w:r>
    </w:p>
    <w:p>
      <w:pPr>
        <w:pStyle w:val="Heading2"/>
      </w:pPr>
      <w:r>
        <w:t>85.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86.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87. Claim + two later sources: Towards a sustainable European energy system: Linking optimization models with multi-regional input-output analysis</w:t>
      </w:r>
    </w:p>
    <w:p>
      <w:pPr>
        <w:pStyle w:val="SourceNote"/>
      </w:pPr>
      <w:r>
        <w:rPr>
          <w:b/>
        </w:rPr>
        <w:t>Group ID:</w:t>
      </w:r>
      <w:r>
        <w:t xml:space="preserve"> group-997c39b26dba994939f7</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The implications of unification for Germany's role in the European Union. — https://doi.org/10.82444/warw.33741772</w:t>
      </w:r>
    </w:p>
    <w:p>
      <w:pPr/>
      <w:r>
        <w:rPr>
          <w:b/>
        </w:rPr>
        <w:t>Later source:</w:t>
      </w:r>
      <w:r>
        <w:t xml:space="preserve"> Mapping where biodiversity goals meet local values in European land use futures — https://doi.org/10.5194/wbf2026-660</w:t>
      </w:r>
    </w:p>
    <w:p>
      <w:pPr>
        <w:pStyle w:val="SourceNote"/>
      </w:pPr>
      <w:r>
        <w:rPr>
          <w:b/>
        </w:rPr>
        <w:t>Review status:</w:t>
      </w:r>
      <w:r>
        <w:t xml:space="preserve"> unchecked — possible relationship only</w:t>
      </w:r>
    </w:p>
    <w:p>
      <w:pPr>
        <w:pStyle w:val="Heading2"/>
      </w:pPr>
      <w:r>
        <w:t>88.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89.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90. Claim + two later sources: The future of financial markets and regulation: what strategy for Europe?</w:t>
      </w:r>
    </w:p>
    <w:p>
      <w:pPr>
        <w:pStyle w:val="SourceNote"/>
      </w:pPr>
      <w:r>
        <w:rPr>
          <w:b/>
        </w:rPr>
        <w:t>Group ID:</w:t>
      </w:r>
      <w:r>
        <w:t xml:space="preserve"> group-ad1919c1f5d6efca363f</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The opportunities and potential of camelina in marginal land in Europe — https://doi.org/10.1016/j.indcrop.2024.118224</w:t>
      </w:r>
    </w:p>
    <w:p>
      <w:pPr>
        <w:pStyle w:val="SourceNote"/>
      </w:pPr>
      <w:r>
        <w:rPr>
          <w:b/>
        </w:rPr>
        <w:t>Review status:</w:t>
      </w:r>
      <w:r>
        <w:t xml:space="preserve"> unchecked — possible relationship only</w:t>
      </w:r>
    </w:p>
    <w:p>
      <w:pPr>
        <w:pStyle w:val="Heading2"/>
      </w:pPr>
      <w:r>
        <w:t>91. Claim + two later sources: Will the real security foresight expert please stand up?</w:t>
      </w:r>
    </w:p>
    <w:p>
      <w:pPr>
        <w:pStyle w:val="SourceNote"/>
      </w:pPr>
      <w:r>
        <w:rPr>
          <w:b/>
        </w:rPr>
        <w:t>Group ID:</w:t>
      </w:r>
      <w:r>
        <w:t xml:space="preserve"> group-f1d10799d5bc5a7f1ef1</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Critical theory and European labour law : insights from the past — https://openalex.org/W7114825387</w:t>
      </w:r>
    </w:p>
    <w:p>
      <w:pPr/>
      <w:r>
        <w:rPr>
          <w:b/>
        </w:rPr>
        <w:t>Later source:</w:t>
      </w:r>
      <w:r>
        <w:t xml:space="preserve"> A Comparative Review of Healthcare Systems in India, the Middle East, and Europe: Strengths, Weaknesses, and Lessons for Improvement — https://doi.org/10.25258/ijddt.16.38s.65</w:t>
      </w:r>
    </w:p>
    <w:p>
      <w:pPr>
        <w:pStyle w:val="SourceNote"/>
      </w:pPr>
      <w:r>
        <w:rPr>
          <w:b/>
        </w:rPr>
        <w:t>Review status:</w:t>
      </w:r>
      <w:r>
        <w:t xml:space="preserve"> unchecked — possible relationship only</w:t>
      </w:r>
    </w:p>
    <w:p>
      <w:pPr>
        <w:pStyle w:val="Heading2"/>
      </w:pPr>
      <w:r>
        <w:t>92.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93.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94. Claim + two later sources: Climate, Energy – and Environment? Reconciliation of EU Environmental Law with the Implementation Realities of EU Climate Law</w:t>
      </w:r>
    </w:p>
    <w:p>
      <w:pPr>
        <w:pStyle w:val="SourceNote"/>
      </w:pPr>
      <w:r>
        <w:rPr>
          <w:b/>
        </w:rPr>
        <w:t>Group ID:</w:t>
      </w:r>
      <w:r>
        <w:t xml:space="preserve"> group-419f4828f783f6ce8400</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Imagining Climate and Environmental Transformation in the European Union — https://doi.org/10.1002/cep4.70031</w:t>
      </w:r>
    </w:p>
    <w:p>
      <w:pPr>
        <w:pStyle w:val="SourceNote"/>
      </w:pPr>
      <w:r>
        <w:rPr>
          <w:b/>
        </w:rPr>
        <w:t>Review status:</w:t>
      </w:r>
      <w:r>
        <w:t xml:space="preserve"> unchecked — possible relationship only</w:t>
      </w:r>
    </w:p>
    <w:p>
      <w:pPr>
        <w:pStyle w:val="Heading2"/>
      </w:pPr>
      <w:r>
        <w:t>95.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96.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97. Claim + two later sources: Understanding and enhancing future infrastructure resiliency: a socio‐ecological approach</w:t>
      </w:r>
    </w:p>
    <w:p>
      <w:pPr>
        <w:pStyle w:val="SourceNote"/>
      </w:pPr>
      <w:r>
        <w:rPr>
          <w:b/>
        </w:rPr>
        <w:t>Group ID:</w:t>
      </w:r>
      <w:r>
        <w:t xml:space="preserve"> group-0e53900952698bf3548d</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Access to Work for Those Seeking Asylum: Concerns Arising from British and Swedish Legal Strategies — https://doi.org/10.1093/indlaw/dwae004</w:t>
      </w:r>
    </w:p>
    <w:p>
      <w:pPr/>
      <w:r>
        <w:rPr>
          <w:b/>
        </w:rPr>
        <w:t>Later source:</w:t>
      </w:r>
      <w:r>
        <w:t xml:space="preserve"> What is a ‘quality TVET lecturer’? Problematising the concept of quality in vocational education — https://doi.org/10.14426/jovacet.v7i2.421</w:t>
      </w:r>
    </w:p>
    <w:p>
      <w:pPr>
        <w:pStyle w:val="SourceNote"/>
      </w:pPr>
      <w:r>
        <w:rPr>
          <w:b/>
        </w:rPr>
        <w:t>Review status:</w:t>
      </w:r>
      <w:r>
        <w:t xml:space="preserve"> unchecked — possible relationship only</w:t>
      </w:r>
    </w:p>
    <w:p>
      <w:pPr>
        <w:pStyle w:val="Heading2"/>
      </w:pPr>
      <w:r>
        <w:t>98.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99. Claim + two later sources: Carbon intensity of the Ukrainian industry: current state and foresight</w:t>
      </w:r>
    </w:p>
    <w:p>
      <w:pPr>
        <w:pStyle w:val="SourceNote"/>
      </w:pPr>
      <w:r>
        <w:rPr>
          <w:b/>
        </w:rPr>
        <w:t>Group ID:</w:t>
      </w:r>
      <w:r>
        <w:t xml:space="preserve"> group-aa8b2ac0fb53208f01a3</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Foundations of Maritime Decarbonization — https://doi.org/10.58830/ozgur.pub1212</w:t>
      </w:r>
    </w:p>
    <w:p>
      <w:pPr>
        <w:pStyle w:val="SourceNote"/>
      </w:pPr>
      <w:r>
        <w:rPr>
          <w:b/>
        </w:rPr>
        <w:t>Review status:</w:t>
      </w:r>
      <w:r>
        <w:t xml:space="preserve"> unchecked — possible relationship only</w:t>
      </w:r>
    </w:p>
    <w:p>
      <w:pPr>
        <w:pStyle w:val="Heading2"/>
      </w:pPr>
      <w:r>
        <w:t>100.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101. Claim + two later sources: Polish and Ukrainian foresight into the directions for the innovation of power plants</w:t>
      </w:r>
    </w:p>
    <w:p>
      <w:pPr>
        <w:pStyle w:val="SourceNote"/>
      </w:pPr>
      <w:r>
        <w:rPr>
          <w:b/>
        </w:rPr>
        <w:t>Group ID:</w:t>
      </w:r>
      <w:r>
        <w:t xml:space="preserve"> group-bd4e99364ea8ed8d6e73</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The Relationship between Organisational Life Cycle and the Use of Multiple Performance Measures: A Configuration Approach — https://doi.org/10.22452/ajap.vol18no2.4</w:t>
      </w:r>
    </w:p>
    <w:p>
      <w:pPr/>
      <w:r>
        <w:rPr>
          <w:b/>
        </w:rPr>
        <w:t>Later source:</w:t>
      </w:r>
      <w:r>
        <w:t xml:space="preserve"> A probabilistic approach to establishing the resistivity-lithology relationship using co-located tTEM data and lithological logs — https://doi.org/10.1016/j.jappgeo.2026.106245</w:t>
      </w:r>
    </w:p>
    <w:p>
      <w:pPr>
        <w:pStyle w:val="SourceNote"/>
      </w:pPr>
      <w:r>
        <w:rPr>
          <w:b/>
        </w:rPr>
        <w:t>Review status:</w:t>
      </w:r>
      <w:r>
        <w:t xml:space="preserve"> unchecked — possible relationship only</w:t>
      </w:r>
    </w:p>
    <w:p>
      <w:pPr>
        <w:pStyle w:val="Heading2"/>
      </w:pPr>
      <w:r>
        <w:t>102.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103. Claim + two later sources: Nutrient criteria for surface waters under the European Water Framework Directive: Current state-of-the-art, challenges and future outlook</w:t>
      </w:r>
    </w:p>
    <w:p>
      <w:pPr>
        <w:pStyle w:val="SourceNote"/>
      </w:pPr>
      <w:r>
        <w:rPr>
          <w:b/>
        </w:rPr>
        <w:t>Group ID:</w:t>
      </w:r>
      <w:r>
        <w:t xml:space="preserve"> group-9568ae4362e0c78ed658</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Water Quality, Environmental Contaminants and Disease Burden in Europe: An Ecological Analysis of Associations with Disability-Adjusted Life Years — https://doi.org/10.3390/environments13010036</w:t>
      </w:r>
    </w:p>
    <w:p>
      <w:pPr/>
      <w:r>
        <w:rPr>
          <w:b/>
        </w:rPr>
        <w:t>Later source:</w:t>
      </w:r>
      <w:r>
        <w:t xml:space="preserve"> Achieve good ecological status of surface waters by 2027 and beyond - Policy brief - more4nature — https://doi.org/10.5281/zenodo.18505875</w:t>
      </w:r>
    </w:p>
    <w:p>
      <w:pPr>
        <w:pStyle w:val="SourceNote"/>
      </w:pPr>
      <w:r>
        <w:rPr>
          <w:b/>
        </w:rPr>
        <w:t>Review status:</w:t>
      </w:r>
      <w:r>
        <w:t xml:space="preserve"> unchecked — possible relationship only</w:t>
      </w:r>
    </w:p>
    <w:p>
      <w:pPr>
        <w:pStyle w:val="Heading2"/>
      </w:pPr>
      <w:r>
        <w:t>104. Claim + two later sources: Burden of Stroke in Europe</w:t>
      </w:r>
    </w:p>
    <w:p>
      <w:pPr>
        <w:pStyle w:val="SourceNote"/>
      </w:pPr>
      <w:r>
        <w:rPr>
          <w:b/>
        </w:rPr>
        <w:t>Group ID:</w:t>
      </w:r>
      <w:r>
        <w:t xml:space="preserve"> group-0c70af04f6a8c1292262</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pStyle w:val="SourceNote"/>
      </w:pPr>
      <w:r>
        <w:rPr>
          <w:b/>
        </w:rPr>
        <w:t>Review status:</w:t>
      </w:r>
      <w:r>
        <w:t xml:space="preserve"> unchecked — possible relationship only</w:t>
      </w:r>
    </w:p>
    <w:p>
      <w:pPr>
        <w:pStyle w:val="Heading2"/>
      </w:pPr>
      <w:r>
        <w:t>105. Claim + two later sources: Ukrainian Migration Aspirations towards Germany: Analysis and Development Scenarios</w:t>
      </w:r>
    </w:p>
    <w:p>
      <w:pPr>
        <w:pStyle w:val="SourceNote"/>
      </w:pPr>
      <w:r>
        <w:rPr>
          <w:b/>
        </w:rPr>
        <w:t>Group ID:</w:t>
      </w:r>
      <w:r>
        <w:t xml:space="preserve"> group-021dd76ba05890d3939f</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106.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107. Claim + two later sources: From flood science to flood policy: the Foresight Future Flooding project seven years on</w:t>
      </w:r>
    </w:p>
    <w:p>
      <w:pPr>
        <w:pStyle w:val="SourceNote"/>
      </w:pPr>
      <w:r>
        <w:rPr>
          <w:b/>
        </w:rPr>
        <w:t>Group ID:</w:t>
      </w:r>
      <w:r>
        <w:t xml:space="preserve"> group-0cc70179f1d6d64c0ec8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Navigating the winds of change: strategic foresight and the power of weak signals — https://doi.org/10.1007/s11625-025-01786-5</w:t>
      </w:r>
    </w:p>
    <w:p>
      <w:pPr/>
      <w:r>
        <w:rPr>
          <w:b/>
        </w:rPr>
        <w:t>Later source:</w:t>
      </w:r>
      <w:r>
        <w:t xml:space="preserve"> Socio-ecological dynamics shaping the future of wetlands: A foresight analysis — https://doi.org/10.1016/j.cacint.2026.100469</w:t>
      </w:r>
    </w:p>
    <w:p>
      <w:pPr>
        <w:pStyle w:val="SourceNote"/>
      </w:pPr>
      <w:r>
        <w:rPr>
          <w:b/>
        </w:rPr>
        <w:t>Review status:</w:t>
      </w:r>
      <w:r>
        <w:t xml:space="preserve"> unchecked — possible relationship only</w:t>
      </w:r>
    </w:p>
    <w:p>
      <w:pPr>
        <w:pStyle w:val="Heading2"/>
      </w:pPr>
      <w:r>
        <w:t>108.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109. Claim + two later sources: Materials for Sustainable Nuclear Energy: A European Strategic Research and Innovation Agenda for All Reactor Generations</w:t>
      </w:r>
    </w:p>
    <w:p>
      <w:pPr>
        <w:pStyle w:val="SourceNote"/>
      </w:pPr>
      <w:r>
        <w:rPr>
          <w:b/>
        </w:rPr>
        <w:t>Group ID:</w:t>
      </w:r>
      <w:r>
        <w:t xml:space="preserve"> group-6549b61d64ceef9a99b9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Enhancing Environmental Sustainability: The Role of Resource Productivity, Low‐Carbon Energy, and Energy Productivity — https://doi.org/10.1155/er/9919914</w:t>
      </w:r>
    </w:p>
    <w:p>
      <w:pPr>
        <w:pStyle w:val="SourceNote"/>
      </w:pPr>
      <w:r>
        <w:rPr>
          <w:b/>
        </w:rPr>
        <w:t>Review status:</w:t>
      </w:r>
      <w:r>
        <w:t xml:space="preserve"> unchecked — possible relationship only</w:t>
      </w:r>
    </w:p>
    <w:p>
      <w:pPr>
        <w:pStyle w:val="Heading2"/>
      </w:pPr>
      <w:r>
        <w:t>110.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111. Claim + two later sources: Argentinian Energy Landscapes - Case Study of the Neo-Carbon Energy Project</w:t>
      </w:r>
    </w:p>
    <w:p>
      <w:pPr>
        <w:pStyle w:val="SourceNote"/>
      </w:pPr>
      <w:r>
        <w:rPr>
          <w:b/>
        </w:rPr>
        <w:t>Group ID:</w:t>
      </w:r>
      <w:r>
        <w:t xml:space="preserve"> group-274a08f555983202b38e</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Anchor Fin Explored as an Important Design Parameter for Lamb Wave Resonators — https://doi.org/10.1109/jmems.2025.3636583</w:t>
      </w:r>
    </w:p>
    <w:p>
      <w:pPr>
        <w:pStyle w:val="SourceNote"/>
      </w:pPr>
      <w:r>
        <w:rPr>
          <w:b/>
        </w:rPr>
        <w:t>Review status:</w:t>
      </w:r>
      <w:r>
        <w:t xml:space="preserve"> unchecked — possible relationship only</w:t>
      </w:r>
    </w:p>
    <w:p>
      <w:pPr>
        <w:pStyle w:val="Heading2"/>
      </w:pPr>
      <w:r>
        <w:t>112.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113.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group-54607233a5cb34b04a09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Mapping Hate Crime Research in Europe: Trends, Challenges, and Future Directions — https://doi.org/10.1080/01639625.2025.2612264</w:t>
      </w:r>
    </w:p>
    <w:p>
      <w:pPr>
        <w:pStyle w:val="SourceNote"/>
      </w:pPr>
      <w:r>
        <w:rPr>
          <w:b/>
        </w:rPr>
        <w:t>Review status:</w:t>
      </w:r>
      <w:r>
        <w:t xml:space="preserve"> unchecked — possible relationship only</w:t>
      </w:r>
    </w:p>
    <w:p>
      <w:pPr>
        <w:pStyle w:val="Heading2"/>
      </w:pPr>
      <w:r>
        <w:t>114. Claim + two later sources: A Foresight Study of European East-West Agrifood Trade Options</w:t>
      </w:r>
    </w:p>
    <w:p>
      <w:pPr>
        <w:pStyle w:val="SourceNote"/>
      </w:pPr>
      <w:r>
        <w:rPr>
          <w:b/>
        </w:rPr>
        <w:t>Group ID:</w:t>
      </w:r>
      <w:r>
        <w:t xml:space="preserve"> group-99b68bc21efce29c02dc</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“Fairness” in Agrifood Systems as Marketing Strategy to Reduce Food Waste by 2027 — https://doi.org/10.54663/2182-9306.2026.specialissuecmth.56-77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115. Claim + two later sources: Alpine Tundra Contraction under Future Warming Scenarios in Europe</w:t>
      </w:r>
    </w:p>
    <w:p>
      <w:pPr>
        <w:pStyle w:val="SourceNote"/>
      </w:pPr>
      <w:r>
        <w:rPr>
          <w:b/>
        </w:rPr>
        <w:t>Group ID:</w:t>
      </w:r>
      <w:r>
        <w:t xml:space="preserve"> group-eda97c8a0e76b5a3f22d</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Evaluation of coupled and uncoupled ocean–ice–atmosphere simulations using icon-2024.07 and NEMOv4.2.0 for the EURO-CORDEX domain — https://doi.org/10.5194/gmd-19-543-2026</w:t>
      </w:r>
    </w:p>
    <w:p>
      <w:pPr/>
      <w:r>
        <w:rPr>
          <w:b/>
        </w:rPr>
        <w:t>Later source:</w:t>
      </w:r>
      <w:r>
        <w:t xml:space="preserve"> Climate Extremes in Europe: A Comparative Analysis of Climate Model Datasets — https://doi.org/10.5194/egusphere-egu26-9971</w:t>
      </w:r>
    </w:p>
    <w:p>
      <w:pPr>
        <w:pStyle w:val="SourceNote"/>
      </w:pPr>
      <w:r>
        <w:rPr>
          <w:b/>
        </w:rPr>
        <w:t>Review status:</w:t>
      </w:r>
      <w:r>
        <w:t xml:space="preserve"> unchecked — possible relationship only</w:t>
      </w:r>
    </w:p>
    <w:p>
      <w:pPr>
        <w:pStyle w:val="Heading2"/>
      </w:pPr>
      <w:r>
        <w:t>116.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117. Claim + two later sources: Connected and Automated Transport: Research and Innovation Capacity in Europe</w:t>
      </w:r>
    </w:p>
    <w:p>
      <w:pPr>
        <w:pStyle w:val="SourceNote"/>
      </w:pPr>
      <w:r>
        <w:rPr>
          <w:b/>
        </w:rPr>
        <w:t>Group ID:</w:t>
      </w:r>
      <w:r>
        <w:t xml:space="preserve"> group-73360c45a345d751f0be</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118.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119. Claim + two later sources: Testing Scenarios to Achieve Workplace Sustainability Goals Using Backcasting and Agent-Based Modeling</w:t>
      </w:r>
    </w:p>
    <w:p>
      <w:pPr>
        <w:pStyle w:val="SourceNote"/>
      </w:pPr>
      <w:r>
        <w:rPr>
          <w:b/>
        </w:rPr>
        <w:t>Group ID:</w:t>
      </w:r>
      <w:r>
        <w:t xml:space="preserve"> group-8032ff325f50d159017e</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A participatory framework for assessing climate neutrality transition readiness — https://doi.org/10.5281/zenodo.22777820</w:t>
      </w:r>
    </w:p>
    <w:p>
      <w:pPr>
        <w:pStyle w:val="SourceNote"/>
      </w:pPr>
      <w:r>
        <w:rPr>
          <w:b/>
        </w:rPr>
        <w:t>Review status:</w:t>
      </w:r>
      <w:r>
        <w:t xml:space="preserve"> unchecked — possible relationship only</w:t>
      </w:r>
    </w:p>
    <w:p>
      <w:pPr>
        <w:pStyle w:val="Heading2"/>
      </w:pPr>
      <w:r>
        <w:t>120.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121. Claim + two later sources: Technopolis, shared resources or controlled mobility? A net-based Delphi-study to explore visions of future urban daily mobility in Norway</w:t>
      </w:r>
    </w:p>
    <w:p>
      <w:pPr>
        <w:pStyle w:val="SourceNote"/>
      </w:pPr>
      <w:r>
        <w:rPr>
          <w:b/>
        </w:rPr>
        <w:t>Group ID:</w:t>
      </w:r>
      <w:r>
        <w:t xml:space="preserve"> group-90ab4618aed920697cd5</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122. Claim + two later sources: Hydrogen in the Strategies of the European Union Member States</w:t>
      </w:r>
    </w:p>
    <w:p>
      <w:pPr>
        <w:pStyle w:val="SourceNote"/>
      </w:pPr>
      <w:r>
        <w:rPr>
          <w:b/>
        </w:rPr>
        <w:t>Group ID:</w:t>
      </w:r>
      <w:r>
        <w:t xml:space="preserve"> group-0e7ab2f25546bc136b8b</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review of expenditure, outcomes, access to oncology medicines and oncology health systems in ten European countries — https://doi.org/10.5603/ocp.110314</w:t>
      </w:r>
    </w:p>
    <w:p>
      <w:pPr/>
      <w:r>
        <w:rPr>
          <w:b/>
        </w:rPr>
        <w:t>Later source:</w:t>
      </w:r>
      <w:r>
        <w:t xml:space="preserve"> Availability and restrictiveness of community treatment orders across 33 European countries — https://doi.org/10.1192/bjo.2026.12015</w:t>
      </w:r>
    </w:p>
    <w:p>
      <w:pPr>
        <w:pStyle w:val="SourceNote"/>
      </w:pPr>
      <w:r>
        <w:rPr>
          <w:b/>
        </w:rPr>
        <w:t>Review status:</w:t>
      </w:r>
      <w:r>
        <w:t xml:space="preserve"> unchecked — possible relationship only</w:t>
      </w:r>
    </w:p>
    <w:p>
      <w:pPr>
        <w:pStyle w:val="Heading2"/>
      </w:pPr>
      <w:r>
        <w:t>123. Claim + two later sources: Demographic projections of future pharmaceutical consumption in the Netherlands</w:t>
      </w:r>
    </w:p>
    <w:p>
      <w:pPr>
        <w:pStyle w:val="SourceNote"/>
      </w:pPr>
      <w:r>
        <w:rPr>
          <w:b/>
        </w:rPr>
        <w:t>Group ID:</w:t>
      </w:r>
      <w:r>
        <w:t xml:space="preserve"> group-c700f97edaf9deb42bde</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On the economic prospects of non-Western migrants in Europe — https://doi.org/10.1007/s00148-026-01167-x</w:t>
      </w:r>
    </w:p>
    <w:p>
      <w:pPr/>
      <w:r>
        <w:rPr>
          <w:b/>
        </w:rPr>
        <w:t>Later source:</w:t>
      </w:r>
      <w:r>
        <w:t xml:space="preserve"> How Parliamentarism Developed in Western Europe — https://doi.org/10.1017/s0007123424000917</w:t>
      </w:r>
    </w:p>
    <w:p>
      <w:pPr>
        <w:pStyle w:val="SourceNote"/>
      </w:pPr>
      <w:r>
        <w:rPr>
          <w:b/>
        </w:rPr>
        <w:t>Review status:</w:t>
      </w:r>
      <w:r>
        <w:t xml:space="preserve"> unchecked — possible relationship only</w:t>
      </w:r>
    </w:p>
    <w:p>
      <w:pPr>
        <w:pStyle w:val="Heading2"/>
      </w:pPr>
      <w:r>
        <w:t>124. Claim + two later sources: Assessing the Future of Renewable Energy Consumption for United Kingdom, Turkey and Nigeria</w:t>
      </w:r>
    </w:p>
    <w:p>
      <w:pPr>
        <w:pStyle w:val="SourceNote"/>
      </w:pPr>
      <w:r>
        <w:rPr>
          <w:b/>
        </w:rPr>
        <w:t>Group ID:</w:t>
      </w:r>
      <w:r>
        <w:t xml:space="preserve"> group-569f7fa7602ca238a14b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A support vector regression-based prediction model for offshore broadcasting signal propagation — https://doi.org/10.3389/fmars.2026.1791191</w:t>
      </w:r>
    </w:p>
    <w:p>
      <w:pPr>
        <w:pStyle w:val="SourceNote"/>
      </w:pPr>
      <w:r>
        <w:rPr>
          <w:b/>
        </w:rPr>
        <w:t>Review status:</w:t>
      </w:r>
      <w:r>
        <w:t xml:space="preserve"> unchecked — possible relationship only</w:t>
      </w:r>
    </w:p>
    <w:p>
      <w:pPr>
        <w:pStyle w:val="Heading2"/>
      </w:pPr>
      <w:r>
        <w:t>125.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126.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127.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128. Claim + two later sources: Current and Future Issues in BPM Research: A European Perspective from the ERCIS Meeting 2010</w:t>
      </w:r>
    </w:p>
    <w:p>
      <w:pPr>
        <w:pStyle w:val="SourceNote"/>
      </w:pPr>
      <w:r>
        <w:rPr>
          <w:b/>
        </w:rPr>
        <w:t>Group ID:</w:t>
      </w:r>
      <w:r>
        <w:t xml:space="preserve"> group-54d150f167e623d5d4e5</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The Role of European Equestrian Institutions in Training Professionals: Outcomes from a Workshop on Horse Welfare in Equestrian Education — https://doi.org/10.3390/ani15020183</w:t>
      </w:r>
    </w:p>
    <w:p>
      <w:pPr>
        <w:pStyle w:val="SourceNote"/>
      </w:pPr>
      <w:r>
        <w:rPr>
          <w:b/>
        </w:rPr>
        <w:t>Review status:</w:t>
      </w:r>
      <w:r>
        <w:t xml:space="preserve"> unchecked — possible relationship only</w:t>
      </w:r>
    </w:p>
    <w:p>
      <w:pPr>
        <w:pStyle w:val="Heading2"/>
      </w:pPr>
      <w:r>
        <w:t>129.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130. Claim + two later sources: The European pulp and paper industry in transition to a bio-economy: A Delphi study</w:t>
      </w:r>
    </w:p>
    <w:p>
      <w:pPr>
        <w:pStyle w:val="SourceNote"/>
      </w:pPr>
      <w:r>
        <w:rPr>
          <w:b/>
        </w:rPr>
        <w:t>Group ID:</w:t>
      </w:r>
      <w:r>
        <w:t xml:space="preserve"> group-f2242abdd29185984591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Game Changers: National Referendums and the Politicization of Europe — https://doi.org/10.17645/pag.9261</w:t>
      </w:r>
    </w:p>
    <w:p>
      <w:pPr>
        <w:pStyle w:val="SourceNote"/>
      </w:pPr>
      <w:r>
        <w:rPr>
          <w:b/>
        </w:rPr>
        <w:t>Review status:</w:t>
      </w:r>
      <w:r>
        <w:t xml:space="preserve"> unchecked — possible relationship only</w:t>
      </w:r>
    </w:p>
    <w:p>
      <w:pPr>
        <w:pStyle w:val="Heading2"/>
      </w:pPr>
      <w:r>
        <w:t>131.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132. Claim + two later sources: Projecting Drivers of Human Vulnerability under the Shared Socioeconomic Pathways</w:t>
      </w:r>
    </w:p>
    <w:p>
      <w:pPr>
        <w:pStyle w:val="SourceNote"/>
      </w:pPr>
      <w:r>
        <w:rPr>
          <w:b/>
        </w:rPr>
        <w:t>Group ID:</w:t>
      </w:r>
      <w:r>
        <w:t xml:space="preserve"> group-b7399fc1c3c2a1000fa4</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UK livestock futures: co-designing Shared Socioeconomic Pathways — https://doi.org/10.1007/s10113-026-02625-8</w:t>
      </w:r>
    </w:p>
    <w:p>
      <w:pPr/>
      <w:r>
        <w:rPr>
          <w:b/>
        </w:rPr>
        <w:t>Later source:</w:t>
      </w:r>
      <w:r>
        <w:t xml:space="preserve"> A new scenario architecture to capture granularity of governance within and across Shared Socioeconomic Pathways — https://doi.org/10.1016/j.landusepol.2026.107926</w:t>
      </w:r>
    </w:p>
    <w:p>
      <w:pPr>
        <w:pStyle w:val="SourceNote"/>
      </w:pPr>
      <w:r>
        <w:rPr>
          <w:b/>
        </w:rPr>
        <w:t>Review status:</w:t>
      </w:r>
      <w:r>
        <w:t xml:space="preserve"> unchecked — possible relationship only</w:t>
      </w:r>
    </w:p>
    <w:p>
      <w:pPr>
        <w:pStyle w:val="Heading2"/>
      </w:pPr>
      <w:r>
        <w:t>133.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134.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135.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136.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137.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138.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139.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140.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141.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142.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143.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144. Claim + two later sources: The CIRCE Simulations: Regional Climate Change Projections with Realistic Representation of the Mediterranean Sea</w:t>
      </w:r>
    </w:p>
    <w:p>
      <w:pPr>
        <w:pStyle w:val="SourceNote"/>
      </w:pPr>
      <w:r>
        <w:rPr>
          <w:b/>
        </w:rPr>
        <w:t>Group ID:</w:t>
      </w:r>
      <w:r>
        <w:t xml:space="preserve"> group-a0ad951e34197717ab1d</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Design and Performance Research of a Spindle-Integrated Rotational Piezoelectric Testing System for Upset Force Measurement During Welding Processes — https://doi.org/10.1109/jsen.2026.3671729</w:t>
      </w:r>
    </w:p>
    <w:p>
      <w:pPr/>
      <w:r>
        <w:rPr>
          <w:b/>
        </w:rPr>
        <w:t>Later source:</w:t>
      </w:r>
      <w:r>
        <w:t xml:space="preserve"> Development and Validation of a Novel Contact Force‐Integrated Pulsed Field Quantization Index for Pulmonary Vein Isolation in a Porcine Model — https://doi.org/10.1111/jce.70527</w:t>
      </w:r>
    </w:p>
    <w:p>
      <w:pPr>
        <w:pStyle w:val="SourceNote"/>
      </w:pPr>
      <w:r>
        <w:rPr>
          <w:b/>
        </w:rPr>
        <w:t>Review status:</w:t>
      </w:r>
      <w:r>
        <w:t xml:space="preserve"> unchecked — possible relationship only</w:t>
      </w:r>
    </w:p>
    <w:p>
      <w:pPr>
        <w:pStyle w:val="Heading2"/>
      </w:pPr>
      <w:r>
        <w:t>145. Claim + two later sources: Scenarios for the future of the European process industry - the case of the chemical industry</w:t>
      </w:r>
    </w:p>
    <w:p>
      <w:pPr>
        <w:pStyle w:val="SourceNote"/>
      </w:pPr>
      <w:r>
        <w:rPr>
          <w:b/>
        </w:rPr>
        <w:t>Group ID:</w:t>
      </w:r>
      <w:r>
        <w:t xml:space="preserve"> group-0efb2a0647d3df669032</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Insect Pest Control from Chemical to Biotechnological Approach: Constrains and Challenges — https://doi.org/10.3390/insects16050528</w:t>
      </w:r>
    </w:p>
    <w:p>
      <w:pPr/>
      <w:r>
        <w:rPr>
          <w:b/>
        </w:rPr>
        <w:t>Later source:</w:t>
      </w:r>
      <w:r>
        <w:t xml:space="preserve"> Scientific and Regulatory Perspectives on Chemical Risk Assessment of Pesticides in the European Union — https://doi.org/10.3390/jox15050173</w:t>
      </w:r>
    </w:p>
    <w:p>
      <w:pPr>
        <w:pStyle w:val="SourceNote"/>
      </w:pPr>
      <w:r>
        <w:rPr>
          <w:b/>
        </w:rPr>
        <w:t>Review status:</w:t>
      </w:r>
      <w:r>
        <w:t xml:space="preserve"> unchecked — possible relationship only</w:t>
      </w:r>
    </w:p>
    <w:p>
      <w:pPr>
        <w:pStyle w:val="Heading2"/>
      </w:pPr>
      <w:r>
        <w:t>146. Claim + two later sources: The future of global trade and the WTO</w:t>
      </w:r>
    </w:p>
    <w:p>
      <w:pPr>
        <w:pStyle w:val="SourceNote"/>
      </w:pPr>
      <w:r>
        <w:rPr>
          <w:b/>
        </w:rPr>
        <w:t>Group ID:</w:t>
      </w:r>
      <w:r>
        <w:t xml:space="preserve"> group-cbcfa515998c6668e492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On European Fragmentation and the Single Currency in an Uncertain World — https://doi.org/10.65644/eiie.079.01.0001</w:t>
      </w:r>
    </w:p>
    <w:p>
      <w:pPr/>
      <w:r>
        <w:rPr>
          <w:b/>
        </w:rPr>
        <w:t>Later source:</w:t>
      </w:r>
      <w:r>
        <w:t xml:space="preserve"> International survey in four European countries on diagnostic reference levels based on clinical indications in computed tomography — https://doi.org/10.1186/s13244-026-02241-4</w:t>
      </w:r>
    </w:p>
    <w:p>
      <w:pPr>
        <w:pStyle w:val="SourceNote"/>
      </w:pPr>
      <w:r>
        <w:rPr>
          <w:b/>
        </w:rPr>
        <w:t>Review status:</w:t>
      </w:r>
      <w:r>
        <w:t xml:space="preserve"> unchecked — possible relationship only</w:t>
      </w:r>
    </w:p>
    <w:p>
      <w:pPr>
        <w:pStyle w:val="Heading2"/>
      </w:pPr>
      <w:r>
        <w:t>147. Claim + two later sources: EU road vehicle energy consumption and CO2 emissions by 2050 – Expert-based scenarios</w:t>
      </w:r>
    </w:p>
    <w:p>
      <w:pPr>
        <w:pStyle w:val="SourceNote"/>
      </w:pPr>
      <w:r>
        <w:rPr>
          <w:b/>
        </w:rPr>
        <w:t>Group ID:</w:t>
      </w:r>
      <w:r>
        <w:t xml:space="preserve"> group-b99bb41138b4962a323a</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Sustainability initiatives in the Spanish road freight transport companies — https://doi.org/10.3926/jiem.9245</w:t>
      </w:r>
    </w:p>
    <w:p>
      <w:pPr>
        <w:pStyle w:val="SourceNote"/>
      </w:pPr>
      <w:r>
        <w:rPr>
          <w:b/>
        </w:rPr>
        <w:t>Review status:</w:t>
      </w:r>
      <w:r>
        <w:t xml:space="preserve"> unchecked — possible relationship only</w:t>
      </w:r>
    </w:p>
    <w:p>
      <w:pPr>
        <w:pStyle w:val="Heading2"/>
      </w:pPr>
      <w:r>
        <w:t>148. Claim + two later sources: Foresight as a tool of public administration in the field of science, technology and innovation</w:t>
      </w:r>
    </w:p>
    <w:p>
      <w:pPr>
        <w:pStyle w:val="SourceNote"/>
      </w:pPr>
      <w:r>
        <w:rPr>
          <w:b/>
        </w:rPr>
        <w:t>Group ID:</w:t>
      </w:r>
      <w:r>
        <w:t xml:space="preserve"> group-8ea09e43862111bcdc68</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Space Economy Research Trends for Foresight Analysis — https://doi.org/10.1590/jatm.v18.1416</w:t>
      </w:r>
    </w:p>
    <w:p>
      <w:pPr>
        <w:pStyle w:val="SourceNote"/>
      </w:pPr>
      <w:r>
        <w:rPr>
          <w:b/>
        </w:rPr>
        <w:t>Review status:</w:t>
      </w:r>
      <w:r>
        <w:t xml:space="preserve"> unchecked — possible relationship only</w:t>
      </w:r>
    </w:p>
    <w:p>
      <w:pPr>
        <w:pStyle w:val="Heading2"/>
      </w:pPr>
      <w:r>
        <w:t>149.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150.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151. Claim + two later sources: REMIND-D: A Hybrid Energy-Economy Model of Germany</w:t>
      </w:r>
    </w:p>
    <w:p>
      <w:pPr>
        <w:pStyle w:val="SourceNote"/>
      </w:pPr>
      <w:r>
        <w:rPr>
          <w:b/>
        </w:rPr>
        <w:t>Group ID:</w:t>
      </w:r>
      <w:r>
        <w:t xml:space="preserve"> group-cef1d4f2aca4057333e2</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Thirty Years of Agricultural Landscape Simplification in Europe: A Multi-Scale Assessment Using CORINE Land Cover and GAM Models — https://doi.org/10.3390/land15081370</w:t>
      </w:r>
    </w:p>
    <w:p>
      <w:pPr>
        <w:pStyle w:val="SourceNote"/>
      </w:pPr>
      <w:r>
        <w:rPr>
          <w:b/>
        </w:rPr>
        <w:t>Review status:</w:t>
      </w:r>
      <w:r>
        <w:t xml:space="preserve"> unchecked — possible relationship only</w:t>
      </w:r>
    </w:p>
    <w:p>
      <w:pPr>
        <w:pStyle w:val="Heading2"/>
      </w:pPr>
      <w:r>
        <w:t>152. Claim + two later sources: Pathway Analysis of a Zero-Emission Transition in the Nordic-Baltic Region</w:t>
      </w:r>
    </w:p>
    <w:p>
      <w:pPr>
        <w:pStyle w:val="SourceNote"/>
      </w:pPr>
      <w:r>
        <w:rPr>
          <w:b/>
        </w:rPr>
        <w:t>Group ID:</w:t>
      </w:r>
      <w:r>
        <w:t xml:space="preserve"> group-62f4c4f1d5a9ac377353</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Analyzing the impact of the Ostend declaration stated offshore wind targets on the European energy system — https://doi.org/10.1088/2753-3751/ae69e4</w:t>
      </w:r>
    </w:p>
    <w:p>
      <w:pPr>
        <w:pStyle w:val="SourceNote"/>
      </w:pPr>
      <w:r>
        <w:rPr>
          <w:b/>
        </w:rPr>
        <w:t>Review status:</w:t>
      </w:r>
      <w:r>
        <w:t xml:space="preserve"> unchecked — possible relationship only</w:t>
      </w:r>
    </w:p>
    <w:p>
      <w:pPr>
        <w:pStyle w:val="Heading2"/>
      </w:pPr>
      <w:r>
        <w:t>153. Claim + two later sources: Bioenergy futures in Sweden – Modeling integration scenarios for biofuel production</w:t>
      </w:r>
    </w:p>
    <w:p>
      <w:pPr>
        <w:pStyle w:val="SourceNote"/>
      </w:pPr>
      <w:r>
        <w:rPr>
          <w:b/>
        </w:rPr>
        <w:t>Group ID:</w:t>
      </w:r>
      <w:r>
        <w:t xml:space="preserve"> group-b97441657f0b84491389</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Increased Holocene Diversity in Europe Linked to Human‐Associated Vegetation Change — https://doi.org/10.1111/geb.70166</w:t>
      </w:r>
    </w:p>
    <w:p>
      <w:pPr>
        <w:pStyle w:val="SourceNote"/>
      </w:pPr>
      <w:r>
        <w:rPr>
          <w:b/>
        </w:rPr>
        <w:t>Review status:</w:t>
      </w:r>
      <w:r>
        <w:t xml:space="preserve"> unchecked — possible relationship only</w:t>
      </w:r>
    </w:p>
    <w:p>
      <w:pPr>
        <w:pStyle w:val="Heading2"/>
      </w:pPr>
      <w:r>
        <w:t>154.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155. Claim + two later sources: Fiscal foresighting: analysis of researches</w:t>
      </w:r>
    </w:p>
    <w:p>
      <w:pPr>
        <w:pStyle w:val="SourceNote"/>
      </w:pPr>
      <w:r>
        <w:rPr>
          <w:b/>
        </w:rPr>
        <w:t>Group ID:</w:t>
      </w:r>
      <w:r>
        <w:t xml:space="preserve"> group-0a92633e34c515753e85</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AND PRACTICAL ASPECTS OF QUALIFYING PICKPOCKETING: ANALYSIS OF THE OBJECTIVE AND SUBJECTIVE ELEMENTS — https://doi.org/10.5281/zenodo.18723249</w:t>
      </w:r>
    </w:p>
    <w:p>
      <w:pPr>
        <w:pStyle w:val="SourceNote"/>
      </w:pPr>
      <w:r>
        <w:rPr>
          <w:b/>
        </w:rPr>
        <w:t>Review status:</w:t>
      </w:r>
      <w:r>
        <w:t xml:space="preserve"> unchecked — possible relationship only</w:t>
      </w:r>
    </w:p>
    <w:p>
      <w:pPr>
        <w:pStyle w:val="Heading2"/>
      </w:pPr>
      <w:r>
        <w:t>156.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157. Claim + two later sources: Are Carbon Prices Redundant in the 2030 EU Climate and Energy Policy Package?</w:t>
      </w:r>
    </w:p>
    <w:p>
      <w:pPr>
        <w:pStyle w:val="SourceNote"/>
      </w:pPr>
      <w:r>
        <w:rPr>
          <w:b/>
        </w:rPr>
        <w:t>Group ID:</w:t>
      </w:r>
      <w:r>
        <w:t xml:space="preserve"> group-60c8e913d579240ddce8</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Defragmenting European Union climate policy — https://doi.org/10.64153/vxjj9392</w:t>
      </w:r>
    </w:p>
    <w:p>
      <w:pPr/>
      <w:r>
        <w:rPr>
          <w:b/>
        </w:rPr>
        <w:t>Later source:</w:t>
      </w:r>
      <w:r>
        <w:t xml:space="preserve"> From Policy to Practice: European Funding and the Development of Energy-Efficient Buildings in Romania’s Mountain Regions — https://doi.org/10.3390/buildings16061161</w:t>
      </w:r>
    </w:p>
    <w:p>
      <w:pPr>
        <w:pStyle w:val="SourceNote"/>
      </w:pPr>
      <w:r>
        <w:rPr>
          <w:b/>
        </w:rPr>
        <w:t>Review status:</w:t>
      </w:r>
      <w:r>
        <w:t xml:space="preserve"> unchecked — possible relationship only</w:t>
      </w:r>
    </w:p>
    <w:p>
      <w:pPr>
        <w:pStyle w:val="Heading2"/>
      </w:pPr>
      <w:r>
        <w:t>158. Claim + two later sources: Institutional issues in planning for more uncertain futures</w:t>
      </w:r>
    </w:p>
    <w:p>
      <w:pPr>
        <w:pStyle w:val="SourceNote"/>
      </w:pPr>
      <w:r>
        <w:rPr>
          <w:b/>
        </w:rPr>
        <w:t>Group ID:</w:t>
      </w:r>
      <w:r>
        <w:t xml:space="preserve"> group-2112486823b4d66d660b</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When mobility becomes a compromise: intersectional social identities in mobility in Boston and Austin — https://doi.org/10.1016/j.trip.2026.102259</w:t>
      </w:r>
    </w:p>
    <w:p>
      <w:pPr/>
      <w:r>
        <w:rPr>
          <w:b/>
        </w:rPr>
        <w:t>Later source:</w:t>
      </w:r>
      <w:r>
        <w:t xml:space="preserve"> Shaping institutional change in skill formation: the role of background ideas in growth strategies — https://doi.org/10.1080/13501763.2025.2490188</w:t>
      </w:r>
    </w:p>
    <w:p>
      <w:pPr>
        <w:pStyle w:val="SourceNote"/>
      </w:pPr>
      <w:r>
        <w:rPr>
          <w:b/>
        </w:rPr>
        <w:t>Review status:</w:t>
      </w:r>
      <w:r>
        <w:t xml:space="preserve"> unchecked — possible relationship only</w:t>
      </w:r>
    </w:p>
    <w:p>
      <w:pPr>
        <w:pStyle w:val="Heading2"/>
      </w:pPr>
      <w:r>
        <w:t>159.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160. Claim + two later sources: Backcasting for desirable futures in Finnish forest-based firms</w:t>
      </w:r>
    </w:p>
    <w:p>
      <w:pPr>
        <w:pStyle w:val="SourceNote"/>
      </w:pPr>
      <w:r>
        <w:rPr>
          <w:b/>
        </w:rPr>
        <w:t>Group ID:</w:t>
      </w:r>
      <w:r>
        <w:t xml:space="preserve"> group-968d37313ee1561c285e</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Later source:</w:t>
      </w:r>
      <w:r>
        <w:t xml:space="preserve"> Expanding financial inclusion participation in Muslim-dominated communities through Islamic finance products (IFP) adoption — https://doi.org/10.1108/jiabr-09-2023-0308</w:t>
      </w:r>
    </w:p>
    <w:p>
      <w:pPr>
        <w:pStyle w:val="SourceNote"/>
      </w:pPr>
      <w:r>
        <w:rPr>
          <w:b/>
        </w:rPr>
        <w:t>Review status:</w:t>
      </w:r>
      <w:r>
        <w:t xml:space="preserve"> unchecked — possible relationship only</w:t>
      </w:r>
    </w:p>
    <w:p>
      <w:pPr>
        <w:pStyle w:val="Heading2"/>
      </w:pPr>
      <w:r>
        <w:t>161.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162. Claim + two later sources: The July 2019 European Heat Wave in a Warmer Climate: Storyline Scenarios with a Coupled Model Using Spectral Nudging</w:t>
      </w:r>
    </w:p>
    <w:p>
      <w:pPr>
        <w:pStyle w:val="SourceNote"/>
      </w:pPr>
      <w:r>
        <w:rPr>
          <w:b/>
        </w:rPr>
        <w:t>Group ID:</w:t>
      </w:r>
      <w:r>
        <w:t xml:space="preserve"> group-7724e6a7a01f28f4da8d</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Evaluating Alpha-1 Antitrypsin Deficiency testing across Europe to ensure diagnostic accuracy: an EARCO multicentre project — https://doi.org/10.1186/s12931-026-03796-y</w:t>
      </w:r>
    </w:p>
    <w:p>
      <w:pPr>
        <w:pStyle w:val="SourceNote"/>
      </w:pPr>
      <w:r>
        <w:rPr>
          <w:b/>
        </w:rPr>
        <w:t>Review status:</w:t>
      </w:r>
      <w:r>
        <w:t xml:space="preserve"> unchecked — possible relationship only</w:t>
      </w:r>
    </w:p>
    <w:p>
      <w:pPr>
        <w:pStyle w:val="Heading2"/>
      </w:pPr>
      <w:r>
        <w:t>163.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164.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165.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166. Claim + two later sources: Where is the EU headed given its current climate policy? A stakeholder-driven model inter-comparison</w:t>
      </w:r>
    </w:p>
    <w:p>
      <w:pPr>
        <w:pStyle w:val="SourceNote"/>
      </w:pPr>
      <w:r>
        <w:rPr>
          <w:b/>
        </w:rPr>
        <w:t>Group ID:</w:t>
      </w:r>
      <w:r>
        <w:t xml:space="preserve"> group-35ed3403fdeecc4d4f65</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Still on track for electrification? A qualitative comparative analysis of e-mobility policy mixes in 14 European cities — https://doi.org/10.1016/j.urbmob.2025.100114</w:t>
      </w:r>
    </w:p>
    <w:p>
      <w:pPr>
        <w:pStyle w:val="SourceNote"/>
      </w:pPr>
      <w:r>
        <w:rPr>
          <w:b/>
        </w:rPr>
        <w:t>Review status:</w:t>
      </w:r>
      <w:r>
        <w:t xml:space="preserve"> unchecked — possible relationship only</w:t>
      </w:r>
    </w:p>
    <w:p>
      <w:pPr>
        <w:pStyle w:val="Heading2"/>
      </w:pPr>
      <w:r>
        <w:t>167. Claim + two later sources: A threat to climate-secure European futures? Exploring racial logics and climate-induced migration in US and EU climate security discourses</w:t>
      </w:r>
    </w:p>
    <w:p>
      <w:pPr>
        <w:pStyle w:val="SourceNote"/>
      </w:pPr>
      <w:r>
        <w:rPr>
          <w:b/>
        </w:rPr>
        <w:t>Group ID:</w:t>
      </w:r>
      <w:r>
        <w:t xml:space="preserve"> group-bad36758c9bd200166d7</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Learning as Governance: Discursive Constructions of Learning in the Postdigital Knowledge Economy — https://doi.org/10.1007/978-3-032-21956-5_2</w:t>
      </w:r>
    </w:p>
    <w:p>
      <w:pPr>
        <w:pStyle w:val="SourceNote"/>
      </w:pPr>
      <w:r>
        <w:rPr>
          <w:b/>
        </w:rPr>
        <w:t>Review status:</w:t>
      </w:r>
      <w:r>
        <w:t xml:space="preserve"> unchecked — possible relationship only</w:t>
      </w:r>
    </w:p>
    <w:p>
      <w:pPr>
        <w:pStyle w:val="Heading2"/>
      </w:pPr>
      <w:r>
        <w:t>168. Claim + two later sources: Animal health aspects of adaptation to climate change: beating the heat and parasites in a warming Europe</w:t>
      </w:r>
    </w:p>
    <w:p>
      <w:pPr>
        <w:pStyle w:val="SourceNote"/>
      </w:pPr>
      <w:r>
        <w:rPr>
          <w:b/>
        </w:rPr>
        <w:t>Group ID:</w:t>
      </w:r>
      <w:r>
        <w:t xml:space="preserve"> group-8cc81a01aef946f79307</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Direct and indirect genetic effects of birthweight predisposition on child DNA methylation at birth — https://doi.org/10.1080/15592294.2026.2654101</w:t>
      </w:r>
    </w:p>
    <w:p>
      <w:pPr/>
      <w:r>
        <w:rPr>
          <w:b/>
        </w:rPr>
        <w:t>Later source:</w:t>
      </w:r>
      <w:r>
        <w:t xml:space="preserve"> Epidemiology and Economic Burden of Sleep Disorders in Europe — https://doi.org/10.1111/ene.70463</w:t>
      </w:r>
    </w:p>
    <w:p>
      <w:pPr>
        <w:pStyle w:val="SourceNote"/>
      </w:pPr>
      <w:r>
        <w:rPr>
          <w:b/>
        </w:rPr>
        <w:t>Review status:</w:t>
      </w:r>
      <w:r>
        <w:t xml:space="preserve"> unchecked — possible relationship only</w:t>
      </w:r>
    </w:p>
    <w:p>
      <w:pPr>
        <w:pStyle w:val="Heading2"/>
      </w:pPr>
      <w:r>
        <w:t>169.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170.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171.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172.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group-08302c0c8d7abef5711a</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Simplifying decision-making in model-based co-design of building energy systems through automatically generated optimal controls — https://doi.org/10.26868/25222708.2025.1690</w:t>
      </w:r>
    </w:p>
    <w:p>
      <w:pPr>
        <w:pStyle w:val="SourceNote"/>
      </w:pPr>
      <w:r>
        <w:rPr>
          <w:b/>
        </w:rPr>
        <w:t>Review status:</w:t>
      </w:r>
      <w:r>
        <w:t xml:space="preserve"> unchecked — possible relationship only</w:t>
      </w:r>
    </w:p>
    <w:p>
      <w:pPr>
        <w:pStyle w:val="Heading2"/>
      </w:pPr>
      <w:r>
        <w:t>173.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174. Claim + two later sources: How climate, migration ability and habitat fragmentation affect the projected future distribution of European beech</w:t>
      </w:r>
    </w:p>
    <w:p>
      <w:pPr>
        <w:pStyle w:val="SourceNote"/>
      </w:pPr>
      <w:r>
        <w:rPr>
          <w:b/>
        </w:rPr>
        <w:t>Group ID:</w:t>
      </w:r>
      <w:r>
        <w:t xml:space="preserve"> group-a4316eb5276419a6a364</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Habitat-specific trends in taxonomic, functional, and phylogenetic diversity in European plant communities over a century — https://doi.org/10.1038/s41467-026-72112-5</w:t>
      </w:r>
    </w:p>
    <w:p>
      <w:pPr>
        <w:pStyle w:val="SourceNote"/>
      </w:pPr>
      <w:r>
        <w:rPr>
          <w:b/>
        </w:rPr>
        <w:t>Review status:</w:t>
      </w:r>
      <w:r>
        <w:t xml:space="preserve"> unchecked — possible relationship only</w:t>
      </w:r>
    </w:p>
    <w:p>
      <w:pPr>
        <w:pStyle w:val="Heading2"/>
      </w:pPr>
      <w:r>
        <w:t>175.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176.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177. Claim + two later sources: The role of district heating systems to provide balancing services in the European Union</w:t>
      </w:r>
    </w:p>
    <w:p>
      <w:pPr>
        <w:pStyle w:val="SourceNote"/>
      </w:pPr>
      <w:r>
        <w:rPr>
          <w:b/>
        </w:rPr>
        <w:t>Group ID:</w:t>
      </w:r>
      <w:r>
        <w:t xml:space="preserve"> group-507157e19e0d9e84d566</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Life cycle assessment of wave energy: the Mutriku case study — https://doi.org/10.1007/s40722-026-00487-0</w:t>
      </w:r>
    </w:p>
    <w:p>
      <w:pPr>
        <w:pStyle w:val="SourceNote"/>
      </w:pPr>
      <w:r>
        <w:rPr>
          <w:b/>
        </w:rPr>
        <w:t>Review status:</w:t>
      </w:r>
      <w:r>
        <w:t xml:space="preserve"> unchecked — possible relationship only</w:t>
      </w:r>
    </w:p>
    <w:p>
      <w:pPr>
        <w:pStyle w:val="Heading2"/>
      </w:pPr>
      <w:r>
        <w:t>178. Claim + two later sources: Scenario‐based fertility projections incorporating impacts of COVID‐19</w:t>
      </w:r>
    </w:p>
    <w:p>
      <w:pPr>
        <w:pStyle w:val="SourceNote"/>
      </w:pPr>
      <w:r>
        <w:rPr>
          <w:b/>
        </w:rPr>
        <w:t>Group ID:</w:t>
      </w:r>
      <w:r>
        <w:t xml:space="preserve"> group-1548324f1d42a3ad5dc6</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Three generations of NARCliM: future projections of mean and extreme climate over the CORDEX Australasia domain — https://doi.org/10.1038/s41612-025-01280-w</w:t>
      </w:r>
    </w:p>
    <w:p>
      <w:pPr/>
      <w:r>
        <w:rPr>
          <w:b/>
        </w:rPr>
        <w:t>Later source:</w:t>
      </w:r>
      <w:r>
        <w:t xml:space="preserve"> The Likelihood of Persistently Low Global Fertility — https://doi.org/10.1257/jep.20251463</w:t>
      </w:r>
    </w:p>
    <w:p>
      <w:pPr>
        <w:pStyle w:val="SourceNote"/>
      </w:pPr>
      <w:r>
        <w:rPr>
          <w:b/>
        </w:rPr>
        <w:t>Review status:</w:t>
      </w:r>
      <w:r>
        <w:t xml:space="preserve"> unchecked — possible relationship only</w:t>
      </w:r>
    </w:p>
    <w:p>
      <w:pPr>
        <w:pStyle w:val="Heading2"/>
      </w:pPr>
      <w:r>
        <w:t>179.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180. Claim + two later sources: Towards Europe 2035 - In Search of the Archimedean Screw: FOCUS in Perspective</w:t>
      </w:r>
    </w:p>
    <w:p>
      <w:pPr>
        <w:pStyle w:val="SourceNote"/>
      </w:pPr>
      <w:r>
        <w:rPr>
          <w:b/>
        </w:rPr>
        <w:t>Group ID:</w:t>
      </w:r>
      <w:r>
        <w:t xml:space="preserve"> group-4e79217abf15cd656ce7</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Energy policy and economic security: a comparison of Europe and Asia — https://doi.org/10.33223/epj/207199</w:t>
      </w:r>
    </w:p>
    <w:p>
      <w:pPr/>
      <w:r>
        <w:rPr>
          <w:b/>
        </w:rPr>
        <w:t>Later source:</w:t>
      </w:r>
      <w:r>
        <w:t xml:space="preserve"> PUBLIC SECURITY AS AN ADMINISTRATIVE FUNCTION IN THE EUROPEAN UNION. A MULTILEVEL GOVERNANCE APPROACH — https://doi.org/10.13165/pspo-25-38-01-02</w:t>
      </w:r>
    </w:p>
    <w:p>
      <w:pPr>
        <w:pStyle w:val="SourceNote"/>
      </w:pPr>
      <w:r>
        <w:rPr>
          <w:b/>
        </w:rPr>
        <w:t>Review status:</w:t>
      </w:r>
      <w:r>
        <w:t xml:space="preserve"> unchecked — possible relationship only</w:t>
      </w:r>
    </w:p>
    <w:p>
      <w:pPr>
        <w:pStyle w:val="Heading2"/>
      </w:pPr>
      <w:r>
        <w:t>181. Claim + two later sources: Towards an assessment of adaptive capacity of the European agricultural sector to droughts</w:t>
      </w:r>
    </w:p>
    <w:p>
      <w:pPr>
        <w:pStyle w:val="SourceNote"/>
      </w:pPr>
      <w:r>
        <w:rPr>
          <w:b/>
        </w:rPr>
        <w:t>Group ID:</w:t>
      </w:r>
      <w:r>
        <w:t xml:space="preserve"> group-ba79a7339e9df6ddc3dd</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DIGITALIZATION AND ENERGY INDICATORS IN THE EUROPEAN UNION — https://doi.org/10.38104/vadyba.2026.2.04</w:t>
      </w:r>
    </w:p>
    <w:p>
      <w:pPr/>
      <w:r>
        <w:rPr>
          <w:b/>
        </w:rPr>
        <w:t>Later source:</w:t>
      </w:r>
      <w:r>
        <w:t xml:space="preserve"> EMULATION OF A NUMERICAL URBAN MODEL TO CREATE HIGH-RESOLUTION NEAR SURFACE AIR TEMPERATURE OVER EUROPEAN CITIES — https://doi.org/10.22541/essoar.173671231.11835703/v1</w:t>
      </w:r>
    </w:p>
    <w:p>
      <w:pPr>
        <w:pStyle w:val="SourceNote"/>
      </w:pPr>
      <w:r>
        <w:rPr>
          <w:b/>
        </w:rPr>
        <w:t>Review status:</w:t>
      </w:r>
      <w:r>
        <w:t xml:space="preserve"> unchecked — possible relationship only</w:t>
      </w:r>
    </w:p>
    <w:p>
      <w:pPr>
        <w:pStyle w:val="Heading2"/>
      </w:pPr>
      <w:r>
        <w:t>182.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group-8de1c734c2c1e086cd0a</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Social Exchange Theory — https://doi.org/10.1079/9781800625822.0023</w:t>
      </w:r>
    </w:p>
    <w:p>
      <w:pPr/>
      <w:r>
        <w:rPr>
          <w:b/>
        </w:rPr>
        <w:t>Later source:</w:t>
      </w:r>
      <w:r>
        <w:t xml:space="preserve"> Photocatalytic C–C Coupling by a Au(I) Complex: Mechanistic Elucidation and SET Modulation — https://doi.org/10.1021/jacsau.5c01536</w:t>
      </w:r>
    </w:p>
    <w:p>
      <w:pPr>
        <w:pStyle w:val="SourceNote"/>
      </w:pPr>
      <w:r>
        <w:rPr>
          <w:b/>
        </w:rPr>
        <w:t>Review status:</w:t>
      </w:r>
      <w:r>
        <w:t xml:space="preserve"> unchecked — possible relationship only</w:t>
      </w:r>
    </w:p>
    <w:p>
      <w:pPr>
        <w:pStyle w:val="Heading2"/>
      </w:pPr>
      <w:r>
        <w:t>183. Claim + two later sources: One step ahead? The use of foresight by Czech and Slovak non-governmental organizations</w:t>
      </w:r>
    </w:p>
    <w:p>
      <w:pPr>
        <w:pStyle w:val="SourceNote"/>
      </w:pPr>
      <w:r>
        <w:rPr>
          <w:b/>
        </w:rPr>
        <w:t>Group ID:</w:t>
      </w:r>
      <w:r>
        <w:t xml:space="preserve"> group-5a01b9d17ae56cea2671</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Understanding the Nature of Talent Identification and Development in the Nigerian Context — https://doi.org/10.17869/enu.453361</w:t>
      </w:r>
    </w:p>
    <w:p>
      <w:pPr/>
      <w:r>
        <w:rPr>
          <w:b/>
        </w:rPr>
        <w:t>Later source:</w:t>
      </w:r>
      <w:r>
        <w:t xml:space="preserve"> From Nature to Ecology — https://doi.org/10.1163/18757405-03801004</w:t>
      </w:r>
    </w:p>
    <w:p>
      <w:pPr>
        <w:pStyle w:val="SourceNote"/>
      </w:pPr>
      <w:r>
        <w:rPr>
          <w:b/>
        </w:rPr>
        <w:t>Review status:</w:t>
      </w:r>
      <w:r>
        <w:t xml:space="preserve"> unchecked — possible relationship only</w:t>
      </w:r>
    </w:p>
    <w:p>
      <w:pPr>
        <w:pStyle w:val="Heading2"/>
      </w:pPr>
      <w:r>
        <w:t>184.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185.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186. Claim + two later sources: A comparison of three transformation pathways towards a sustainable European society - An integrated analysis from an energy system perspective</w:t>
      </w:r>
    </w:p>
    <w:p>
      <w:pPr>
        <w:pStyle w:val="SourceNote"/>
      </w:pPr>
      <w:r>
        <w:rPr>
          <w:b/>
        </w:rPr>
        <w:t>Group ID:</w:t>
      </w:r>
      <w:r>
        <w:t xml:space="preserve"> group-4c8b83669f02bd55bec5</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Civil Disobedience Across Contexts - Gandhi’s Methods and Eastern European Resistance Movements — https://doi.org/10.58944/mmnt9341</w:t>
      </w:r>
    </w:p>
    <w:p>
      <w:pPr>
        <w:pStyle w:val="SourceNote"/>
      </w:pPr>
      <w:r>
        <w:rPr>
          <w:b/>
        </w:rPr>
        <w:t>Review status:</w:t>
      </w:r>
      <w:r>
        <w:t xml:space="preserve"> unchecked — possible relationship only</w:t>
      </w:r>
    </w:p>
    <w:p>
      <w:pPr>
        <w:pStyle w:val="Heading2"/>
      </w:pPr>
      <w:r>
        <w:t>187.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188. Claim + two later sources: European Road Safety Policy 2016-2020: A Forecast on Topics and Activities</w:t>
      </w:r>
    </w:p>
    <w:p>
      <w:pPr>
        <w:pStyle w:val="SourceNote"/>
      </w:pPr>
      <w:r>
        <w:rPr>
          <w:b/>
        </w:rPr>
        <w:t>Group ID:</w:t>
      </w:r>
      <w:r>
        <w:t xml:space="preserve"> group-0f80bf37c78a1e958ac2</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European integration and transformed parliamentary opposition: Evidence from five decades of legislative politics — https://doi.org/10.1017/s1475676526100711</w:t>
      </w:r>
    </w:p>
    <w:p>
      <w:pPr>
        <w:pStyle w:val="SourceNote"/>
      </w:pPr>
      <w:r>
        <w:rPr>
          <w:b/>
        </w:rPr>
        <w:t>Review status:</w:t>
      </w:r>
      <w:r>
        <w:t xml:space="preserve"> unchecked — possible relationship only</w:t>
      </w:r>
    </w:p>
    <w:p>
      <w:pPr>
        <w:pStyle w:val="Heading2"/>
      </w:pPr>
      <w:r>
        <w:t>189. Claim + two later sources: ECONOMIC GROWTH PROJECTION FOR EUROPEAN UNION BY 2030</w:t>
      </w:r>
    </w:p>
    <w:p>
      <w:pPr>
        <w:pStyle w:val="SourceNote"/>
      </w:pPr>
      <w:r>
        <w:rPr>
          <w:b/>
        </w:rPr>
        <w:t>Group ID:</w:t>
      </w:r>
      <w:r>
        <w:t xml:space="preserve"> group-27e5fbd4db91523ce87f</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Just another white-striped mosquito? A scoping review and group discussion synthesis on Aedes koreicus in Europe — https://doi.org/10.1016/j.actatropica.2026.108302</w:t>
      </w:r>
    </w:p>
    <w:p>
      <w:pPr/>
      <w:r>
        <w:rPr>
          <w:b/>
        </w:rPr>
        <w:t>Later source:</w:t>
      </w:r>
      <w:r>
        <w:t xml:space="preserve"> The Development of Energy Policy in the European Union — https://doi.org/10.4324/9781003298403</w:t>
      </w:r>
    </w:p>
    <w:p>
      <w:pPr>
        <w:pStyle w:val="SourceNote"/>
      </w:pPr>
      <w:r>
        <w:rPr>
          <w:b/>
        </w:rPr>
        <w:t>Review status:</w:t>
      </w:r>
      <w:r>
        <w:t xml:space="preserve"> unchecked — possible relationship only</w:t>
      </w:r>
    </w:p>
    <w:p>
      <w:pPr>
        <w:pStyle w:val="Heading2"/>
      </w:pPr>
      <w:r>
        <w:t>190. Claim + two later sources: Which way to net zero? a comparative analysis of seven UK 2050 decarbonisation pathways</w:t>
      </w:r>
    </w:p>
    <w:p>
      <w:pPr>
        <w:pStyle w:val="SourceNote"/>
      </w:pPr>
      <w:r>
        <w:rPr>
          <w:b/>
        </w:rPr>
        <w:t>Group ID:</w:t>
      </w:r>
      <w:r>
        <w:t xml:space="preserve"> group-d78029cc0c7b21d6d28d</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Less is More: Controlled Visual Evidence Routing and Redundancy Compression for Key Information Extraction — https://doi.org/10.18653/v1/2026.magmar-main.10</w:t>
      </w:r>
    </w:p>
    <w:p>
      <w:pPr>
        <w:pStyle w:val="SourceNote"/>
      </w:pPr>
      <w:r>
        <w:rPr>
          <w:b/>
        </w:rPr>
        <w:t>Review status:</w:t>
      </w:r>
      <w:r>
        <w:t xml:space="preserve"> unchecked — possible relationship only</w:t>
      </w:r>
    </w:p>
    <w:p>
      <w:pPr>
        <w:pStyle w:val="Heading2"/>
      </w:pPr>
      <w:r>
        <w:t>191. Claim + two later sources: Interpreting long-term energy scenarios and the role of bioenergy in Germany</w:t>
      </w:r>
    </w:p>
    <w:p>
      <w:pPr>
        <w:pStyle w:val="SourceNote"/>
      </w:pPr>
      <w:r>
        <w:rPr>
          <w:b/>
        </w:rPr>
        <w:t>Group ID:</w:t>
      </w:r>
      <w:r>
        <w:t xml:space="preserve"> group-6ad96eb6153d7ee75c91</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European Integration — https://doi.org/10.1017/9781009604093.008</w:t>
      </w:r>
    </w:p>
    <w:p>
      <w:pPr/>
      <w:r>
        <w:rPr>
          <w:b/>
        </w:rPr>
        <w:t>Later source:</w:t>
      </w:r>
      <w:r>
        <w:t xml:space="preserve"> Conceptual-theoretical approaches to the process of europeanization — https://doi.org/10.59295/ierm2025.01</w:t>
      </w:r>
    </w:p>
    <w:p>
      <w:pPr>
        <w:pStyle w:val="SourceNote"/>
      </w:pPr>
      <w:r>
        <w:rPr>
          <w:b/>
        </w:rPr>
        <w:t>Review status:</w:t>
      </w:r>
      <w:r>
        <w:t xml:space="preserve"> unchecked — possible relationship only</w:t>
      </w:r>
    </w:p>
    <w:p>
      <w:pPr>
        <w:pStyle w:val="Heading2"/>
      </w:pPr>
      <w:r>
        <w:t>192.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193. Claim + two later sources: Potential stocks and increments of woody biomass in the European Union under different management and climate scenarios</w:t>
      </w:r>
    </w:p>
    <w:p>
      <w:pPr>
        <w:pStyle w:val="SourceNote"/>
      </w:pPr>
      <w:r>
        <w:rPr>
          <w:b/>
        </w:rPr>
        <w:t>Group ID:</w:t>
      </w:r>
      <w:r>
        <w:t xml:space="preserve"> group-d5c3a5e39d6a5d2860a2</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Contribution of brown carbon to light absorption in emissions of European residential biomass combustion appliances — https://doi.org/10.5194/acp-24-3197-2024</w:t>
      </w:r>
    </w:p>
    <w:p>
      <w:pPr/>
      <w:r>
        <w:rPr>
          <w:b/>
        </w:rPr>
        <w:t>Later source:</w:t>
      </w:r>
      <w:r>
        <w:t xml:space="preserve"> Improved large-area forest increment information in Europe through harmonisation of National Forest Inventories — https://doi.org/10.1016/j.foreco.2024.121913</w:t>
      </w:r>
    </w:p>
    <w:p>
      <w:pPr>
        <w:pStyle w:val="SourceNote"/>
      </w:pPr>
      <w:r>
        <w:rPr>
          <w:b/>
        </w:rPr>
        <w:t>Review status:</w:t>
      </w:r>
      <w:r>
        <w:t xml:space="preserve"> unchecked — possible relationship only</w:t>
      </w:r>
    </w:p>
    <w:p>
      <w:pPr>
        <w:pStyle w:val="Heading2"/>
      </w:pPr>
      <w:r>
        <w:t>194.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195. Claim + two later sources: Crisis futures: The affects and temporalities of economic collapse in Iceland</w:t>
      </w:r>
    </w:p>
    <w:p>
      <w:pPr>
        <w:pStyle w:val="SourceNote"/>
      </w:pPr>
      <w:r>
        <w:rPr>
          <w:b/>
        </w:rPr>
        <w:t>Group ID:</w:t>
      </w:r>
      <w:r>
        <w:t xml:space="preserve"> group-4655e2529f2249001c89</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Transforming the neoliberal state in times of crisis: pathways of democratization and sustainabilization — https://doi.org/10.1080/15487733.2026.2676224</w:t>
      </w:r>
    </w:p>
    <w:p>
      <w:pPr>
        <w:pStyle w:val="SourceNote"/>
      </w:pPr>
      <w:r>
        <w:rPr>
          <w:b/>
        </w:rPr>
        <w:t>Review status:</w:t>
      </w:r>
      <w:r>
        <w:t xml:space="preserve"> unchecked — possible relationship only</w:t>
      </w:r>
    </w:p>
    <w:p>
      <w:pPr>
        <w:pStyle w:val="Heading2"/>
      </w:pPr>
      <w:r>
        <w:t>196.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197. Claim + two later sources: Long-term vision of rural areas in Hungary, focusing on foresights</w:t>
      </w:r>
    </w:p>
    <w:p>
      <w:pPr>
        <w:pStyle w:val="SourceNote"/>
      </w:pPr>
      <w:r>
        <w:rPr>
          <w:b/>
        </w:rPr>
        <w:t>Group ID:</w:t>
      </w:r>
      <w:r>
        <w:t xml:space="preserve"> group-d2e30d3e9f62f99716a5</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The European Union’s Sanction Policy – Challenges and Opportunities of the 2024 Hungarian EU Presidency — https://doi.org/10.36250/01303_77</w:t>
      </w:r>
    </w:p>
    <w:p>
      <w:pPr/>
      <w:r>
        <w:rPr>
          <w:b/>
        </w:rPr>
        <w:t>Later source:</w:t>
      </w:r>
      <w:r>
        <w:t xml:space="preserve"> Prevalence of Smith–Lemli–Opitz Syndrome Carriers and the Spectrum of DHCR7 Pathogenic Variants in Representative Czech and Hungarian Population Cohorts — https://doi.org/10.3390/genes17020164</w:t>
      </w:r>
    </w:p>
    <w:p>
      <w:pPr>
        <w:pStyle w:val="SourceNote"/>
      </w:pPr>
      <w:r>
        <w:rPr>
          <w:b/>
        </w:rPr>
        <w:t>Review status:</w:t>
      </w:r>
      <w:r>
        <w:t xml:space="preserve"> unchecked — possible relationship only</w:t>
      </w:r>
    </w:p>
    <w:p>
      <w:pPr>
        <w:pStyle w:val="Heading2"/>
      </w:pPr>
      <w:r>
        <w:t>198. Claim + two later sources: European human‐dominated landscapes provide ample space for the recolonization of large carnivore populations under future land change scenarios</w:t>
      </w:r>
    </w:p>
    <w:p>
      <w:pPr>
        <w:pStyle w:val="SourceNote"/>
      </w:pPr>
      <w:r>
        <w:rPr>
          <w:b/>
        </w:rPr>
        <w:t>Group ID:</w:t>
      </w:r>
      <w:r>
        <w:t xml:space="preserve"> group-42cf88a0aaa294576418</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Increasing land take in Europe’s land-water interface — https://doi.org/10.32942/x2j946</w:t>
      </w:r>
    </w:p>
    <w:p>
      <w:pPr/>
      <w:r>
        <w:rPr>
          <w:b/>
        </w:rPr>
        <w:t>Later source:</w:t>
      </w:r>
      <w:r>
        <w:t xml:space="preserve"> Regional land use and land-use intensity effects on vertebrate biodiversity across Europe identified using species distribution models — https://doi.org/10.1007/s10980-026-02379-y</w:t>
      </w:r>
    </w:p>
    <w:p>
      <w:pPr>
        <w:pStyle w:val="SourceNote"/>
      </w:pPr>
      <w:r>
        <w:rPr>
          <w:b/>
        </w:rPr>
        <w:t>Review status:</w:t>
      </w:r>
      <w:r>
        <w:t xml:space="preserve"> unchecked — possible relationship only</w:t>
      </w:r>
    </w:p>
    <w:p>
      <w:pPr>
        <w:pStyle w:val="Heading2"/>
      </w:pPr>
      <w:r>
        <w:t>199.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200.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201. Claim + two later sources: Proposals of European Citizens for Reviving the Future of Shrinking Areas</w:t>
      </w:r>
    </w:p>
    <w:p>
      <w:pPr>
        <w:pStyle w:val="SourceNote"/>
      </w:pPr>
      <w:r>
        <w:rPr>
          <w:b/>
        </w:rPr>
        <w:t>Group ID:</w:t>
      </w:r>
      <w:r>
        <w:t xml:space="preserve"> group-4874abe8c59ca7e11966</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Envisioning the future of European mountain value chains: a participatory foresight approach — https://doi.org/10.1007/s10113-025-02454-1</w:t>
      </w:r>
    </w:p>
    <w:p>
      <w:pPr/>
      <w:r>
        <w:rPr>
          <w:b/>
        </w:rPr>
        <w:t>Later source:</w:t>
      </w:r>
      <w:r>
        <w:t xml:space="preserve"> Declining Opportunities? Perceptions of Housing Market Risk in Shrinking Cities — https://doi.org/10.17645/up.11077</w:t>
      </w:r>
    </w:p>
    <w:p>
      <w:pPr>
        <w:pStyle w:val="SourceNote"/>
      </w:pPr>
      <w:r>
        <w:rPr>
          <w:b/>
        </w:rPr>
        <w:t>Review status:</w:t>
      </w:r>
      <w:r>
        <w:t xml:space="preserve"> unchecked — possible relationship only</w:t>
      </w:r>
    </w:p>
    <w:p>
      <w:pPr>
        <w:pStyle w:val="Heading2"/>
      </w:pPr>
      <w:r>
        <w:t>202.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203. Claim + two later sources: Scenarios for European agricultural policymaking in the era of digitalisation</w:t>
      </w:r>
    </w:p>
    <w:p>
      <w:pPr>
        <w:pStyle w:val="SourceNote"/>
      </w:pPr>
      <w:r>
        <w:rPr>
          <w:b/>
        </w:rPr>
        <w:t>Group ID:</w:t>
      </w:r>
      <w:r>
        <w:t xml:space="preserve"> group-6e01f2b53076879a1d18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Climate‐Driven Shifts in the Potential Distribution of Quarantine Forest Pathogens in Europe: Insights From Species Distribution Modelling — https://doi.org/10.1111/ppa.70187</w:t>
      </w:r>
    </w:p>
    <w:p>
      <w:pPr>
        <w:pStyle w:val="SourceNote"/>
      </w:pPr>
      <w:r>
        <w:rPr>
          <w:b/>
        </w:rPr>
        <w:t>Review status:</w:t>
      </w:r>
      <w:r>
        <w:t xml:space="preserve"> unchecked — possible relationship only</w:t>
      </w:r>
    </w:p>
    <w:p>
      <w:pPr>
        <w:pStyle w:val="Heading2"/>
      </w:pPr>
      <w:r>
        <w:t>204.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205.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206.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group-aa45d99c2a60ba84348f</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Electricity demand and grid impacts of AI data centers: Challenges and prospects — https://doi.org/10.1016/j.ynexs.2026.100162</w:t>
      </w:r>
    </w:p>
    <w:p>
      <w:pPr/>
      <w:r>
        <w:rPr>
          <w:b/>
        </w:rPr>
        <w:t>Later source:</w:t>
      </w:r>
      <w:r>
        <w:t xml:space="preserve"> Net-zero pathways and the future of GB electricity transmission networks — https://openalex.org/W7113082078</w:t>
      </w:r>
    </w:p>
    <w:p>
      <w:pPr>
        <w:pStyle w:val="SourceNote"/>
      </w:pPr>
      <w:r>
        <w:rPr>
          <w:b/>
        </w:rPr>
        <w:t>Review status:</w:t>
      </w:r>
      <w:r>
        <w:t xml:space="preserve"> unchecked — possible relationship only</w:t>
      </w:r>
    </w:p>
    <w:p>
      <w:pPr>
        <w:pStyle w:val="Heading2"/>
      </w:pPr>
      <w:r>
        <w:t>207. Claim + two later sources: Policy Modelling for Ambitious Energy Efficiency Investment in the EU Residential Buildings</w:t>
      </w:r>
    </w:p>
    <w:p>
      <w:pPr>
        <w:pStyle w:val="SourceNote"/>
      </w:pPr>
      <w:r>
        <w:rPr>
          <w:b/>
        </w:rPr>
        <w:t>Group ID:</w:t>
      </w:r>
      <w:r>
        <w:t xml:space="preserve"> group-cb2f6ba2425c7125f271</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Inoperability of Investment Treaties within Europe: CJEU Jurisprudence and Its Impact on Investment Arbitration — https://openalex.org/W7113066800</w:t>
      </w:r>
    </w:p>
    <w:p>
      <w:pPr/>
      <w:r>
        <w:rPr>
          <w:b/>
        </w:rPr>
        <w:t>Later source:</w:t>
      </w:r>
      <w:r>
        <w:t xml:space="preserve"> The Geopolitical Shift and the Challenge to European Integration — https://doi.org/10.1007/978-3-032-18648-5_1</w:t>
      </w:r>
    </w:p>
    <w:p>
      <w:pPr>
        <w:pStyle w:val="SourceNote"/>
      </w:pPr>
      <w:r>
        <w:rPr>
          <w:b/>
        </w:rPr>
        <w:t>Review status:</w:t>
      </w:r>
      <w:r>
        <w:t xml:space="preserve"> unchecked — possible relationship only</w:t>
      </w:r>
    </w:p>
    <w:p>
      <w:pPr>
        <w:pStyle w:val="Heading2"/>
      </w:pPr>
      <w:r>
        <w:t>208. Claim + two later sources: A New Climate for Europe: 2030 Climate Targets Must Be More Ambitious</w:t>
      </w:r>
    </w:p>
    <w:p>
      <w:pPr>
        <w:pStyle w:val="SourceNote"/>
      </w:pPr>
      <w:r>
        <w:rPr>
          <w:b/>
        </w:rPr>
        <w:t>Group ID:</w:t>
      </w:r>
      <w:r>
        <w:t xml:space="preserve"> group-a6d4e0fecacad7b4af78</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209. Claim + two later sources: Dutch Public health Foresight study 2018/20</w:t>
      </w:r>
    </w:p>
    <w:p>
      <w:pPr>
        <w:pStyle w:val="SourceNote"/>
      </w:pPr>
      <w:r>
        <w:rPr>
          <w:b/>
        </w:rPr>
        <w:t>Group ID:</w:t>
      </w:r>
      <w:r>
        <w:t xml:space="preserve"> group-0ae503d106c69969e82b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https://doi.org/10.6084/m9.figshare.31875322</w:t>
      </w:r>
    </w:p>
    <w:p>
      <w:pPr>
        <w:pStyle w:val="SourceNote"/>
      </w:pPr>
      <w:r>
        <w:rPr>
          <w:b/>
        </w:rPr>
        <w:t>Review status:</w:t>
      </w:r>
      <w:r>
        <w:t xml:space="preserve"> unchecked — possible relationship only</w:t>
      </w:r>
    </w:p>
    <w:p>
      <w:pPr>
        <w:pStyle w:val="Heading2"/>
      </w:pPr>
      <w:r>
        <w:t>210.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211. Claim + two later sources: An Agent-Based Assessment of Land Use and Ecosystem Changes in Traditional Agricultural Landscape of Portugal</w:t>
      </w:r>
    </w:p>
    <w:p>
      <w:pPr>
        <w:pStyle w:val="SourceNote"/>
      </w:pPr>
      <w:r>
        <w:rPr>
          <w:b/>
        </w:rPr>
        <w:t>Group ID:</w:t>
      </w:r>
      <w:r>
        <w:t xml:space="preserve"> group-cf10bb40ebfd0198b5b1</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Model Code and Data for "Future projections of burned area in Europe highlight the importance of human action" — https://doi.org/10.5281/zenodo.18740007</w:t>
      </w:r>
    </w:p>
    <w:p>
      <w:pPr/>
      <w:r>
        <w:rPr>
          <w:b/>
        </w:rPr>
        <w:t>Later source:</w:t>
      </w:r>
      <w:r>
        <w:t xml:space="preserve"> Spatiotemporal analysis of montado land cover dynamics in southern Portugal: the influence of anthropogenic and natural disturbances — https://doi.org/10.1007/s10457-026-01564-x</w:t>
      </w:r>
    </w:p>
    <w:p>
      <w:pPr>
        <w:pStyle w:val="SourceNote"/>
      </w:pPr>
      <w:r>
        <w:rPr>
          <w:b/>
        </w:rPr>
        <w:t>Review status:</w:t>
      </w:r>
      <w:r>
        <w:t xml:space="preserve"> unchecked — possible relationship only</w:t>
      </w:r>
    </w:p>
    <w:p>
      <w:pPr>
        <w:pStyle w:val="Heading2"/>
      </w:pPr>
      <w:r>
        <w:t>212.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213. Claim + two later sources: Anticipatory governance for newcomers: lessons learned from the UK, the Netherlands, Finland, and Korea</w:t>
      </w:r>
    </w:p>
    <w:p>
      <w:pPr>
        <w:pStyle w:val="SourceNote"/>
      </w:pPr>
      <w:r>
        <w:rPr>
          <w:b/>
        </w:rPr>
        <w:t>Group ID:</w:t>
      </w:r>
      <w:r>
        <w:t xml:space="preserve"> group-f4371aacf880613dd0e4</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Educating and raising public awareness about floods with uniformed high-water marks — https://doi.org/10.5194/ems2025-48</w:t>
      </w:r>
    </w:p>
    <w:p>
      <w:pPr>
        <w:pStyle w:val="SourceNote"/>
      </w:pPr>
      <w:r>
        <w:rPr>
          <w:b/>
        </w:rPr>
        <w:t>Review status:</w:t>
      </w:r>
      <w:r>
        <w:t xml:space="preserve"> unchecked — possible relationship only</w:t>
      </w:r>
    </w:p>
    <w:p>
      <w:pPr>
        <w:pStyle w:val="Heading2"/>
      </w:pPr>
      <w:r>
        <w:t>214. Claim + two later sources: Foresight and “grand challenges” within research and innovation policies</w:t>
      </w:r>
    </w:p>
    <w:p>
      <w:pPr>
        <w:pStyle w:val="SourceNote"/>
      </w:pPr>
      <w:r>
        <w:rPr>
          <w:b/>
        </w:rPr>
        <w:t>Group ID:</w:t>
      </w:r>
      <w:r>
        <w:t xml:space="preserve"> group-6d2ad0023d4f371a8b4f</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Between trauma and resistance: Pride, pleasure, and purpose in the lives of trans and gender diverse activists in Brazil. — https://doi.org/10.1037/tra0002117</w:t>
      </w:r>
    </w:p>
    <w:p>
      <w:pPr/>
      <w:r>
        <w:rPr>
          <w:b/>
        </w:rPr>
        <w:t>Later source:</w:t>
      </w:r>
      <w:r>
        <w:t xml:space="preserve"> The Pursuit of Meaning: Finding Happiness Through Purpose — https://doi.org/10.17605/osf.io/mgfdk</w:t>
      </w:r>
    </w:p>
    <w:p>
      <w:pPr>
        <w:pStyle w:val="SourceNote"/>
      </w:pPr>
      <w:r>
        <w:rPr>
          <w:b/>
        </w:rPr>
        <w:t>Review status:</w:t>
      </w:r>
      <w:r>
        <w:t xml:space="preserve"> unchecked — possible relationship only</w:t>
      </w:r>
    </w:p>
    <w:p>
      <w:pPr>
        <w:pStyle w:val="Heading2"/>
      </w:pPr>
      <w:r>
        <w:t>215. Claim + two later sources: Governance barriers to sustainable energy transitions – Assessing Ireland's capacity towards marine energy futures</w:t>
      </w:r>
    </w:p>
    <w:p>
      <w:pPr>
        <w:pStyle w:val="SourceNote"/>
      </w:pPr>
      <w:r>
        <w:rPr>
          <w:b/>
        </w:rPr>
        <w:t>Group ID:</w:t>
      </w:r>
      <w:r>
        <w:t xml:space="preserve"> group-74fcad6575b212d0cccf</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A systematic review of the role of community science in European wildlife governance — https://openalex.org/W7202009244</w:t>
      </w:r>
    </w:p>
    <w:p>
      <w:pPr/>
      <w:r>
        <w:rPr>
          <w:b/>
        </w:rPr>
        <w:t>Later source:</w:t>
      </w:r>
      <w:r>
        <w:t xml:space="preserve"> Practices within the European Union’s Governance — https://doi.org/10.38158/apjeus.22.1.1</w:t>
      </w:r>
    </w:p>
    <w:p>
      <w:pPr>
        <w:pStyle w:val="SourceNote"/>
      </w:pPr>
      <w:r>
        <w:rPr>
          <w:b/>
        </w:rPr>
        <w:t>Review status:</w:t>
      </w:r>
      <w:r>
        <w:t xml:space="preserve"> unchecked — possible relationship only</w:t>
      </w:r>
    </w:p>
    <w:p>
      <w:pPr>
        <w:pStyle w:val="Heading2"/>
      </w:pPr>
      <w:r>
        <w:t>216.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217.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218. Claim + two later sources: International migration by 2030: impact of immigration policies scenarios on growth and employment</w:t>
      </w:r>
    </w:p>
    <w:p>
      <w:pPr>
        <w:pStyle w:val="SourceNote"/>
      </w:pPr>
      <w:r>
        <w:rPr>
          <w:b/>
        </w:rPr>
        <w:t>Group ID:</w:t>
      </w:r>
      <w:r>
        <w:t xml:space="preserve"> group-21f65308ba050ff65ad8</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Immigration, Innovation, and the Geography of Growth — https://doi.org/10.3386/w35392</w:t>
      </w:r>
    </w:p>
    <w:p>
      <w:pPr>
        <w:pStyle w:val="SourceNote"/>
      </w:pPr>
      <w:r>
        <w:rPr>
          <w:b/>
        </w:rPr>
        <w:t>Review status:</w:t>
      </w:r>
      <w:r>
        <w:t xml:space="preserve"> unchecked — possible relationship only</w:t>
      </w:r>
    </w:p>
    <w:p>
      <w:pPr>
        <w:pStyle w:val="Heading2"/>
      </w:pPr>
      <w:r>
        <w:t>219.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220.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221. Claim + two later sources: Superconductivity and the environment: a Roadmap</w:t>
      </w:r>
    </w:p>
    <w:p>
      <w:pPr>
        <w:pStyle w:val="SourceNote"/>
      </w:pPr>
      <w:r>
        <w:rPr>
          <w:b/>
        </w:rPr>
        <w:t>Group ID:</w:t>
      </w:r>
      <w:r>
        <w:t xml:space="preserve"> group-e0fb199573310d8bf49b</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What Does China Want? — https://doi.org/10.1162/isec.a.5</w:t>
      </w:r>
    </w:p>
    <w:p>
      <w:pPr/>
      <w:r>
        <w:rPr>
          <w:b/>
        </w:rPr>
        <w:t>Later source:</w:t>
      </w:r>
      <w:r>
        <w:t xml:space="preserve"> A Natural Deep Eutectic Solvent Formulated to Stabilize β-Lactam Antibiotics — https://doi.org/10.1038/s41598-018-33148-w</w:t>
      </w:r>
    </w:p>
    <w:p>
      <w:pPr>
        <w:pStyle w:val="SourceNote"/>
      </w:pPr>
      <w:r>
        <w:rPr>
          <w:b/>
        </w:rPr>
        <w:t>Review status:</w:t>
      </w:r>
      <w:r>
        <w:t xml:space="preserve"> unchecked — possible relationship only</w:t>
      </w:r>
    </w:p>
    <w:p>
      <w:pPr>
        <w:pStyle w:val="Heading2"/>
      </w:pPr>
      <w:r>
        <w:t>222. Claim + two later sources: Foresight in Public Administration: Methods and Perspectives of Implementation in Ukraine</w:t>
      </w:r>
    </w:p>
    <w:p>
      <w:pPr>
        <w:pStyle w:val="SourceNote"/>
      </w:pPr>
      <w:r>
        <w:rPr>
          <w:b/>
        </w:rPr>
        <w:t>Group ID:</w:t>
      </w:r>
      <w:r>
        <w:t xml:space="preserve"> group-73b84809f76f10109b88</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Surveys in clinical research: methodological aspects and practical guidance — https://doi.org/10.62675/2965-2774.20260322</w:t>
      </w:r>
    </w:p>
    <w:p>
      <w:pPr>
        <w:pStyle w:val="SourceNote"/>
      </w:pPr>
      <w:r>
        <w:rPr>
          <w:b/>
        </w:rPr>
        <w:t>Review status:</w:t>
      </w:r>
      <w:r>
        <w:t xml:space="preserve"> unchecked — possible relationship only</w:t>
      </w:r>
    </w:p>
    <w:p>
      <w:pPr>
        <w:pStyle w:val="Heading2"/>
      </w:pPr>
      <w:r>
        <w:t>223. Claim + two later sources: Energy Efficiency Vision 2050: How will new societal trends influence future energy demand in the European countries?</w:t>
      </w:r>
    </w:p>
    <w:p>
      <w:pPr>
        <w:pStyle w:val="SourceNote"/>
      </w:pPr>
      <w:r>
        <w:rPr>
          <w:b/>
        </w:rPr>
        <w:t>Group ID:</w:t>
      </w:r>
      <w:r>
        <w:t xml:space="preserve"> group-50f17084ef96b001bb35</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European Energy Performance of Buildings Directive and Cultural Heritage — https://openalex.org/W7126308985</w:t>
      </w:r>
    </w:p>
    <w:p>
      <w:pPr/>
      <w:r>
        <w:rPr>
          <w:b/>
        </w:rPr>
        <w:t>Later source:</w:t>
      </w:r>
      <w:r>
        <w:t xml:space="preserve"> Quality of Consumed Energy as a Key Element in the Development of Processes of Energy Transformation in the European Union Countries — https://doi.org/10.3390/en18030460</w:t>
      </w:r>
    </w:p>
    <w:p>
      <w:pPr>
        <w:pStyle w:val="SourceNote"/>
      </w:pPr>
      <w:r>
        <w:rPr>
          <w:b/>
        </w:rPr>
        <w:t>Review status:</w:t>
      </w:r>
      <w:r>
        <w:t xml:space="preserve"> unchecked — possible relationship only</w:t>
      </w:r>
    </w:p>
    <w:p>
      <w:pPr>
        <w:pStyle w:val="Heading2"/>
      </w:pPr>
      <w:r>
        <w:t>224. Claim + two later sources: Energy system transition and macroeconomic impacts of a European decarbonization action towards a below 2 °C climate stabilization</w:t>
      </w:r>
    </w:p>
    <w:p>
      <w:pPr>
        <w:pStyle w:val="SourceNote"/>
      </w:pPr>
      <w:r>
        <w:rPr>
          <w:b/>
        </w:rPr>
        <w:t>Group ID:</w:t>
      </w:r>
      <w:r>
        <w:t xml:space="preserve"> group-cc673862086b990fd229</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Majority of methane emissions from European biogas plant supply chains could be eliminated at no net cost — https://doi.org/10.1038/s44458-026-00065-3</w:t>
      </w:r>
    </w:p>
    <w:p>
      <w:pPr/>
      <w:r>
        <w:rPr>
          <w:b/>
        </w:rPr>
        <w:t>Later source:</w:t>
      </w:r>
      <w:r>
        <w:t xml:space="preserve"> Balancing economic growth and emission reductions: an empirical study of the European Union — https://doi.org/10.15196/rs160307</w:t>
      </w:r>
    </w:p>
    <w:p>
      <w:pPr>
        <w:pStyle w:val="SourceNote"/>
      </w:pPr>
      <w:r>
        <w:rPr>
          <w:b/>
        </w:rPr>
        <w:t>Review status:</w:t>
      </w:r>
      <w:r>
        <w:t xml:space="preserve"> unchecked — possible relationship only</w:t>
      </w:r>
    </w:p>
    <w:p>
      <w:pPr>
        <w:pStyle w:val="Heading2"/>
      </w:pPr>
      <w:r>
        <w:t>225. Claim + two later sources: Burden of pancreatic cancer along with attributable risk factors in Europe between 1990 and 2019, and projections until 2039</w:t>
      </w:r>
    </w:p>
    <w:p>
      <w:pPr>
        <w:pStyle w:val="SourceNote"/>
      </w:pPr>
      <w:r>
        <w:rPr>
          <w:b/>
        </w:rPr>
        <w:t>Group ID:</w:t>
      </w:r>
      <w:r>
        <w:t xml:space="preserve"> group-2ae76223ea4d4320d6b7</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Bayesian Indirect Estimation of Historical Fertility in Europe and US Using Online Genealogical Data — https://doi.org/10.1177/00491241261463559</w:t>
      </w:r>
    </w:p>
    <w:p>
      <w:pPr/>
      <w:r>
        <w:rPr>
          <w:b/>
        </w:rPr>
        <w:t>Later source:</w:t>
      </w:r>
      <w:r>
        <w:t xml:space="preserve"> Unequal healthy ageing trajectories across Europe: socioeconomic development and age-related disease burden in the European Union and South-Eastern European countries — https://doi.org/10.1007/s11357-026-02273-0</w:t>
      </w:r>
    </w:p>
    <w:p>
      <w:pPr>
        <w:pStyle w:val="SourceNote"/>
      </w:pPr>
      <w:r>
        <w:rPr>
          <w:b/>
        </w:rPr>
        <w:t>Review status:</w:t>
      </w:r>
      <w:r>
        <w:t xml:space="preserve"> unchecked — possible relationship only</w:t>
      </w:r>
    </w:p>
    <w:p>
      <w:pPr>
        <w:pStyle w:val="Heading2"/>
      </w:pPr>
      <w:r>
        <w:t>226. Claim + two later sources: Securing a bioenergy future without imports</w:t>
      </w:r>
    </w:p>
    <w:p>
      <w:pPr>
        <w:pStyle w:val="SourceNote"/>
      </w:pPr>
      <w:r>
        <w:rPr>
          <w:b/>
        </w:rPr>
        <w:t>Group ID:</w:t>
      </w:r>
      <w:r>
        <w:t xml:space="preserve"> group-985a3c4188aeb0b3db83</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Indigenous Water as Life — https://doi.org/10.4018/979-8-3373-7559-5.ch003</w:t>
      </w:r>
    </w:p>
    <w:p>
      <w:pPr>
        <w:pStyle w:val="SourceNote"/>
      </w:pPr>
      <w:r>
        <w:rPr>
          <w:b/>
        </w:rPr>
        <w:t>Review status:</w:t>
      </w:r>
      <w:r>
        <w:t xml:space="preserve"> unchecked — possible relationship only</w:t>
      </w:r>
    </w:p>
    <w:p>
      <w:pPr>
        <w:pStyle w:val="Heading2"/>
      </w:pPr>
      <w:r>
        <w:t>227. Claim + two later sources: Shifts, turning points and inertia exploring long-term industry trends in European transport</w:t>
      </w:r>
    </w:p>
    <w:p>
      <w:pPr>
        <w:pStyle w:val="SourceNote"/>
      </w:pPr>
      <w:r>
        <w:rPr>
          <w:b/>
        </w:rPr>
        <w:t>Group ID:</w:t>
      </w:r>
      <w:r>
        <w:t xml:space="preserve"> group-3edcd0f23c62f9e5e334</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Economic and Technological Resilience in the European Union: Geopolitical Fragmentation, Economic Security and the Future of Competitiveness — https://doi.org/10.3390/world7080135</w:t>
      </w:r>
    </w:p>
    <w:p>
      <w:pPr>
        <w:pStyle w:val="SourceNote"/>
      </w:pPr>
      <w:r>
        <w:rPr>
          <w:b/>
        </w:rPr>
        <w:t>Review status:</w:t>
      </w:r>
      <w:r>
        <w:t xml:space="preserve"> unchecked — possible relationship only</w:t>
      </w:r>
    </w:p>
    <w:p>
      <w:pPr>
        <w:pStyle w:val="Heading2"/>
      </w:pPr>
      <w:r>
        <w:t>228. Claim + two later sources: Electricity Spot Market Design 2030-2050</w:t>
      </w:r>
    </w:p>
    <w:p>
      <w:pPr>
        <w:pStyle w:val="SourceNote"/>
      </w:pPr>
      <w:r>
        <w:rPr>
          <w:b/>
        </w:rPr>
        <w:t>Group ID:</w:t>
      </w:r>
      <w:r>
        <w:t xml:space="preserve"> group-84ff4c9060193933488d</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Spatial Planning and Building Control in Germany — https://doi.org/10.4324/9781315201153</w:t>
      </w:r>
    </w:p>
    <w:p>
      <w:pPr/>
      <w:r>
        <w:rPr>
          <w:b/>
        </w:rPr>
        <w:t>Later source:</w:t>
      </w:r>
      <w:r>
        <w:t xml:space="preserve"> Nazis Unwelcome! The Campaign against German Migration — https://doi.org/10.4324/9781003711445-6</w:t>
      </w:r>
    </w:p>
    <w:p>
      <w:pPr>
        <w:pStyle w:val="SourceNote"/>
      </w:pPr>
      <w:r>
        <w:rPr>
          <w:b/>
        </w:rPr>
        <w:t>Review status:</w:t>
      </w:r>
      <w:r>
        <w:t xml:space="preserve"> unchecked — possible relationship only</w:t>
      </w:r>
    </w:p>
    <w:p>
      <w:pPr>
        <w:pStyle w:val="Heading2"/>
      </w:pPr>
      <w:r>
        <w:t>229. Claim + two later sources: Centre-Periphery Relations in Europe: Demographic Aspect</w:t>
      </w:r>
    </w:p>
    <w:p>
      <w:pPr>
        <w:pStyle w:val="SourceNote"/>
      </w:pPr>
      <w:r>
        <w:rPr>
          <w:b/>
        </w:rPr>
        <w:t>Group ID:</w:t>
      </w:r>
      <w:r>
        <w:t xml:space="preserve"> group-fc651a901162d1b0d585</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Profiling and subjectification of unemployed people: exploring the case of Slovenian public employment services — https://doi.org/10.51952/9781447371892.ch014</w:t>
      </w:r>
    </w:p>
    <w:p>
      <w:pPr/>
      <w:r>
        <w:rPr>
          <w:b/>
        </w:rPr>
        <w:t>Later source:</w:t>
      </w:r>
      <w:r>
        <w:t xml:space="preserve"> Employability and career beliefs inventory: a brief version for unemployed persons — https://doi.org/10.1186/s41155-024-00309-y</w:t>
      </w:r>
    </w:p>
    <w:p>
      <w:pPr>
        <w:pStyle w:val="SourceNote"/>
      </w:pPr>
      <w:r>
        <w:rPr>
          <w:b/>
        </w:rPr>
        <w:t>Review status:</w:t>
      </w:r>
      <w:r>
        <w:t xml:space="preserve"> unchecked — possible relationship only</w:t>
      </w:r>
    </w:p>
    <w:p>
      <w:pPr>
        <w:pStyle w:val="Heading2"/>
      </w:pPr>
      <w:r>
        <w:t>230. Claim + two later sources: Designing health system scenarios at the national level</w:t>
      </w:r>
    </w:p>
    <w:p>
      <w:pPr>
        <w:pStyle w:val="SourceNote"/>
      </w:pPr>
      <w:r>
        <w:rPr>
          <w:b/>
        </w:rPr>
        <w:t>Group ID:</w:t>
      </w:r>
      <w:r>
        <w:t xml:space="preserve"> group-e5e2bc3b2af9eb8be82f</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Later source:</w:t>
      </w:r>
      <w:r>
        <w:t xml:space="preserve"> Optimizing coating materials and processes for controlled release coated urea fertilizer: review of bio-based coating materials and encapsulation methods — https://doi.org/10.15480/882.17571</w:t>
      </w:r>
    </w:p>
    <w:p>
      <w:pPr>
        <w:pStyle w:val="SourceNote"/>
      </w:pPr>
      <w:r>
        <w:rPr>
          <w:b/>
        </w:rPr>
        <w:t>Review status:</w:t>
      </w:r>
      <w:r>
        <w:t xml:space="preserve"> unchecked — possible relationship only</w:t>
      </w:r>
    </w:p>
    <w:p>
      <w:pPr>
        <w:pStyle w:val="Heading2"/>
      </w:pPr>
      <w:r>
        <w:t>231.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232. Claim + two later sources: FRESHER: Challenges and opportunities for building Health/Healthy futures</w:t>
      </w:r>
    </w:p>
    <w:p>
      <w:pPr>
        <w:pStyle w:val="SourceNote"/>
      </w:pPr>
      <w:r>
        <w:rPr>
          <w:b/>
        </w:rPr>
        <w:t>Group ID:</w:t>
      </w:r>
      <w:r>
        <w:t xml:space="preserve"> group-cd55e51108883dad3c0a</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Recent Advances in Microencapsulated Phase Change Materials for Energy Efficiency in Buildings: A Review — https://doi.org/10.3390/polym18040451</w:t>
      </w:r>
    </w:p>
    <w:p>
      <w:pPr/>
      <w:r>
        <w:rPr>
          <w:b/>
        </w:rPr>
        <w:t>Later source:</w:t>
      </w:r>
      <w:r>
        <w:t xml:space="preserve"> Technical Factor Analysis that Impacts Building Maintenance in the Retention Phase — https://doi.org/10.53623/csue.v6i1.947</w:t>
      </w:r>
    </w:p>
    <w:p>
      <w:pPr>
        <w:pStyle w:val="SourceNote"/>
      </w:pPr>
      <w:r>
        <w:rPr>
          <w:b/>
        </w:rPr>
        <w:t>Review status:</w:t>
      </w:r>
      <w:r>
        <w:t xml:space="preserve"> unchecked — possible relationship only</w:t>
      </w:r>
    </w:p>
    <w:p>
      <w:pPr>
        <w:pStyle w:val="Heading2"/>
      </w:pPr>
      <w:r>
        <w:t>233. Claim + two later sources: The implications of regional and national demographic projections for future GMS costs in Ireland through to 2026</w:t>
      </w:r>
    </w:p>
    <w:p>
      <w:pPr>
        <w:pStyle w:val="SourceNote"/>
      </w:pPr>
      <w:r>
        <w:rPr>
          <w:b/>
        </w:rPr>
        <w:t>Group ID:</w:t>
      </w:r>
      <w:r>
        <w:t xml:space="preserve"> group-62a045913e6fcae7a402</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Option Pricing Model Comparison between Black Scholes Merton Model and Monte Carlo Simulation — https://doi.org/10.61173/xh544756</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pStyle w:val="SourceNote"/>
      </w:pPr>
      <w:r>
        <w:rPr>
          <w:b/>
        </w:rPr>
        <w:t>Review status:</w:t>
      </w:r>
      <w:r>
        <w:t xml:space="preserve"> unchecked — possible relationship only</w:t>
      </w:r>
    </w:p>
    <w:p>
      <w:pPr>
        <w:pStyle w:val="Heading2"/>
      </w:pPr>
      <w:r>
        <w:t>234.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235. Claim + two later sources: The northern hemisphere circumglobal teleconnection in a seasonal forecast model and its relationship to European summer forecast skill</w:t>
      </w:r>
    </w:p>
    <w:p>
      <w:pPr>
        <w:pStyle w:val="SourceNote"/>
      </w:pPr>
      <w:r>
        <w:rPr>
          <w:b/>
        </w:rPr>
        <w:t>Group ID:</w:t>
      </w:r>
      <w:r>
        <w:t xml:space="preserve"> group-98a780d5371668ba0a05</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Impact of climate change on agricultural systems: Shifting insect pest-natural enemy dynamics-A review — https://doi.org/10.22271/j.ento.2026.v14.i2a.9720</w:t>
      </w:r>
    </w:p>
    <w:p>
      <w:pPr/>
      <w:r>
        <w:rPr>
          <w:b/>
        </w:rPr>
        <w:t>Later source:</w:t>
      </w:r>
      <w:r>
        <w:t xml:space="preserve"> The role of capitalism and colonialism in the deforestation of early modern Europe: Notes for historical land use models — https://doi.org/10.1016/j.ancene.2026.100566</w:t>
      </w:r>
    </w:p>
    <w:p>
      <w:pPr>
        <w:pStyle w:val="SourceNote"/>
      </w:pPr>
      <w:r>
        <w:rPr>
          <w:b/>
        </w:rPr>
        <w:t>Review status:</w:t>
      </w:r>
      <w:r>
        <w:t xml:space="preserve"> unchecked — possible relationship only</w:t>
      </w:r>
    </w:p>
    <w:p>
      <w:pPr>
        <w:pStyle w:val="Heading2"/>
      </w:pPr>
      <w:r>
        <w:t>236.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237. Claim + two later sources: Integrating foresight into government. Is it possible? Is it likely?</w:t>
      </w:r>
    </w:p>
    <w:p>
      <w:pPr>
        <w:pStyle w:val="SourceNote"/>
      </w:pPr>
      <w:r>
        <w:rPr>
          <w:b/>
        </w:rPr>
        <w:t>Group ID:</w:t>
      </w:r>
      <w:r>
        <w:t xml:space="preserve"> group-a037b60903f99fb7d7f7</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An Informative Review of Radiomics Studies on Cancer Imaging: The Main Findings, Challenges and Limitations of the Methodologies — https://doi.org/10.3390/curroncol31010027</w:t>
      </w:r>
    </w:p>
    <w:p>
      <w:pPr>
        <w:pStyle w:val="SourceNote"/>
      </w:pPr>
      <w:r>
        <w:rPr>
          <w:b/>
        </w:rPr>
        <w:t>Review status:</w:t>
      </w:r>
      <w:r>
        <w:t xml:space="preserve"> unchecked — possible relationship only</w:t>
      </w:r>
    </w:p>
    <w:p>
      <w:pPr>
        <w:pStyle w:val="Heading2"/>
      </w:pPr>
      <w:r>
        <w:t>238. Claim + two later sources: An exploratory policy analysis of electric vehicle sales competition and sensitivity to infrastructure in Europe</w:t>
      </w:r>
    </w:p>
    <w:p>
      <w:pPr>
        <w:pStyle w:val="SourceNote"/>
      </w:pPr>
      <w:r>
        <w:rPr>
          <w:b/>
        </w:rPr>
        <w:t>Group ID:</w:t>
      </w:r>
      <w:r>
        <w:t xml:space="preserve"> group-17ad3a9428bb91773982</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ENSURING CYBER RESILIENCE OF CRITICAL INFRASTRUCTURE FACILITIES IN THE EUROPEAN UNION: REGULATORY AND LEGAL ASPECT — https://doi.org/10.5281/zenodo.19383483</w:t>
      </w:r>
    </w:p>
    <w:p>
      <w:pPr>
        <w:pStyle w:val="SourceNote"/>
      </w:pPr>
      <w:r>
        <w:rPr>
          <w:b/>
        </w:rPr>
        <w:t>Review status:</w:t>
      </w:r>
      <w:r>
        <w:t xml:space="preserve"> unchecked — possible relationship only</w:t>
      </w:r>
    </w:p>
    <w:p>
      <w:pPr>
        <w:pStyle w:val="Heading2"/>
      </w:pPr>
      <w:r>
        <w:t>239. Claim + two later sources: CORPORATE FORESIGHT AND ASSESSMENT OF INNOVATIVE ACTIVITY OF INDUSTRIAL ENTERPRISES</w:t>
      </w:r>
    </w:p>
    <w:p>
      <w:pPr>
        <w:pStyle w:val="SourceNote"/>
      </w:pPr>
      <w:r>
        <w:rPr>
          <w:b/>
        </w:rPr>
        <w:t>Group ID:</w:t>
      </w:r>
      <w:r>
        <w:t xml:space="preserve"> group-4ac9d9d244d936407a52</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Navigating the winds of change: strategic foresight and the power of weak signals — https://doi.org/10.1007/s11625-025-01786-5</w:t>
      </w:r>
    </w:p>
    <w:p>
      <w:pPr/>
      <w:r>
        <w:rPr>
          <w:b/>
        </w:rPr>
        <w:t>Later source:</w:t>
      </w:r>
      <w:r>
        <w:t xml:space="preserve"> FORESIGHT METHODS TOOLS FOR INNOVATIVE MARKETING AND DIGITAL MARKET FORESIGHT — https://doi.org/10.20998/2313-8890.2025.12.08</w:t>
      </w:r>
    </w:p>
    <w:p>
      <w:pPr>
        <w:pStyle w:val="SourceNote"/>
      </w:pPr>
      <w:r>
        <w:rPr>
          <w:b/>
        </w:rPr>
        <w:t>Review status:</w:t>
      </w:r>
      <w:r>
        <w:t xml:space="preserve"> unchecked — possible relationship only</w:t>
      </w:r>
    </w:p>
    <w:p>
      <w:pPr>
        <w:pStyle w:val="Heading2"/>
      </w:pPr>
      <w:r>
        <w:t>240. Claim + two later sources: Varying soil moisture–atmosphere feedbacks explain divergent temperature extremes and precipitation projections in central Europe</w:t>
      </w:r>
    </w:p>
    <w:p>
      <w:pPr>
        <w:pStyle w:val="SourceNote"/>
      </w:pPr>
      <w:r>
        <w:rPr>
          <w:b/>
        </w:rPr>
        <w:t>Group ID:</w:t>
      </w:r>
      <w:r>
        <w:t xml:space="preserve"> group-7d01f402f1df7f0485f1</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Hotspots of extreme temperature resulting from constructive interference of anthropogenic and natural forcing factors — https://doi.org/10.1007/s00704-026-06049-6</w:t>
      </w:r>
    </w:p>
    <w:p>
      <w:pPr>
        <w:pStyle w:val="SourceNote"/>
      </w:pPr>
      <w:r>
        <w:rPr>
          <w:b/>
        </w:rPr>
        <w:t>Review status:</w:t>
      </w:r>
      <w:r>
        <w:t xml:space="preserve"> unchecked — possible relationship only</w:t>
      </w:r>
    </w:p>
    <w:p>
      <w:pPr>
        <w:pStyle w:val="Heading2"/>
      </w:pPr>
      <w:r>
        <w:t>241.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242.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243. Claim + two later sources: Innovation policy and international relations: directions for EU diplomacy</w:t>
      </w:r>
    </w:p>
    <w:p>
      <w:pPr>
        <w:pStyle w:val="SourceNote"/>
      </w:pPr>
      <w:r>
        <w:rPr>
          <w:b/>
        </w:rPr>
        <w:t>Group ID:</w:t>
      </w:r>
      <w:r>
        <w:t xml:space="preserve"> group-3e32c3d0e4b1d5baf111</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IMPACT OF THE STATE OF EMERGENCY ON SOCIAL RELATIONS — https://doi.org/10.13165/pspo-23-34-04</w:t>
      </w:r>
    </w:p>
    <w:p>
      <w:pPr>
        <w:pStyle w:val="SourceNote"/>
      </w:pPr>
      <w:r>
        <w:rPr>
          <w:b/>
        </w:rPr>
        <w:t>Review status:</w:t>
      </w:r>
      <w:r>
        <w:t xml:space="preserve"> unchecked — possible relationship only</w:t>
      </w:r>
    </w:p>
    <w:p>
      <w:pPr>
        <w:pStyle w:val="Heading2"/>
      </w:pPr>
      <w:r>
        <w:t>244. Claim + two later sources: A ‘futures’ approach towards the wellbeing of future generations in Wales and beyond</w:t>
      </w:r>
    </w:p>
    <w:p>
      <w:pPr>
        <w:pStyle w:val="SourceNote"/>
      </w:pPr>
      <w:r>
        <w:rPr>
          <w:b/>
        </w:rPr>
        <w:t>Group ID:</w:t>
      </w:r>
      <w:r>
        <w:t xml:space="preserve"> group-7fa2c1e63600ff65033d</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Minority Cultures and the Cosmopolitan Alternative — https://doi.org/10.36646/mjlr.25.3.4.minority</w:t>
      </w:r>
    </w:p>
    <w:p>
      <w:pPr>
        <w:pStyle w:val="SourceNote"/>
      </w:pPr>
      <w:r>
        <w:rPr>
          <w:b/>
        </w:rPr>
        <w:t>Review status:</w:t>
      </w:r>
      <w:r>
        <w:t xml:space="preserve"> unchecked — possible relationship only</w:t>
      </w:r>
    </w:p>
    <w:p>
      <w:pPr>
        <w:pStyle w:val="Heading2"/>
      </w:pPr>
      <w:r>
        <w:t>245. Claim + two later sources: Electromobility Scenarios: Research Findings to Inform Policy</w:t>
      </w:r>
    </w:p>
    <w:p>
      <w:pPr>
        <w:pStyle w:val="SourceNote"/>
      </w:pPr>
      <w:r>
        <w:rPr>
          <w:b/>
        </w:rPr>
        <w:t>Group ID:</w:t>
      </w:r>
      <w:r>
        <w:t xml:space="preserve"> group-294ef143f53fc5c4e01e</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Methods to assess on-farm biosecurity in Europe and beyond — https://doi.org/10.1016/j.prevetmed.2025.106486</w:t>
      </w:r>
    </w:p>
    <w:p>
      <w:pPr/>
      <w:r>
        <w:rPr>
          <w:b/>
        </w:rPr>
        <w:t>Later source:</w:t>
      </w:r>
      <w:r>
        <w:t xml:space="preserve"> Geodiversity data for Europe — https://doi.org/10.1098/rsta.2023.0173</w:t>
      </w:r>
    </w:p>
    <w:p>
      <w:pPr>
        <w:pStyle w:val="SourceNote"/>
      </w:pPr>
      <w:r>
        <w:rPr>
          <w:b/>
        </w:rPr>
        <w:t>Review status:</w:t>
      </w:r>
      <w:r>
        <w:t xml:space="preserve"> unchecked — possible relationship only</w:t>
      </w:r>
    </w:p>
    <w:p>
      <w:pPr>
        <w:pStyle w:val="Heading2"/>
      </w:pPr>
      <w:r>
        <w:t>246.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247.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248. Claim + two later sources: Spatial Simulation of Codesigned Land Cover Change Scenarios in New England: Alternative Futures and Their Consequences for Conservation Priorities</w:t>
      </w:r>
    </w:p>
    <w:p>
      <w:pPr>
        <w:pStyle w:val="SourceNote"/>
      </w:pPr>
      <w:r>
        <w:rPr>
          <w:b/>
        </w:rPr>
        <w:t>Group ID:</w:t>
      </w:r>
      <w:r>
        <w:t xml:space="preserve"> group-647ee3825465043bdf9d</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Preparing future physics teachers through Flat-Earth arguments: strengthening scientific reasoning — https://doi.org/10.1088/1361-6404/ae3403</w:t>
      </w:r>
    </w:p>
    <w:p>
      <w:pPr/>
      <w:r>
        <w:rPr>
          <w:b/>
        </w:rPr>
        <w:t>Later source:</w:t>
      </w:r>
      <w:r>
        <w:t xml:space="preserve"> The Left Needs Bureaucrats — https://doi.org/10.1353/dss.2026.a980268</w:t>
      </w:r>
    </w:p>
    <w:p>
      <w:pPr>
        <w:pStyle w:val="SourceNote"/>
      </w:pPr>
      <w:r>
        <w:rPr>
          <w:b/>
        </w:rPr>
        <w:t>Review status:</w:t>
      </w:r>
      <w:r>
        <w:t xml:space="preserve"> unchecked — possible relationship only</w:t>
      </w:r>
    </w:p>
    <w:p>
      <w:pPr>
        <w:pStyle w:val="Heading2"/>
      </w:pPr>
      <w:r>
        <w:t>249. Claim + two later sources: Futuring European industry: assessing the ManuFuture road towards EU re-industrialization</w:t>
      </w:r>
    </w:p>
    <w:p>
      <w:pPr>
        <w:pStyle w:val="SourceNote"/>
      </w:pPr>
      <w:r>
        <w:rPr>
          <w:b/>
        </w:rPr>
        <w:t>Group ID:</w:t>
      </w:r>
      <w:r>
        <w:t xml:space="preserve"> group-57c29282c76ef93288e7</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ESG and systemic risk in financial networks: High- vs. low-rated portfolios in Europe — https://doi.org/10.1016/j.iref.2026.105363</w:t>
      </w:r>
    </w:p>
    <w:p>
      <w:pPr/>
      <w:r>
        <w:rPr>
          <w:b/>
        </w:rPr>
        <w:t>Later source:</w:t>
      </w:r>
      <w:r>
        <w:t xml:space="preserve"> Mapping Social Innovation in Systemic Approaches to Climate Neutrality: An Indicator-Based Analysis of 53 European Cities’ Actions — https://doi.org/10.3390/su18031496</w:t>
      </w:r>
    </w:p>
    <w:p>
      <w:pPr>
        <w:pStyle w:val="SourceNote"/>
      </w:pPr>
      <w:r>
        <w:rPr>
          <w:b/>
        </w:rPr>
        <w:t>Review status:</w:t>
      </w:r>
      <w:r>
        <w:t xml:space="preserve"> unchecked — possible relationship only</w:t>
      </w:r>
    </w:p>
    <w:p>
      <w:pPr>
        <w:pStyle w:val="Heading2"/>
      </w:pPr>
      <w:r>
        <w:t>250. Claim + two later sources: THREE INVESTMENT SCENARIOS FOR  FUTURE NUCLEAR REACTORS IN EUROPE</w:t>
      </w:r>
    </w:p>
    <w:p>
      <w:pPr>
        <w:pStyle w:val="SourceNote"/>
      </w:pPr>
      <w:r>
        <w:rPr>
          <w:b/>
        </w:rPr>
        <w:t>Group ID:</w:t>
      </w:r>
      <w:r>
        <w:t xml:space="preserve"> group-5bb2a44ae9ba99df154a</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Does policy matter : A study on the Swedish energy policy with a focus on nuclear power — https://openalex.org/W7134996966</w:t>
      </w:r>
    </w:p>
    <w:p>
      <w:pPr>
        <w:pStyle w:val="SourceNote"/>
      </w:pPr>
      <w:r>
        <w:rPr>
          <w:b/>
        </w:rPr>
        <w:t>Review status:</w:t>
      </w:r>
      <w:r>
        <w:t xml:space="preserve"> unchecked — possible relationship only</w:t>
      </w:r>
    </w:p>
    <w:p>
      <w:pPr>
        <w:pStyle w:val="Heading2"/>
      </w:pPr>
      <w:r>
        <w:t>251.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252. Claim + two later sources: Three scenarios for industrial relations in Europe</w:t>
      </w:r>
    </w:p>
    <w:p>
      <w:pPr>
        <w:pStyle w:val="SourceNote"/>
      </w:pPr>
      <w:r>
        <w:rPr>
          <w:b/>
        </w:rPr>
        <w:t>Group ID:</w:t>
      </w:r>
      <w:r>
        <w:t xml:space="preserve"> group-8a02a6bbdd7cfa879c0a</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European Spatial Visions – Reflections from a practice perspective (The case of Austria) — https://doi.org/10.1080/02513625.2025.2518860</w:t>
      </w:r>
    </w:p>
    <w:p>
      <w:pPr>
        <w:pStyle w:val="SourceNote"/>
      </w:pPr>
      <w:r>
        <w:rPr>
          <w:b/>
        </w:rPr>
        <w:t>Review status:</w:t>
      </w:r>
      <w:r>
        <w:t xml:space="preserve"> unchecked — possible relationship only</w:t>
      </w:r>
    </w:p>
    <w:p>
      <w:pPr>
        <w:pStyle w:val="Heading2"/>
      </w:pPr>
      <w:r>
        <w:t>253.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254.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255.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256.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257. Claim + two later sources: Consequences of Enduring Low Fertility – A German Case Study. Demographic Projections and Implications for Different Policy Fields</w:t>
      </w:r>
    </w:p>
    <w:p>
      <w:pPr>
        <w:pStyle w:val="SourceNote"/>
      </w:pPr>
      <w:r>
        <w:rPr>
          <w:b/>
        </w:rPr>
        <w:t>Group ID:</w:t>
      </w:r>
      <w:r>
        <w:t xml:space="preserve"> group-d58532a2fdb44ed20a0a</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A Multidimensional Muscle Quality Index in Severe Obesity: Relationships with Ageing, Adiposity, and Functional Performance — https://doi.org/10.3390/jcm15176696</w:t>
      </w:r>
    </w:p>
    <w:p>
      <w:pPr>
        <w:pStyle w:val="SourceNote"/>
      </w:pPr>
      <w:r>
        <w:rPr>
          <w:b/>
        </w:rPr>
        <w:t>Review status:</w:t>
      </w:r>
      <w:r>
        <w:t xml:space="preserve"> unchecked — possible relationship only</w:t>
      </w:r>
    </w:p>
    <w:p>
      <w:pPr>
        <w:pStyle w:val="Heading2"/>
      </w:pPr>
      <w:r>
        <w:t>258.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259.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group-7043efa67624d02db1e5</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Reviewing assessment strategies in European dental schools — https://doi.org/10.1016/j.jdent.2024.105091</w:t>
      </w:r>
    </w:p>
    <w:p>
      <w:pPr>
        <w:pStyle w:val="SourceNote"/>
      </w:pPr>
      <w:r>
        <w:rPr>
          <w:b/>
        </w:rPr>
        <w:t>Review status:</w:t>
      </w:r>
      <w:r>
        <w:t xml:space="preserve"> unchecked — possible relationship only</w:t>
      </w:r>
    </w:p>
    <w:p>
      <w:pPr>
        <w:pStyle w:val="Heading2"/>
      </w:pPr>
      <w:r>
        <w:t>260.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261.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262.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263.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264. Claim + two later sources: Future air quality in Europe: a multi-model assessment of projected exposure to ozone</w:t>
      </w:r>
    </w:p>
    <w:p>
      <w:pPr>
        <w:pStyle w:val="SourceNote"/>
      </w:pPr>
      <w:r>
        <w:rPr>
          <w:b/>
        </w:rPr>
        <w:t>Group ID:</w:t>
      </w:r>
      <w:r>
        <w:t xml:space="preserve"> group-dcd6d005e7d375da70fb</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 Segmentation Analysis of Air Passengers in European Countries — https://doi.org/10.3390/futuretransp6010027</w:t>
      </w:r>
    </w:p>
    <w:p>
      <w:pPr/>
      <w:r>
        <w:rPr>
          <w:b/>
        </w:rPr>
        <w:t>Later source:</w:t>
      </w:r>
      <w:r>
        <w:t xml:space="preserve"> Air pollution and innovation — https://doi.org/10.1016/j.jeem.2024.103102</w:t>
      </w:r>
    </w:p>
    <w:p>
      <w:pPr>
        <w:pStyle w:val="SourceNote"/>
      </w:pPr>
      <w:r>
        <w:rPr>
          <w:b/>
        </w:rPr>
        <w:t>Review status:</w:t>
      </w:r>
      <w:r>
        <w:t xml:space="preserve"> unchecked — possible relationship only</w:t>
      </w:r>
    </w:p>
    <w:p>
      <w:pPr>
        <w:pStyle w:val="Heading2"/>
      </w:pPr>
      <w:r>
        <w:t>265. Claim + two later sources: The future of trade unions in Croatia – various stakeholders’ perspectives</w:t>
      </w:r>
    </w:p>
    <w:p>
      <w:pPr>
        <w:pStyle w:val="SourceNote"/>
      </w:pPr>
      <w:r>
        <w:rPr>
          <w:b/>
        </w:rPr>
        <w:t>Group ID:</w:t>
      </w:r>
      <w:r>
        <w:t xml:space="preserve"> group-ec59e61fc004f5895235</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Staging the Semah s: Performing Aleviness in Turkey and Europe — https://doi.org/10.1111/sena.70029</w:t>
      </w:r>
    </w:p>
    <w:p>
      <w:pPr>
        <w:pStyle w:val="SourceNote"/>
      </w:pPr>
      <w:r>
        <w:rPr>
          <w:b/>
        </w:rPr>
        <w:t>Review status:</w:t>
      </w:r>
      <w:r>
        <w:t xml:space="preserve"> unchecked — possible relationship only</w:t>
      </w:r>
    </w:p>
    <w:p>
      <w:pPr>
        <w:pStyle w:val="Heading2"/>
      </w:pPr>
      <w:r>
        <w:t>266.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267.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268. Claim + two later sources: Scenarios for the Development of Multimodal Transport in the TRITIA Cross-Border Area</w:t>
      </w:r>
    </w:p>
    <w:p>
      <w:pPr>
        <w:pStyle w:val="SourceNote"/>
      </w:pPr>
      <w:r>
        <w:rPr>
          <w:b/>
        </w:rPr>
        <w:t>Group ID:</w:t>
      </w:r>
      <w:r>
        <w:t xml:space="preserve"> group-f54b316711f6d05f4dc5</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FINTECH ECOSYSTEM OF UKRAINE IN THE EUROPEAN CONTEXT — https://doi.org/10.31651/2076-5843-2026-2-174-187</w:t>
      </w:r>
    </w:p>
    <w:p>
      <w:pPr>
        <w:pStyle w:val="SourceNote"/>
      </w:pPr>
      <w:r>
        <w:rPr>
          <w:b/>
        </w:rPr>
        <w:t>Review status:</w:t>
      </w:r>
      <w:r>
        <w:t xml:space="preserve"> unchecked — possible relationship only</w:t>
      </w:r>
    </w:p>
    <w:p>
      <w:pPr>
        <w:pStyle w:val="Heading2"/>
      </w:pPr>
      <w:r>
        <w:t>269.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270.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271.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272.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273. Claim + two later sources: Five transition pathways to renewable energy futures—scenarios from a Delphi study on key drivers and policy options</w:t>
      </w:r>
    </w:p>
    <w:p>
      <w:pPr>
        <w:pStyle w:val="SourceNote"/>
      </w:pPr>
      <w:r>
        <w:rPr>
          <w:b/>
        </w:rPr>
        <w:t>Group ID:</w:t>
      </w:r>
      <w:r>
        <w:t xml:space="preserve"> group-7abfcea9a63e3176371a</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Closing the Coordination Gap: A Policy Architecture for the European Energy Transition — https://doi.org/10.5281/zenodo.19984616</w:t>
      </w:r>
    </w:p>
    <w:p>
      <w:pPr>
        <w:pStyle w:val="SourceNote"/>
      </w:pPr>
      <w:r>
        <w:rPr>
          <w:b/>
        </w:rPr>
        <w:t>Review status:</w:t>
      </w:r>
      <w:r>
        <w:t xml:space="preserve"> unchecked — possible relationship only</w:t>
      </w:r>
    </w:p>
    <w:p>
      <w:pPr>
        <w:pStyle w:val="Heading2"/>
      </w:pPr>
      <w:r>
        <w:t>274. Claim + two later sources: European Union, transnational terrorism and the strategic choice of counterterrorism policies in democratic countries</w:t>
      </w:r>
    </w:p>
    <w:p>
      <w:pPr>
        <w:pStyle w:val="SourceNote"/>
      </w:pPr>
      <w:r>
        <w:rPr>
          <w:b/>
        </w:rPr>
        <w:t>Group ID:</w:t>
      </w:r>
      <w:r>
        <w:t xml:space="preserve"> group-e1976e9612b57823f769</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Combining Policy Instruments and Local Measures to Promote Agrobiodiversity — https://doi.org/10.1111/1746-692x.70021</w:t>
      </w:r>
    </w:p>
    <w:p>
      <w:pPr/>
      <w:r>
        <w:rPr>
          <w:b/>
        </w:rPr>
        <w:t>Later source:</w:t>
      </w:r>
      <w:r>
        <w:t xml:space="preserve"> Resilience in Post-Truth and Post-Digital European Union: Youth-Led Civil Society Organisations in the 2024 European Elections — https://doi.org/10.1285/i20356609v19i1p94</w:t>
      </w:r>
    </w:p>
    <w:p>
      <w:pPr>
        <w:pStyle w:val="SourceNote"/>
      </w:pPr>
      <w:r>
        <w:rPr>
          <w:b/>
        </w:rPr>
        <w:t>Review status:</w:t>
      </w:r>
      <w:r>
        <w:t xml:space="preserve"> unchecked — possible relationship only</w:t>
      </w:r>
    </w:p>
    <w:p>
      <w:pPr>
        <w:pStyle w:val="Heading2"/>
      </w:pPr>
      <w:r>
        <w:t>275. Claim + two later sources: Biotechnology versus agroecology: Entrenchments and surprise at a 2030 forecast scenario workshop</w:t>
      </w:r>
    </w:p>
    <w:p>
      <w:pPr>
        <w:pStyle w:val="SourceNote"/>
      </w:pPr>
      <w:r>
        <w:rPr>
          <w:b/>
        </w:rPr>
        <w:t>Group ID:</w:t>
      </w:r>
      <w:r>
        <w:t xml:space="preserve"> group-e06d4b86fdb71384240a</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Impact of Qualitative Research Methodology Workshop on Researchers’ Learning and Skill Development — https://doi.org/10.36948/ijfmr.2026.v08i01.66909</w:t>
      </w:r>
    </w:p>
    <w:p>
      <w:pPr/>
      <w:r>
        <w:rPr>
          <w:b/>
        </w:rPr>
        <w:t>Later source:</w:t>
      </w:r>
      <w:r>
        <w:t xml:space="preserve"> Improving the methodology for the comprehensive assessment of the working conditions of workers in the foundry — https://doi.org/10.21122/1683-6065-2026-2-143-150</w:t>
      </w:r>
    </w:p>
    <w:p>
      <w:pPr>
        <w:pStyle w:val="SourceNote"/>
      </w:pPr>
      <w:r>
        <w:rPr>
          <w:b/>
        </w:rPr>
        <w:t>Review status:</w:t>
      </w:r>
      <w:r>
        <w:t xml:space="preserve"> unchecked — possible relationship only</w:t>
      </w:r>
    </w:p>
    <w:p>
      <w:pPr>
        <w:pStyle w:val="Heading2"/>
      </w:pPr>
      <w:r>
        <w:t>276. Claim + two later sources: Occupational Structure in European Countries: What do Forecasts Predict?</w:t>
      </w:r>
    </w:p>
    <w:p>
      <w:pPr>
        <w:pStyle w:val="SourceNote"/>
      </w:pPr>
      <w:r>
        <w:rPr>
          <w:b/>
        </w:rPr>
        <w:t>Group ID:</w:t>
      </w:r>
      <w:r>
        <w:t xml:space="preserve"> group-d0fc1e367f664f4b2a85</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Implementing cancer prevention in occupational healthcare: initial insights from occupational healthcare staff in Central and Southern Europe – findings from the CPW project — https://doi.org/10.1186/s12885-026-15607-0</w:t>
      </w:r>
    </w:p>
    <w:p>
      <w:pPr>
        <w:pStyle w:val="SourceNote"/>
      </w:pPr>
      <w:r>
        <w:rPr>
          <w:b/>
        </w:rPr>
        <w:t>Review status:</w:t>
      </w:r>
      <w:r>
        <w:t xml:space="preserve"> unchecked — possible relationship only</w:t>
      </w:r>
    </w:p>
    <w:p>
      <w:pPr>
        <w:pStyle w:val="Heading2"/>
      </w:pPr>
      <w:r>
        <w:t>277.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278. Claim + two later sources: About global forecast of European Parliament TO 2035</w:t>
      </w:r>
    </w:p>
    <w:p>
      <w:pPr>
        <w:pStyle w:val="SourceNote"/>
      </w:pPr>
      <w:r>
        <w:rPr>
          <w:b/>
        </w:rPr>
        <w:t>Group ID:</w:t>
      </w:r>
      <w:r>
        <w:t xml:space="preserve"> group-6eee9baf0d1681ceacd0</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Categorical short-term forecasts of respiratory pathogens in Europe — https://doi.org/10.1016/j.epidem.2026.100938</w:t>
      </w:r>
    </w:p>
    <w:p>
      <w:pPr>
        <w:pStyle w:val="SourceNote"/>
      </w:pPr>
      <w:r>
        <w:rPr>
          <w:b/>
        </w:rPr>
        <w:t>Review status:</w:t>
      </w:r>
      <w:r>
        <w:t xml:space="preserve"> unchecked — possible relationship only</w:t>
      </w:r>
    </w:p>
    <w:p>
      <w:pPr>
        <w:pStyle w:val="Heading2"/>
      </w:pPr>
      <w:r>
        <w:t>279.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280.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281.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282. Claim + two later sources: Dynamics of the land use, land use change, and forestry sink in the European Union: the impacts of energy and climate targets for 2030</w:t>
      </w:r>
    </w:p>
    <w:p>
      <w:pPr>
        <w:pStyle w:val="SourceNote"/>
      </w:pPr>
      <w:r>
        <w:rPr>
          <w:b/>
        </w:rPr>
        <w:t>Group ID:</w:t>
      </w:r>
      <w:r>
        <w:t xml:space="preserve"> group-3e1a907a46be38cc5eec</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 ambition vs. implementation: Performance toward nutrient loss reduction under the European Green Deal — https://doi.org/10.1016/j.envadv.2026.100705</w:t>
      </w:r>
    </w:p>
    <w:p>
      <w:pPr/>
      <w:r>
        <w:rPr>
          <w:b/>
        </w:rPr>
        <w:t>Later source:</w:t>
      </w:r>
      <w:r>
        <w:t xml:space="preserve"> European environmental sustainability through unraveling the nexus of total energy consumption, value addition, and GHG emissions in agriculture — https://doi.org/10.1177/0958305x261438604</w:t>
      </w:r>
    </w:p>
    <w:p>
      <w:pPr>
        <w:pStyle w:val="SourceNote"/>
      </w:pPr>
      <w:r>
        <w:rPr>
          <w:b/>
        </w:rPr>
        <w:t>Review status:</w:t>
      </w:r>
      <w:r>
        <w:t xml:space="preserve"> unchecked — possible relationship only</w:t>
      </w:r>
    </w:p>
    <w:p>
      <w:pPr>
        <w:pStyle w:val="Heading2"/>
      </w:pPr>
      <w:r>
        <w:t>283.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284.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285. Claim + two later sources: Future Precipitation Scenarios over Italy</w:t>
      </w:r>
    </w:p>
    <w:p>
      <w:pPr>
        <w:pStyle w:val="SourceNote"/>
      </w:pPr>
      <w:r>
        <w:rPr>
          <w:b/>
        </w:rPr>
        <w:t>Group ID:</w:t>
      </w:r>
      <w:r>
        <w:t xml:space="preserve"> group-f2ff52f75da082a7a847</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High-resolution modelling of organic aerosol over Europe: exploring spatial and temporal variability and drivers — https://doi.org/10.1016/j.envint.2026.110143</w:t>
      </w:r>
    </w:p>
    <w:p>
      <w:pPr>
        <w:pStyle w:val="SourceNote"/>
      </w:pPr>
      <w:r>
        <w:rPr>
          <w:b/>
        </w:rPr>
        <w:t>Review status:</w:t>
      </w:r>
      <w:r>
        <w:t xml:space="preserve"> unchecked — possible relationship only</w:t>
      </w:r>
    </w:p>
    <w:p>
      <w:pPr>
        <w:pStyle w:val="Heading2"/>
      </w:pPr>
      <w:r>
        <w:t>286.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287. Claim + two later sources: Backcasting scenarios for Finland 2050 of low emissions</w:t>
      </w:r>
    </w:p>
    <w:p>
      <w:pPr>
        <w:pStyle w:val="SourceNote"/>
      </w:pPr>
      <w:r>
        <w:rPr>
          <w:b/>
        </w:rPr>
        <w:t>Group ID:</w:t>
      </w:r>
      <w:r>
        <w:t xml:space="preserve"> group-5a5bc6f8b352cc8cc76a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Later source:</w:t>
      </w:r>
      <w:r>
        <w:t xml:space="preserve"> Regulatory scoping exercise for the future adoption of autonomous inland ships in Europe — https://doi.org/10.1186/s41072-023-00160-x</w:t>
      </w:r>
    </w:p>
    <w:p>
      <w:pPr>
        <w:pStyle w:val="SourceNote"/>
      </w:pPr>
      <w:r>
        <w:rPr>
          <w:b/>
        </w:rPr>
        <w:t>Review status:</w:t>
      </w:r>
      <w:r>
        <w:t xml:space="preserve"> unchecked — possible relationship only</w:t>
      </w:r>
    </w:p>
    <w:p>
      <w:pPr>
        <w:pStyle w:val="Heading2"/>
      </w:pPr>
      <w:r>
        <w:t>288.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289. Claim + two later sources: Towards net zero CO2 in 2050: An emission reduction pathway for organic soils in Germany</w:t>
      </w:r>
    </w:p>
    <w:p>
      <w:pPr>
        <w:pStyle w:val="SourceNote"/>
      </w:pPr>
      <w:r>
        <w:rPr>
          <w:b/>
        </w:rPr>
        <w:t>Group ID:</w:t>
      </w:r>
      <w:r>
        <w:t xml:space="preserve"> group-a4995568ecbf5d10e497</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Re‐Interpreting Genetic Offset: Quantifying the Least Required Evolutionary Rate Under Climate Change at the Mediterranean Range Margin of European Beech — https://doi.org/10.1111/eva.70230</w:t>
      </w:r>
    </w:p>
    <w:p>
      <w:pPr/>
      <w:r>
        <w:rPr>
          <w:b/>
        </w:rPr>
        <w:t>Later source:</w:t>
      </w:r>
      <w:r>
        <w:t xml:space="preserve"> BUILDING A COMPULSORY MEDIATION PATHWAY: BULGARIA AS A LIVE EXPERIMENT IN DISPUTE SYSTEM DESIGN ? — https://doi.org/10.33327/ajee-18-9.2-a000194</w:t>
      </w:r>
    </w:p>
    <w:p>
      <w:pPr>
        <w:pStyle w:val="SourceNote"/>
      </w:pPr>
      <w:r>
        <w:rPr>
          <w:b/>
        </w:rPr>
        <w:t>Review status:</w:t>
      </w:r>
      <w:r>
        <w:t xml:space="preserve"> unchecked — possible relationship only</w:t>
      </w:r>
    </w:p>
    <w:p>
      <w:pPr>
        <w:pStyle w:val="Heading2"/>
      </w:pPr>
      <w:r>
        <w:t>290. Claim + two later sources: Conservation biology research priorities for 2050: A Central-Eastern European perspective</w:t>
      </w:r>
    </w:p>
    <w:p>
      <w:pPr>
        <w:pStyle w:val="SourceNote"/>
      </w:pPr>
      <w:r>
        <w:rPr>
          <w:b/>
        </w:rPr>
        <w:t>Group ID:</w:t>
      </w:r>
      <w:r>
        <w:t xml:space="preserve"> group-c18dd4e65b7e14347531</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European Expert Opinion Statement on Paediatric Organ Donation Stresses Best Practice in Parent Communication — https://doi.org/10.1111/apa.70479</w:t>
      </w:r>
    </w:p>
    <w:p>
      <w:pPr>
        <w:pStyle w:val="SourceNote"/>
      </w:pPr>
      <w:r>
        <w:rPr>
          <w:b/>
        </w:rPr>
        <w:t>Review status:</w:t>
      </w:r>
      <w:r>
        <w:t xml:space="preserve"> unchecked — possible relationship only</w:t>
      </w:r>
    </w:p>
    <w:p>
      <w:pPr>
        <w:pStyle w:val="Heading2"/>
      </w:pPr>
      <w:r>
        <w:t>291. Claim + two later sources: Financing Innovations for the Renewable Energy Transition in Europe</w:t>
      </w:r>
    </w:p>
    <w:p>
      <w:pPr>
        <w:pStyle w:val="SourceNote"/>
      </w:pPr>
      <w:r>
        <w:rPr>
          <w:b/>
        </w:rPr>
        <w:t>Group ID:</w:t>
      </w:r>
      <w:r>
        <w:t xml:space="preserve"> group-5c16651938a8a3bdf351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European Structural and Investment Funds (ESIF) and Regional Cohesion in EU Member-states — https://doi.org/10.1007/s13132-026-03244-8</w:t>
      </w:r>
    </w:p>
    <w:p>
      <w:pPr/>
      <w:r>
        <w:rPr>
          <w:b/>
        </w:rPr>
        <w:t>Later source:</w:t>
      </w:r>
      <w:r>
        <w:t xml:space="preserve"> Biomedical Engineering Education in Europe, the United States, and Uruguay — https://doi.org/10.1109/memea69746.2026.11537348</w:t>
      </w:r>
    </w:p>
    <w:p>
      <w:pPr>
        <w:pStyle w:val="SourceNote"/>
      </w:pPr>
      <w:r>
        <w:rPr>
          <w:b/>
        </w:rPr>
        <w:t>Review status:</w:t>
      </w:r>
      <w:r>
        <w:t xml:space="preserve"> unchecked — possible relationship only</w:t>
      </w:r>
    </w:p>
    <w:p>
      <w:pPr>
        <w:pStyle w:val="Heading2"/>
      </w:pPr>
      <w:r>
        <w:t>292. Claim + two later sources: The Selection of Intermodal Transport System Scenarios in the Function of Southeastern Europe Regional Development</w:t>
      </w:r>
    </w:p>
    <w:p>
      <w:pPr>
        <w:pStyle w:val="SourceNote"/>
      </w:pPr>
      <w:r>
        <w:rPr>
          <w:b/>
        </w:rPr>
        <w:t>Group ID:</w:t>
      </w:r>
      <w:r>
        <w:t xml:space="preserve"> group-13572902b7432287c739</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European forest carbon and biodiversity policies have a limited win-win potential. — https://doi.org/10.48620/94352</w:t>
      </w:r>
    </w:p>
    <w:p>
      <w:pPr>
        <w:pStyle w:val="SourceNote"/>
      </w:pPr>
      <w:r>
        <w:rPr>
          <w:b/>
        </w:rPr>
        <w:t>Review status:</w:t>
      </w:r>
      <w:r>
        <w:t xml:space="preserve"> unchecked — possible relationship only</w:t>
      </w:r>
    </w:p>
    <w:p>
      <w:pPr>
        <w:pStyle w:val="Heading2"/>
      </w:pPr>
      <w:r>
        <w:t>293.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294. Claim + two later sources: What We Hope, What We Fear, What We Expect: Possible Scenarios for the Future of the Eurozone</w:t>
      </w:r>
    </w:p>
    <w:p>
      <w:pPr>
        <w:pStyle w:val="SourceNote"/>
      </w:pPr>
      <w:r>
        <w:rPr>
          <w:b/>
        </w:rPr>
        <w:t>Group ID:</w:t>
      </w:r>
      <w:r>
        <w:t xml:space="preserve"> group-eaaa97f46b2eed3ae84d</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EUROPE'S DILEMMA: CONTINUE THE PROXY WAR IN UKRAINE OR START EU REFORM — https://doi.org/10.5281/zenodo.18899368</w:t>
      </w:r>
    </w:p>
    <w:p>
      <w:pPr/>
      <w:r>
        <w:rPr>
          <w:b/>
        </w:rPr>
        <w:t>Later source:</w:t>
      </w:r>
      <w:r>
        <w:t xml:space="preserve"> The Partisan Politics of Family and Labor Market Policy Reforms in Southern Europe — https://doi.org/10.1093/oso/9780197601457.003.0004</w:t>
      </w:r>
    </w:p>
    <w:p>
      <w:pPr>
        <w:pStyle w:val="SourceNote"/>
      </w:pPr>
      <w:r>
        <w:rPr>
          <w:b/>
        </w:rPr>
        <w:t>Review status:</w:t>
      </w:r>
      <w:r>
        <w:t xml:space="preserve"> unchecked — possible relationship only</w:t>
      </w:r>
    </w:p>
    <w:p>
      <w:pPr>
        <w:pStyle w:val="Heading2"/>
      </w:pPr>
      <w:r>
        <w:t>295.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296. Claim + two later sources: Assessing future sustainability and resilience of farming systems with a participatory method: A case study on extensive sheep farming in Huesca, Spain</w:t>
      </w:r>
    </w:p>
    <w:p>
      <w:pPr>
        <w:pStyle w:val="SourceNote"/>
      </w:pPr>
      <w:r>
        <w:rPr>
          <w:b/>
        </w:rPr>
        <w:t>Group ID:</w:t>
      </w:r>
      <w:r>
        <w:t xml:space="preserve"> group-6e34f26715509c770c47</w:t>
      </w:r>
    </w:p>
    <w:p>
      <w:pPr>
        <w:pStyle w:val="SourceNote"/>
      </w:pPr>
      <w:r>
        <w:rPr>
          <w:b/>
        </w:rPr>
        <w:t>Original source:</w:t>
      </w:r>
      <w:r>
        <w:t xml:space="preserve"> https://doi.org/10.1016/j.ecolind.2021.108236</w:t>
      </w:r>
    </w:p>
    <w:p>
      <w:pPr/>
      <w:r>
        <w:rPr>
          <w:b/>
        </w:rPr>
        <w:t>Original future claim:</w:t>
      </w:r>
      <w:r>
        <w:t xml:space="preserve">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Later source:</w:t>
      </w:r>
      <w:r>
        <w:t xml:space="preserve"> Cross-border healthcare system function, performance and cooperation in Europe: a scoping review protocol — https://doi.org/10.1136/bmjopen-2026-117613</w:t>
      </w:r>
    </w:p>
    <w:p>
      <w:pPr/>
      <w:r>
        <w:rPr>
          <w:b/>
        </w:rPr>
        <w:t>Later source:</w:t>
      </w:r>
      <w:r>
        <w:t xml:space="preserve"> WHO/Euro HIS assessment methodology — https://doi.org/10.1093/eurpub/ckag169.370</w:t>
      </w:r>
    </w:p>
    <w:p>
      <w:pPr>
        <w:pStyle w:val="SourceNote"/>
      </w:pPr>
      <w:r>
        <w:rPr>
          <w:b/>
        </w:rPr>
        <w:t>Review status:</w:t>
      </w:r>
      <w:r>
        <w:t xml:space="preserve"> unchecked — possible relationship only</w:t>
      </w:r>
    </w:p>
    <w:p>
      <w:pPr>
        <w:pStyle w:val="Heading2"/>
      </w:pPr>
      <w:r>
        <w:t>297. Claim + two later sources: Transport demand evolution in Europe – factors of change, scenarios and challenges</w:t>
      </w:r>
    </w:p>
    <w:p>
      <w:pPr>
        <w:pStyle w:val="SourceNote"/>
      </w:pPr>
      <w:r>
        <w:rPr>
          <w:b/>
        </w:rPr>
        <w:t>Group ID:</w:t>
      </w:r>
      <w:r>
        <w:t xml:space="preserve"> group-c721e76c2bc238a2fef8</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How do collective identities influence sector‐wide digital transformations? Insights from the European cooperative sector — https://doi.org/10.1111/emre.70057</w:t>
      </w:r>
    </w:p>
    <w:p>
      <w:pPr>
        <w:pStyle w:val="SourceNote"/>
      </w:pPr>
      <w:r>
        <w:rPr>
          <w:b/>
        </w:rPr>
        <w:t>Review status:</w:t>
      </w:r>
      <w:r>
        <w:t xml:space="preserve"> unchecked — possible relationship only</w:t>
      </w:r>
    </w:p>
    <w:p>
      <w:pPr>
        <w:pStyle w:val="Heading2"/>
      </w:pPr>
      <w:r>
        <w:t>298.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299.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300. Claim + two later sources: Exploring the Future of Universities Through Experimental Foresight</w:t>
      </w:r>
    </w:p>
    <w:p>
      <w:pPr>
        <w:pStyle w:val="SourceNote"/>
      </w:pPr>
      <w:r>
        <w:rPr>
          <w:b/>
        </w:rPr>
        <w:t>Group ID:</w:t>
      </w:r>
      <w:r>
        <w:t xml:space="preserve"> group-85394342751620348955</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Horizon scanning data for the future of outdoor recreation on public lands — https://doi.org/10.3886/e248960</w:t>
      </w:r>
    </w:p>
    <w:p>
      <w:pPr>
        <w:pStyle w:val="SourceNote"/>
      </w:pPr>
      <w:r>
        <w:rPr>
          <w:b/>
        </w:rPr>
        <w:t>Review status:</w:t>
      </w:r>
      <w:r>
        <w:t xml:space="preserve"> unchecked — possible relationship only</w:t>
      </w:r>
    </w:p>
    <w:p>
      <w:pPr>
        <w:pStyle w:val="Heading2"/>
      </w:pPr>
      <w:r>
        <w:t>301. Claim + two later sources: Modelling the European Union Sustainability Transition: A Soft-Linking Approach</w:t>
      </w:r>
    </w:p>
    <w:p>
      <w:pPr>
        <w:pStyle w:val="SourceNote"/>
      </w:pPr>
      <w:r>
        <w:rPr>
          <w:b/>
        </w:rPr>
        <w:t>Group ID:</w:t>
      </w:r>
      <w:r>
        <w:t xml:space="preserve"> group-70ff9b57424011d7d687</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EU's Strategy for Sustainability: A Landmark Turn With the European Green Deal? — https://doi.org/10.1002/epa2.70035</w:t>
      </w:r>
    </w:p>
    <w:p>
      <w:pPr/>
      <w:r>
        <w:rPr>
          <w:b/>
        </w:rPr>
        <w:t>Later source:</w:t>
      </w:r>
      <w:r>
        <w:t xml:space="preserve"> The traditionalist challenge to the European Green Deal — https://doi.org/10.15407/etet2026.01.072</w:t>
      </w:r>
    </w:p>
    <w:p>
      <w:pPr>
        <w:pStyle w:val="SourceNote"/>
      </w:pPr>
      <w:r>
        <w:rPr>
          <w:b/>
        </w:rPr>
        <w:t>Review status:</w:t>
      </w:r>
      <w:r>
        <w:t xml:space="preserve"> unchecked — possible relationship only</w:t>
      </w:r>
    </w:p>
    <w:p>
      <w:pPr>
        <w:pStyle w:val="Heading2"/>
      </w:pPr>
      <w:r>
        <w:t>302.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303.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304.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305. Claim + two later sources: Organic farming in the European Union – perspectives for 2030</w:t>
      </w:r>
    </w:p>
    <w:p>
      <w:pPr>
        <w:pStyle w:val="SourceNote"/>
      </w:pPr>
      <w:r>
        <w:rPr>
          <w:b/>
        </w:rPr>
        <w:t>Group ID:</w:t>
      </w:r>
      <w:r>
        <w:t xml:space="preserve"> group-2a9be4719afd1ef5790b</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Assessment of Bottom Trawl Impacts on the Status of Seabed Communities in European Seas — https://doi.org/10.1111/faf.70054</w:t>
      </w:r>
    </w:p>
    <w:p>
      <w:pPr/>
      <w:r>
        <w:rPr>
          <w:b/>
        </w:rPr>
        <w:t>Later source:</w:t>
      </w:r>
      <w:r>
        <w:t xml:space="preserve"> Strengthening European development policy: the case for Team Europe 2.0 — https://doi.org/10.23661/ipb11.2026</w:t>
      </w:r>
    </w:p>
    <w:p>
      <w:pPr>
        <w:pStyle w:val="SourceNote"/>
      </w:pPr>
      <w:r>
        <w:rPr>
          <w:b/>
        </w:rPr>
        <w:t>Review status:</w:t>
      </w:r>
      <w:r>
        <w:t xml:space="preserve"> unchecked — possible relationship only</w:t>
      </w:r>
    </w:p>
    <w:p>
      <w:pPr>
        <w:pStyle w:val="Heading2"/>
      </w:pPr>
      <w:r>
        <w:t>306.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group-f727ea9db8f3a0f8f320</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Elevational distribution of bird assemblages in the Western Carpathians is mainly driven by floristics, climate and productivity — https://doi.org/10.51812/of.163097</w:t>
      </w:r>
    </w:p>
    <w:p>
      <w:pPr>
        <w:pStyle w:val="SourceNote"/>
      </w:pPr>
      <w:r>
        <w:rPr>
          <w:b/>
        </w:rPr>
        <w:t>Review status:</w:t>
      </w:r>
      <w:r>
        <w:t xml:space="preserve"> unchecked — possible relationship only</w:t>
      </w:r>
    </w:p>
    <w:p>
      <w:pPr>
        <w:pStyle w:val="Heading2"/>
      </w:pPr>
      <w:r>
        <w:t>307. Claim + two later sources: Estimation and Forecasts for the Share of Renewable Energy Consumption in Final Energy Consumption by 2020 in the European Union</w:t>
      </w:r>
    </w:p>
    <w:p>
      <w:pPr>
        <w:pStyle w:val="SourceNote"/>
      </w:pPr>
      <w:r>
        <w:rPr>
          <w:b/>
        </w:rPr>
        <w:t>Group ID:</w:t>
      </w:r>
      <w:r>
        <w:t xml:space="preserve"> group-5cb8cf2cef57a2fcb8de</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Forecasting the European WEEE Collection Rate in Alignment with the SDGs: An Integrated Predictive Framework — https://doi.org/10.17700/jai.2026.17.1.787</w:t>
      </w:r>
    </w:p>
    <w:p>
      <w:pPr/>
      <w:r>
        <w:rPr>
          <w:b/>
        </w:rPr>
        <w:t>Later source:</w:t>
      </w:r>
      <w:r>
        <w:t xml:space="preserve"> Econometric Analysis and Forecasts on Exports of Emerging Economies from Central and Eastern Europe — https://doi.org/10.3390/econometrics14010009</w:t>
      </w:r>
    </w:p>
    <w:p>
      <w:pPr>
        <w:pStyle w:val="SourceNote"/>
      </w:pPr>
      <w:r>
        <w:rPr>
          <w:b/>
        </w:rPr>
        <w:t>Review status:</w:t>
      </w:r>
      <w:r>
        <w:t xml:space="preserve"> unchecked — possible relationship only</w:t>
      </w:r>
    </w:p>
    <w:p>
      <w:pPr>
        <w:pStyle w:val="Heading2"/>
      </w:pPr>
      <w:r>
        <w:t>308. Claim + two later sources: Multi-Model Projections of River Flood Risk in Europe under Global Warming</w:t>
      </w:r>
    </w:p>
    <w:p>
      <w:pPr>
        <w:pStyle w:val="SourceNote"/>
      </w:pPr>
      <w:r>
        <w:rPr>
          <w:b/>
        </w:rPr>
        <w:t>Group ID:</w:t>
      </w:r>
      <w:r>
        <w:t xml:space="preserve"> group-2dbbf56622c9e43abbc9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309. Claim + two later sources: EUROPEAN UNION STRATEGIC AUTONOMY IN THE CONTEXT OF THE CONFERENCE ON THE FUTURE OF EUROPE</w:t>
      </w:r>
    </w:p>
    <w:p>
      <w:pPr>
        <w:pStyle w:val="SourceNote"/>
      </w:pPr>
      <w:r>
        <w:rPr>
          <w:b/>
        </w:rPr>
        <w:t>Group ID:</w:t>
      </w:r>
      <w:r>
        <w:t xml:space="preserve"> group-2ff514c4e553bf3093e6</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Institutional Change and Path Dependence in the European Energy Transition under the Goal of Carbon Neutrality — https://doi.org/10.54254/2754-1169/2026.ld32020</w:t>
      </w:r>
    </w:p>
    <w:p>
      <w:pPr>
        <w:pStyle w:val="SourceNote"/>
      </w:pPr>
      <w:r>
        <w:rPr>
          <w:b/>
        </w:rPr>
        <w:t>Review status:</w:t>
      </w:r>
      <w:r>
        <w:t xml:space="preserve"> unchecked — possible relationship only</w:t>
      </w:r>
    </w:p>
    <w:p>
      <w:pPr>
        <w:pStyle w:val="Heading2"/>
      </w:pPr>
      <w:r>
        <w:t>310. Claim + two later sources: Assessing Energy Descent Scenarios for the Ecological Transition in Spain 2020–2030</w:t>
      </w:r>
    </w:p>
    <w:p>
      <w:pPr>
        <w:pStyle w:val="SourceNote"/>
      </w:pPr>
      <w:r>
        <w:rPr>
          <w:b/>
        </w:rPr>
        <w:t>Group ID:</w:t>
      </w:r>
      <w:r>
        <w:t xml:space="preserve"> group-5ca7ace28fccc374ce80</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Transition to the Green Economy. A Comparative Analysis of the European Program Life in Romania and Spain on the Greenhouse Gas Emissions — https://doi.org/10.25115/h29ty930</w:t>
      </w:r>
    </w:p>
    <w:p>
      <w:pPr/>
      <w:r>
        <w:rPr>
          <w:b/>
        </w:rPr>
        <w:t>Later source:</w:t>
      </w:r>
      <w:r>
        <w:t xml:space="preserve"> Economy, Geology and Sustainability: on the Security of Potash Supply in Spain and Europe and the Importance of Fertilizers for European Agriculture — https://doi.org/10.21701/bolgeomin/137.2/004</w:t>
      </w:r>
    </w:p>
    <w:p>
      <w:pPr>
        <w:pStyle w:val="SourceNote"/>
      </w:pPr>
      <w:r>
        <w:rPr>
          <w:b/>
        </w:rPr>
        <w:t>Review status:</w:t>
      </w:r>
      <w:r>
        <w:t xml:space="preserve"> unchecked — possible relationship only</w:t>
      </w:r>
    </w:p>
    <w:p>
      <w:pPr>
        <w:pStyle w:val="Heading2"/>
      </w:pPr>
      <w:r>
        <w:t>311.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312. Claim + two later sources: A Mismatch in Future Narratives? A Comparative Analysis Between Energy Futures in Policy and of Citizens</w:t>
      </w:r>
    </w:p>
    <w:p>
      <w:pPr>
        <w:pStyle w:val="SourceNote"/>
      </w:pPr>
      <w:r>
        <w:rPr>
          <w:b/>
        </w:rPr>
        <w:t>Group ID:</w:t>
      </w:r>
      <w:r>
        <w:t xml:space="preserve"> group-75b5b7a307b69f44df5c</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Barriers and Enablers to Youth Participation in Health Policy and Governance in Africa: A Narrative Review — https://doi.org/10.22541/au.177080410.04005308/v1</w:t>
      </w:r>
    </w:p>
    <w:p>
      <w:pPr/>
      <w:r>
        <w:rPr>
          <w:b/>
        </w:rPr>
        <w:t>Later source:</w:t>
      </w:r>
      <w:r>
        <w:t xml:space="preserve"> Minority Languages as Living Heritage: Narrative, Performative and Participatory Europeanisation — https://doi.org/10.5281/zenodo.18710215</w:t>
      </w:r>
    </w:p>
    <w:p>
      <w:pPr>
        <w:pStyle w:val="SourceNote"/>
      </w:pPr>
      <w:r>
        <w:rPr>
          <w:b/>
        </w:rPr>
        <w:t>Review status:</w:t>
      </w:r>
      <w:r>
        <w:t xml:space="preserve"> unchecked — possible relationship only</w:t>
      </w:r>
    </w:p>
    <w:p>
      <w:pPr>
        <w:pStyle w:val="Heading2"/>
      </w:pPr>
      <w:r>
        <w:t>313. Claim + two later sources: Past and Future Trends in Refugee Migration on the Regional Level in Germany – An Analysis and Projection of Labor Market Effects</w:t>
      </w:r>
    </w:p>
    <w:p>
      <w:pPr>
        <w:pStyle w:val="SourceNote"/>
      </w:pPr>
      <w:r>
        <w:rPr>
          <w:b/>
        </w:rPr>
        <w:t>Group ID:</w:t>
      </w:r>
      <w:r>
        <w:t xml:space="preserve"> group-721c81b61e2d6cced98e</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The drivers and the barriers of incoming remittance flows in Europe: Analysis at the regional level — https://doi.org/10.12775/bgss-2026-0011</w:t>
      </w:r>
    </w:p>
    <w:p>
      <w:pPr/>
      <w:r>
        <w:rPr>
          <w:b/>
        </w:rPr>
        <w:t>Later source:</w:t>
      </w:r>
      <w:r>
        <w:t xml:space="preserve"> Readiness, Not Restriction: Firm Size, Digital Infrastructure, And the Conditional Effect of Regulatory Intensity on Enterprise AI Adoption in the European Union — https://doi.org/10.51584/ijrias.2026.11080170</w:t>
      </w:r>
    </w:p>
    <w:p>
      <w:pPr>
        <w:pStyle w:val="SourceNote"/>
      </w:pPr>
      <w:r>
        <w:rPr>
          <w:b/>
        </w:rPr>
        <w:t>Review status:</w:t>
      </w:r>
      <w:r>
        <w:t xml:space="preserve"> unchecked — possible relationship only</w:t>
      </w:r>
    </w:p>
    <w:p>
      <w:pPr>
        <w:pStyle w:val="Heading2"/>
      </w:pPr>
      <w:r>
        <w:t>314. Claim + two later sources: The EU Decarbonisation Roadmap 2050—What way to walk?</w:t>
      </w:r>
    </w:p>
    <w:p>
      <w:pPr>
        <w:pStyle w:val="SourceNote"/>
      </w:pPr>
      <w:r>
        <w:rPr>
          <w:b/>
        </w:rPr>
        <w:t>Group ID:</w:t>
      </w:r>
      <w:r>
        <w:t xml:space="preserve"> group-334fbcb004ed26e8cab8</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European Climate Policy and the Global Context — https://doi.org/10.1007/978-3-031-84483-6_4</w:t>
      </w:r>
    </w:p>
    <w:p>
      <w:pPr/>
      <w:r>
        <w:rPr>
          <w:b/>
        </w:rPr>
        <w:t>Later source:</w:t>
      </w:r>
      <w:r>
        <w:t xml:space="preserve"> The exposure of nonhuman living organisms to mobile communication emissions: A survey to establish European stakeholders’ policy option preferences — https://doi.org/10.1111/risa.14322</w:t>
      </w:r>
    </w:p>
    <w:p>
      <w:pPr>
        <w:pStyle w:val="SourceNote"/>
      </w:pPr>
      <w:r>
        <w:rPr>
          <w:b/>
        </w:rPr>
        <w:t>Review status:</w:t>
      </w:r>
      <w:r>
        <w:t xml:space="preserve"> unchecked — possible relationship only</w:t>
      </w:r>
    </w:p>
    <w:p>
      <w:pPr>
        <w:pStyle w:val="Heading2"/>
      </w:pPr>
      <w:r>
        <w:t>315.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316. Claim + two later sources: Scenario forecasting of consumption of main organic livestock products in Ukraine</w:t>
      </w:r>
    </w:p>
    <w:p>
      <w:pPr>
        <w:pStyle w:val="SourceNote"/>
      </w:pPr>
      <w:r>
        <w:rPr>
          <w:b/>
        </w:rPr>
        <w:t>Group ID:</w:t>
      </w:r>
      <w:r>
        <w:t xml:space="preserve"> group-505d08659c850a232402</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IMMUNOLOGICAL ASSESSMENT IN CHRONIC NASOPHARYNGITIS WITH DIFFERENT VARIANTS OF COMORBIDITY IN THE NASOPHARYNGEAL ZONE — https://doi.org/10.37219/9kbzp448</w:t>
      </w:r>
    </w:p>
    <w:p>
      <w:pPr/>
      <w:r>
        <w:rPr>
          <w:b/>
        </w:rPr>
        <w:t>Later source:</w:t>
      </w:r>
      <w:r>
        <w:t xml:space="preserve"> Forecasting the dynamics of food security indicators in Ukraine during the wartime period of 2025-2026 — https://doi.org/10.32317/ekon.apk/1.2026.20</w:t>
      </w:r>
    </w:p>
    <w:p>
      <w:pPr>
        <w:pStyle w:val="SourceNote"/>
      </w:pPr>
      <w:r>
        <w:rPr>
          <w:b/>
        </w:rPr>
        <w:t>Review status:</w:t>
      </w:r>
      <w:r>
        <w:t xml:space="preserve"> unchecked — possible relationship only</w:t>
      </w:r>
    </w:p>
    <w:p>
      <w:pPr>
        <w:pStyle w:val="Heading2"/>
      </w:pPr>
      <w:r>
        <w:t>317.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318.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319. Claim + two later sources: Central-East European employees on the labour market of London</w:t>
      </w:r>
    </w:p>
    <w:p>
      <w:pPr>
        <w:pStyle w:val="SourceNote"/>
      </w:pPr>
      <w:r>
        <w:rPr>
          <w:b/>
        </w:rPr>
        <w:t>Group ID:</w:t>
      </w:r>
      <w:r>
        <w:t xml:space="preserve"> group-796533413847df76cf8c</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Cyprus’ Approach to the Digital Services Act: Harmonisation, Enforcement, and Practical Implications — https://doi.org/10.3390/laws15020030</w:t>
      </w:r>
    </w:p>
    <w:p>
      <w:pPr/>
      <w:r>
        <w:rPr>
          <w:b/>
        </w:rPr>
        <w:t>Later source:</w:t>
      </w:r>
      <w:r>
        <w:t xml:space="preserve"> THE HUMAN RIGHTS CRISIS IN AI DEVELOPMENT AND USE: DOES THE EUROPEAN FRAMEWORK PROVIDE AN ADEQUATE PROTECTION? — https://doi.org/10.70382/caijlphr.v9i6.038</w:t>
      </w:r>
    </w:p>
    <w:p>
      <w:pPr>
        <w:pStyle w:val="SourceNote"/>
      </w:pPr>
      <w:r>
        <w:rPr>
          <w:b/>
        </w:rPr>
        <w:t>Review status:</w:t>
      </w:r>
      <w:r>
        <w:t xml:space="preserve"> unchecked — possible relationship only</w:t>
      </w:r>
    </w:p>
    <w:p>
      <w:pPr>
        <w:pStyle w:val="Heading2"/>
      </w:pPr>
      <w:r>
        <w:t>320. Claim + two later sources: Scenarios of Automated Mobility in Austria: Implications for Future Transport Policy</w:t>
      </w:r>
    </w:p>
    <w:p>
      <w:pPr>
        <w:pStyle w:val="SourceNote"/>
      </w:pPr>
      <w:r>
        <w:rPr>
          <w:b/>
        </w:rPr>
        <w:t>Group ID:</w:t>
      </w:r>
      <w:r>
        <w:t xml:space="preserve"> group-e4da52b7e89800637bbd</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Thesis on Environment and Transport Economics — https://openalex.org/W7128124271</w:t>
      </w:r>
    </w:p>
    <w:p>
      <w:pPr/>
      <w:r>
        <w:rPr>
          <w:b/>
        </w:rPr>
        <w:t>Later source:</w:t>
      </w:r>
      <w:r>
        <w:t xml:space="preserve"> Contribution of Explicit SVOC and IVOC Emissions from the Transportation Sector on Particulate Matter Concentrations in Europe — https://doi.org/10.5194/egusphere-egu26-18450</w:t>
      </w:r>
    </w:p>
    <w:p>
      <w:pPr>
        <w:pStyle w:val="SourceNote"/>
      </w:pPr>
      <w:r>
        <w:rPr>
          <w:b/>
        </w:rPr>
        <w:t>Review status:</w:t>
      </w:r>
      <w:r>
        <w:t xml:space="preserve"> unchecked — possible relationship only</w:t>
      </w:r>
    </w:p>
    <w:p>
      <w:pPr>
        <w:pStyle w:val="Heading2"/>
      </w:pPr>
      <w:r>
        <w:t>321.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322.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323.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324. Claim + two later sources: Outlook of the European forest-based sector: forest growth, harvest demand, wood-product markets, and forest carbon dynamics implications</w:t>
      </w:r>
    </w:p>
    <w:p>
      <w:pPr>
        <w:pStyle w:val="SourceNote"/>
      </w:pPr>
      <w:r>
        <w:rPr>
          <w:b/>
        </w:rPr>
        <w:t>Group ID:</w:t>
      </w:r>
      <w:r>
        <w:t xml:space="preserve"> group-e907ffe8c56dc2422d94</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Regionally Stratified Analysis of Technology Adoption Curves for Aluminum Production (2023–2050) — https://doi.org/10.1201/9781003672807-9</w:t>
      </w:r>
    </w:p>
    <w:p>
      <w:pPr/>
      <w:r>
        <w:rPr>
          <w:b/>
        </w:rPr>
        <w:t>Later source:</w:t>
      </w:r>
      <w:r>
        <w:t xml:space="preserve"> Deliverable D5.2 (D10) Stakeholder validated baselines — https://doi.org/10.5281/zenodo.20410868</w:t>
      </w:r>
    </w:p>
    <w:p>
      <w:pPr>
        <w:pStyle w:val="SourceNote"/>
      </w:pPr>
      <w:r>
        <w:rPr>
          <w:b/>
        </w:rPr>
        <w:t>Review status:</w:t>
      </w:r>
      <w:r>
        <w:t xml:space="preserve"> unchecked — possible relationship only</w:t>
      </w:r>
    </w:p>
    <w:p>
      <w:pPr>
        <w:pStyle w:val="Heading2"/>
      </w:pPr>
      <w:r>
        <w:t>325.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326. Claim + two later sources: Toward Identification of the Priority Lines of Research in Nanotechnology on the Basis of the Technology Foresight NT for Podlaskie 2020</w:t>
      </w:r>
    </w:p>
    <w:p>
      <w:pPr>
        <w:pStyle w:val="SourceNote"/>
      </w:pPr>
      <w:r>
        <w:rPr>
          <w:b/>
        </w:rPr>
        <w:t>Group ID:</w:t>
      </w:r>
      <w:r>
        <w:t xml:space="preserve"> group-5f82cef9b8822a1f6d46</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Envisioning the future of European mountain value chains: a participatory foresight approach — https://doi.org/10.1007/s10113-025-02454-1</w:t>
      </w:r>
    </w:p>
    <w:p>
      <w:pPr/>
      <w:r>
        <w:rPr>
          <w:b/>
        </w:rPr>
        <w:t>Later source:</w:t>
      </w:r>
      <w:r>
        <w:t xml:space="preserve"> Embedding the Future in the European Union: Advancing Towards Strategic Foresight — https://doi.org/10.33067/se.1.2025.10</w:t>
      </w:r>
    </w:p>
    <w:p>
      <w:pPr>
        <w:pStyle w:val="SourceNote"/>
      </w:pPr>
      <w:r>
        <w:rPr>
          <w:b/>
        </w:rPr>
        <w:t>Review status:</w:t>
      </w:r>
      <w:r>
        <w:t xml:space="preserve"> unchecked — possible relationship only</w:t>
      </w:r>
    </w:p>
    <w:p>
      <w:pPr>
        <w:pStyle w:val="Heading2"/>
      </w:pPr>
      <w:r>
        <w:t>327. Claim + two later sources: Foresight technologies of economic systems: evidence from the tourism sector of Ukraine</w:t>
      </w:r>
    </w:p>
    <w:p>
      <w:pPr>
        <w:pStyle w:val="SourceNote"/>
      </w:pPr>
      <w:r>
        <w:rPr>
          <w:b/>
        </w:rPr>
        <w:t>Group ID:</w:t>
      </w:r>
      <w:r>
        <w:t xml:space="preserve"> group-666c600c89265b7a808f</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Kant’s Casuistical Questions — https://doi.org/10.25894/jmp.2701</w:t>
      </w:r>
    </w:p>
    <w:p>
      <w:pPr/>
      <w:r>
        <w:rPr>
          <w:b/>
        </w:rPr>
        <w:t>Later source:</w:t>
      </w:r>
      <w:r>
        <w:t xml:space="preserve"> From suitability to vulnerability: A GIS-based framework for assessing environmental sensitivity of mountain tourism landscapes in the Ukrainian Carpathians — https://doi.org/10.3897/jbgs.e177296</w:t>
      </w:r>
    </w:p>
    <w:p>
      <w:pPr>
        <w:pStyle w:val="SourceNote"/>
      </w:pPr>
      <w:r>
        <w:rPr>
          <w:b/>
        </w:rPr>
        <w:t>Review status:</w:t>
      </w:r>
      <w:r>
        <w:t xml:space="preserve"> unchecked — possible relationship only</w:t>
      </w:r>
    </w:p>
    <w:p>
      <w:pPr>
        <w:pStyle w:val="Heading2"/>
      </w:pPr>
      <w:r>
        <w:t>328.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329.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330. Claim + two later sources: Implementing Dynamics of Immigration Integration in Labor Force Participation Projection in EU28</w:t>
      </w:r>
    </w:p>
    <w:p>
      <w:pPr>
        <w:pStyle w:val="SourceNote"/>
      </w:pPr>
      <w:r>
        <w:rPr>
          <w:b/>
        </w:rPr>
        <w:t>Group ID:</w:t>
      </w:r>
      <w:r>
        <w:t xml:space="preserve"> group-aba9b27e1bad7ac47355</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The Impact of Demographic Change on Spousal Caregiving and Future Gaps in Long-term Care: Microsimulation Projections for Austria and Italy — https://doi.org/10.1007/s12062-026-09529-9</w:t>
      </w:r>
    </w:p>
    <w:p>
      <w:pPr/>
      <w:r>
        <w:rPr>
          <w:b/>
        </w:rPr>
        <w:t>Later source:</w:t>
      </w:r>
      <w:r>
        <w:t xml:space="preserve"> Development, Testing, and Calibration of LINCS: A New Microsimulation Model of Maternal and Fetal Cytomegalovirus Infection in the United States — https://doi.org/10.1177/23814683261444049</w:t>
      </w:r>
    </w:p>
    <w:p>
      <w:pPr>
        <w:pStyle w:val="SourceNote"/>
      </w:pPr>
      <w:r>
        <w:rPr>
          <w:b/>
        </w:rPr>
        <w:t>Review status:</w:t>
      </w:r>
      <w:r>
        <w:t xml:space="preserve"> unchecked — possible relationship only</w:t>
      </w:r>
    </w:p>
    <w:p>
      <w:pPr>
        <w:pStyle w:val="Heading2"/>
      </w:pPr>
      <w:r>
        <w:t>331. Claim + two later sources: Towards the European Union's Foreign Policy 2025 – Taking Stock of the Dahrendorf Foresight Project</w:t>
      </w:r>
    </w:p>
    <w:p>
      <w:pPr>
        <w:pStyle w:val="SourceNote"/>
      </w:pPr>
      <w:r>
        <w:rPr>
          <w:b/>
        </w:rPr>
        <w:t>Group ID:</w:t>
      </w:r>
      <w:r>
        <w:t xml:space="preserve"> group-5ccf5f07bb9f8a4b0d07</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The current state, opportunities and challenges for upscaling private investment in biodiversity in Europe — https://doi.org/10.1038/s41559-024-02632-0</w:t>
      </w:r>
    </w:p>
    <w:p>
      <w:pPr>
        <w:pStyle w:val="SourceNote"/>
      </w:pPr>
      <w:r>
        <w:rPr>
          <w:b/>
        </w:rPr>
        <w:t>Review status:</w:t>
      </w:r>
      <w:r>
        <w:t xml:space="preserve"> unchecked — possible relationship only</w:t>
      </w:r>
    </w:p>
    <w:p>
      <w:pPr>
        <w:pStyle w:val="Heading2"/>
      </w:pPr>
      <w:r>
        <w:t>332. Claim + two later sources: Prospects of labour migration pressure in Algeria, Morocco, Tunisia and Turkey</w:t>
      </w:r>
    </w:p>
    <w:p>
      <w:pPr>
        <w:pStyle w:val="SourceNote"/>
      </w:pPr>
      <w:r>
        <w:rPr>
          <w:b/>
        </w:rPr>
        <w:t>Group ID:</w:t>
      </w:r>
      <w:r>
        <w:t xml:space="preserve"> group-3888cf19149a99b823a1</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A storyline approach to select the CMIP6 model ensemble to be downscaled for the South America domain — https://doi.org/10.1007/s00382-025-08017-8</w:t>
      </w:r>
    </w:p>
    <w:p>
      <w:pPr>
        <w:pStyle w:val="SourceNote"/>
      </w:pPr>
      <w:r>
        <w:rPr>
          <w:b/>
        </w:rPr>
        <w:t>Review status:</w:t>
      </w:r>
      <w:r>
        <w:t xml:space="preserve"> unchecked — possible relationship only</w:t>
      </w:r>
    </w:p>
    <w:p>
      <w:pPr>
        <w:pStyle w:val="Heading2"/>
      </w:pPr>
      <w:r>
        <w:t>333. Claim + two later sources: Living within the safe operating space: a vision for a resource efficient Europe</w:t>
      </w:r>
    </w:p>
    <w:p>
      <w:pPr>
        <w:pStyle w:val="SourceNote"/>
      </w:pPr>
      <w:r>
        <w:rPr>
          <w:b/>
        </w:rPr>
        <w:t>Group ID:</w:t>
      </w:r>
      <w:r>
        <w:t xml:space="preserve"> group-b112888a0cc06d074ba6</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Developing a new digital vision for rangeland grazing systems — https://doi.org/10.1093/af/vfag009</w:t>
      </w:r>
    </w:p>
    <w:p>
      <w:pPr/>
      <w:r>
        <w:rPr>
          <w:b/>
        </w:rPr>
        <w:t>Later source:</w:t>
      </w:r>
      <w:r>
        <w:t xml:space="preserve"> Barriers to healthcare for racialised populations in Europe: a scoping review of reviews — https://doi.org/10.1186/s12939-025-02577-1</w:t>
      </w:r>
    </w:p>
    <w:p>
      <w:pPr>
        <w:pStyle w:val="SourceNote"/>
      </w:pPr>
      <w:r>
        <w:rPr>
          <w:b/>
        </w:rPr>
        <w:t>Review status:</w:t>
      </w:r>
      <w:r>
        <w:t xml:space="preserve"> unchecked — possible relationship only</w:t>
      </w:r>
    </w:p>
    <w:p>
      <w:pPr>
        <w:pStyle w:val="Heading2"/>
      </w:pPr>
      <w:r>
        <w:t>334.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335.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336.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337.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group-89072ffc94b19054ff42</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Digitizing the Pre-consultation Experience: Impacts and Design Recommendations — https://doi.org/10.1145/3772318.3791354</w:t>
      </w:r>
    </w:p>
    <w:p>
      <w:pPr>
        <w:pStyle w:val="SourceNote"/>
      </w:pPr>
      <w:r>
        <w:rPr>
          <w:b/>
        </w:rPr>
        <w:t>Review status:</w:t>
      </w:r>
      <w:r>
        <w:t xml:space="preserve"> unchecked — possible relationship only</w:t>
      </w:r>
    </w:p>
    <w:p>
      <w:pPr>
        <w:pStyle w:val="Heading2"/>
      </w:pPr>
      <w:r>
        <w:t>338. Claim + two later sources: (Re)politicization of climate change mitigating projects: environmental forms and motives of the Seine Nord Europe canal</w:t>
      </w:r>
    </w:p>
    <w:p>
      <w:pPr>
        <w:pStyle w:val="SourceNote"/>
      </w:pPr>
      <w:r>
        <w:rPr>
          <w:b/>
        </w:rPr>
        <w:t>Group ID:</w:t>
      </w:r>
      <w:r>
        <w:t xml:space="preserve"> group-c1ea1de510291ed687e9</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Science-based targets for material use: A systematic review of analytical concepts and approaches in Europe — https://doi.org/10.1016/j.resconrec.2026.109111</w:t>
      </w:r>
    </w:p>
    <w:p>
      <w:pPr/>
      <w:r>
        <w:rPr>
          <w:b/>
        </w:rPr>
        <w:t>Later source:</w:t>
      </w:r>
      <w:r>
        <w:t xml:space="preserve"> Environmental risks and ecological integrity: the new european rules on nature restoration — https://doi.org/10.5194/egusphere-egu26-17987</w:t>
      </w:r>
    </w:p>
    <w:p>
      <w:pPr>
        <w:pStyle w:val="SourceNote"/>
      </w:pPr>
      <w:r>
        <w:rPr>
          <w:b/>
        </w:rPr>
        <w:t>Review status:</w:t>
      </w:r>
      <w:r>
        <w:t xml:space="preserve"> unchecked — possible relationship only</w:t>
      </w:r>
    </w:p>
    <w:p>
      <w:pPr>
        <w:pStyle w:val="Heading2"/>
      </w:pPr>
      <w:r>
        <w:t>339.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340.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341.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342. Claim + two later sources: Conditional forecasts of tourism exports and tourism export prices of the EU-15 within a global vector autoregression framework</w:t>
      </w:r>
    </w:p>
    <w:p>
      <w:pPr>
        <w:pStyle w:val="SourceNote"/>
      </w:pPr>
      <w:r>
        <w:rPr>
          <w:b/>
        </w:rPr>
        <w:t>Group ID:</w:t>
      </w:r>
      <w:r>
        <w:t xml:space="preserve"> group-7071e0ef92a9461679ba</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Tourism dynamics in South-East Europe: Similarities and predictability — https://doi.org/10.5937/menhottur2600007a</w:t>
      </w:r>
    </w:p>
    <w:p>
      <w:pPr/>
      <w:r>
        <w:rPr>
          <w:b/>
        </w:rPr>
        <w:t>Later source:</w:t>
      </w:r>
      <w:r>
        <w:t xml:space="preserve"> Key attributes of tourism sector entrepreneurs in Southeast Europe — https://doi.org/10.5937/menhottur2500014l</w:t>
      </w:r>
    </w:p>
    <w:p>
      <w:pPr>
        <w:pStyle w:val="SourceNote"/>
      </w:pPr>
      <w:r>
        <w:rPr>
          <w:b/>
        </w:rPr>
        <w:t>Review status:</w:t>
      </w:r>
      <w:r>
        <w:t xml:space="preserve"> unchecked — possible relationship only</w:t>
      </w:r>
    </w:p>
    <w:p>
      <w:pPr>
        <w:pStyle w:val="Heading2"/>
      </w:pPr>
      <w:r>
        <w:t>343. Claim + two later sources: Balancing GHG mitigation and land-use conflicts: Alternative Northern European energy system scenarios</w:t>
      </w:r>
    </w:p>
    <w:p>
      <w:pPr>
        <w:pStyle w:val="SourceNote"/>
      </w:pPr>
      <w:r>
        <w:rPr>
          <w:b/>
        </w:rPr>
        <w:t>Group ID:</w:t>
      </w:r>
      <w:r>
        <w:t xml:space="preserve"> group-85936200c1d66e1db6c6</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Accounting for economic disparity in designing net-zero European energy systems — https://doi.org/10.1088/2753-3751/ae6b8f</w:t>
      </w:r>
    </w:p>
    <w:p>
      <w:pPr/>
      <w:r>
        <w:rPr>
          <w:b/>
        </w:rPr>
        <w:t>Later source:</w:t>
      </w:r>
      <w:r>
        <w:t xml:space="preserve"> Assimilating ESA CCI land surface temperature into the ORCHIDEE land surface model: insights from a multi-site study across Europe — https://doi.org/10.5194/hess-29-261-2025</w:t>
      </w:r>
    </w:p>
    <w:p>
      <w:pPr>
        <w:pStyle w:val="SourceNote"/>
      </w:pPr>
      <w:r>
        <w:rPr>
          <w:b/>
        </w:rPr>
        <w:t>Review status:</w:t>
      </w:r>
      <w:r>
        <w:t xml:space="preserve"> unchecked — possible relationship only</w:t>
      </w:r>
    </w:p>
    <w:p>
      <w:pPr>
        <w:pStyle w:val="Heading2"/>
      </w:pPr>
      <w:r>
        <w:t>344.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345. Claim + two later sources: Scenarios for population health inequalities in 2030 in Europe: the EURO-HEALTHY project experience</w:t>
      </w:r>
    </w:p>
    <w:p>
      <w:pPr>
        <w:pStyle w:val="SourceNote"/>
      </w:pPr>
      <w:r>
        <w:rPr>
          <w:b/>
        </w:rPr>
        <w:t>Group ID:</w:t>
      </w:r>
      <w:r>
        <w:t xml:space="preserve"> group-5fcc841952089cda020d</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Pathway narratives towards a nature‑positive European Union land system: operationalising the Nature Futures Framework for policy objectives — https://doi.org/10.5194/wbf2026-674</w:t>
      </w:r>
    </w:p>
    <w:p>
      <w:pPr>
        <w:pStyle w:val="SourceNote"/>
      </w:pPr>
      <w:r>
        <w:rPr>
          <w:b/>
        </w:rPr>
        <w:t>Review status:</w:t>
      </w:r>
      <w:r>
        <w:t xml:space="preserve"> unchecked — possible relationship only</w:t>
      </w:r>
    </w:p>
    <w:p>
      <w:pPr>
        <w:pStyle w:val="Heading2"/>
      </w:pPr>
      <w:r>
        <w:t>346. Claim + two later sources: Long-term scenarios for reaching climate targets and energy security in UK</w:t>
      </w:r>
    </w:p>
    <w:p>
      <w:pPr>
        <w:pStyle w:val="SourceNote"/>
      </w:pPr>
      <w:r>
        <w:rPr>
          <w:b/>
        </w:rPr>
        <w:t>Group ID:</w:t>
      </w:r>
      <w:r>
        <w:t xml:space="preserve"> group-60d37b5b1833f4842a81</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Dynamical landscape and multistability of a climate model — https://openalex.org/W3166250015</w:t>
      </w:r>
    </w:p>
    <w:p>
      <w:pPr/>
      <w:r>
        <w:rPr>
          <w:b/>
        </w:rPr>
        <w:t>Later source:</w:t>
      </w:r>
      <w:r>
        <w:t xml:space="preserve"> Accuracy of Climate Model Derived Energy-Datasets During Renewable Energy Lulls. — https://doi.org/10.5194/egusphere-egu25-16661</w:t>
      </w:r>
    </w:p>
    <w:p>
      <w:pPr>
        <w:pStyle w:val="SourceNote"/>
      </w:pPr>
      <w:r>
        <w:rPr>
          <w:b/>
        </w:rPr>
        <w:t>Review status:</w:t>
      </w:r>
      <w:r>
        <w:t xml:space="preserve"> unchecked — possible relationship only</w:t>
      </w:r>
    </w:p>
    <w:p>
      <w:pPr>
        <w:pStyle w:val="Heading2"/>
      </w:pPr>
      <w:r>
        <w:t>347.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348.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349.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350.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351.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352. Claim + two later sources: Are the European manufacturing and energy sectors on track for achieving net-zero emissions in 2050? An empirical analysis</w:t>
      </w:r>
    </w:p>
    <w:p>
      <w:pPr>
        <w:pStyle w:val="SourceNote"/>
      </w:pPr>
      <w:r>
        <w:rPr>
          <w:b/>
        </w:rPr>
        <w:t>Group ID:</w:t>
      </w:r>
      <w:r>
        <w:t xml:space="preserve"> group-c437580fb48e36fc64f6</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Spatiotemporal clustering of GHGs emissions in Europe: Exploring the role of spatial component — https://doi.org/10.1016/j.spasta.2026.100960</w:t>
      </w:r>
    </w:p>
    <w:p>
      <w:pPr>
        <w:pStyle w:val="SourceNote"/>
      </w:pPr>
      <w:r>
        <w:rPr>
          <w:b/>
        </w:rPr>
        <w:t>Review status:</w:t>
      </w:r>
      <w:r>
        <w:t xml:space="preserve"> unchecked — possible relationship only</w:t>
      </w:r>
    </w:p>
    <w:p>
      <w:pPr>
        <w:pStyle w:val="Heading2"/>
      </w:pPr>
      <w:r>
        <w:t>353. Claim + two later sources: Scenarios for renewable energy deployment in North African countries and electricity exchange with Europe – A modelbased analysis for 2050</w:t>
      </w:r>
    </w:p>
    <w:p>
      <w:pPr>
        <w:pStyle w:val="SourceNote"/>
      </w:pPr>
      <w:r>
        <w:rPr>
          <w:b/>
        </w:rPr>
        <w:t>Group ID:</w:t>
      </w:r>
      <w:r>
        <w:t xml:space="preserve"> group-7ff5ea6a2f8a62c4e0b6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Renewable Energy Deployments at Sea — https://doi.org/10.4018/979-8-3373-5881-9.ch005</w:t>
      </w:r>
    </w:p>
    <w:p>
      <w:pPr/>
      <w:r>
        <w:rPr>
          <w:b/>
        </w:rPr>
        <w:t>Later source:</w:t>
      </w:r>
      <w:r>
        <w:t xml:space="preserve"> North Africa as an emerging green hydrogen hub: Algeria in focus — https://doi.org/10.1016/j.gerr.2026.100171</w:t>
      </w:r>
    </w:p>
    <w:p>
      <w:pPr>
        <w:pStyle w:val="SourceNote"/>
      </w:pPr>
      <w:r>
        <w:rPr>
          <w:b/>
        </w:rPr>
        <w:t>Review status:</w:t>
      </w:r>
      <w:r>
        <w:t xml:space="preserve"> unchecked — possible relationship only</w:t>
      </w:r>
    </w:p>
    <w:p>
      <w:pPr>
        <w:pStyle w:val="Heading2"/>
      </w:pPr>
      <w:r>
        <w:t>354. Claim + two later sources: ClimateEU, scale-free climate normals, historical time series, and future projections for Europe</w:t>
      </w:r>
    </w:p>
    <w:p>
      <w:pPr>
        <w:pStyle w:val="SourceNote"/>
      </w:pPr>
      <w:r>
        <w:rPr>
          <w:b/>
        </w:rPr>
        <w:t>Group ID:</w:t>
      </w:r>
      <w:r>
        <w:t xml:space="preserve"> group-b4c17acaa0be9aafcdcb</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Unveiling the environmental impact of earthquakes in Europe — https://doi.org/10.1038/s41467-025-68120-6</w:t>
      </w:r>
    </w:p>
    <w:p>
      <w:pPr/>
      <w:r>
        <w:rPr>
          <w:b/>
        </w:rPr>
        <w:t>Later source:</w:t>
      </w:r>
      <w:r>
        <w:t xml:space="preserve"> Synthesised database of wild bee and hoverfly records in Europe — https://doi.org/10.1038/s41597-026-06644-2</w:t>
      </w:r>
    </w:p>
    <w:p>
      <w:pPr>
        <w:pStyle w:val="SourceNote"/>
      </w:pPr>
      <w:r>
        <w:rPr>
          <w:b/>
        </w:rPr>
        <w:t>Review status:</w:t>
      </w:r>
      <w:r>
        <w:t xml:space="preserve"> unchecked — possible relationship only</w:t>
      </w:r>
    </w:p>
    <w:p>
      <w:pPr>
        <w:pStyle w:val="Heading2"/>
      </w:pPr>
      <w:r>
        <w:t>355. Claim + two later sources: Brexit and Its Impact on Poland’s Policy Towards Europe – An Attempt to Forecast</w:t>
      </w:r>
    </w:p>
    <w:p>
      <w:pPr>
        <w:pStyle w:val="SourceNote"/>
      </w:pPr>
      <w:r>
        <w:rPr>
          <w:b/>
        </w:rPr>
        <w:t>Group ID:</w:t>
      </w:r>
      <w:r>
        <w:t xml:space="preserve"> group-05aef96e3bae278d4a2a</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Plan for a Structural Peace and a New European Security Architecture — https://doi.org/10.5281/zenodo.18623705</w:t>
      </w:r>
    </w:p>
    <w:p>
      <w:pPr/>
      <w:r>
        <w:rPr>
          <w:b/>
        </w:rPr>
        <w:t>Later source:</w:t>
      </w:r>
      <w:r>
        <w:t xml:space="preserve"> A feminist decolonial challenge to European Union’s gender governance: knowledge hierarchies and exclusion in the European Parliament — https://doi.org/10.1080/09589236.2026.2648725</w:t>
      </w:r>
    </w:p>
    <w:p>
      <w:pPr>
        <w:pStyle w:val="SourceNote"/>
      </w:pPr>
      <w:r>
        <w:rPr>
          <w:b/>
        </w:rPr>
        <w:t>Review status:</w:t>
      </w:r>
      <w:r>
        <w:t xml:space="preserve"> unchecked — possible relationship only</w:t>
      </w:r>
    </w:p>
    <w:p>
      <w:pPr>
        <w:pStyle w:val="Heading2"/>
      </w:pPr>
      <w:r>
        <w:t>356.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357. Claim + two later sources: Renewable jet fuel supply scenarios in the European Union in 2021–2030 in the context of proposed biofuel policy and competing biomass demand</w:t>
      </w:r>
    </w:p>
    <w:p>
      <w:pPr>
        <w:pStyle w:val="SourceNote"/>
      </w:pPr>
      <w:r>
        <w:rPr>
          <w:b/>
        </w:rPr>
        <w:t>Group ID:</w:t>
      </w:r>
      <w:r>
        <w:t xml:space="preserve"> group-27d1316b79223ab724d2</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Biofuels, green finance, and economic expansion: empirical evidence from the European Union — https://doi.org/10.1186/s40854-025-00825-5</w:t>
      </w:r>
    </w:p>
    <w:p>
      <w:pPr/>
      <w:r>
        <w:rPr>
          <w:b/>
        </w:rPr>
        <w:t>Later source:</w:t>
      </w:r>
      <w:r>
        <w:t xml:space="preserve"> Optimizing biomass use for carbon storage and land use with the OptiBiU model — https://doi.org/10.1002/bbb.70123</w:t>
      </w:r>
    </w:p>
    <w:p>
      <w:pPr>
        <w:pStyle w:val="SourceNote"/>
      </w:pPr>
      <w:r>
        <w:rPr>
          <w:b/>
        </w:rPr>
        <w:t>Review status:</w:t>
      </w:r>
      <w:r>
        <w:t xml:space="preserve"> unchecked — possible relationship only</w:t>
      </w:r>
    </w:p>
    <w:p>
      <w:pPr>
        <w:pStyle w:val="Heading2"/>
      </w:pPr>
      <w:r>
        <w:t>358.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359.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360.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361. Claim + two later sources: The impact of EU Climate/Energy policies on Belgium’s energy dependence up to 2050</w:t>
      </w:r>
    </w:p>
    <w:p>
      <w:pPr>
        <w:pStyle w:val="SourceNote"/>
      </w:pPr>
      <w:r>
        <w:rPr>
          <w:b/>
        </w:rPr>
        <w:t>Group ID:</w:t>
      </w:r>
      <w:r>
        <w:t xml:space="preserve"> group-4b20783f6f072afc1b7f</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Du cinéma au baccalauréat ? Définir une « matière cinéma » au lycée (1984-1995) — https://doi.org/10.4000/155qy</w:t>
      </w:r>
    </w:p>
    <w:p>
      <w:pPr/>
      <w:r>
        <w:rPr>
          <w:b/>
        </w:rPr>
        <w:t>Later source:</w:t>
      </w:r>
      <w:r>
        <w:t xml:space="preserve"> Andreï Roublev de Tarkovski : une hagiographie filmique ? — https://doi.org/10.66488/ulqg8172</w:t>
      </w:r>
    </w:p>
    <w:p>
      <w:pPr>
        <w:pStyle w:val="SourceNote"/>
      </w:pPr>
      <w:r>
        <w:rPr>
          <w:b/>
        </w:rPr>
        <w:t>Review status:</w:t>
      </w:r>
      <w:r>
        <w:t xml:space="preserve"> unchecked — possible relationship only</w:t>
      </w:r>
    </w:p>
    <w:p>
      <w:pPr>
        <w:pStyle w:val="Heading2"/>
      </w:pPr>
      <w:r>
        <w:t>362.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363. Claim + two later sources: UK-EU RELATIONSHIP AFTER BREXIT: AN EXERCISE IN SCENARIO-BUILDING</w:t>
      </w:r>
    </w:p>
    <w:p>
      <w:pPr>
        <w:pStyle w:val="SourceNote"/>
      </w:pPr>
      <w:r>
        <w:rPr>
          <w:b/>
        </w:rPr>
        <w:t>Group ID:</w:t>
      </w:r>
      <w:r>
        <w:t xml:space="preserve"> group-721efbe336d7054caaa0</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Reviewing former critical analyses of subsidy policies in Europe — https://doi.org/10.14267/retp2026.02.06</w:t>
      </w:r>
    </w:p>
    <w:p>
      <w:pPr/>
      <w:r>
        <w:rPr>
          <w:b/>
        </w:rPr>
        <w:t>Later source:</w:t>
      </w:r>
      <w:r>
        <w:t xml:space="preserve"> Re-imagining a multicultural Europe: the experience of the R.E.D. (Reframing the European Dream) Carpet — https://doi.org/10.4337/9781035310036.00032</w:t>
      </w:r>
    </w:p>
    <w:p>
      <w:pPr>
        <w:pStyle w:val="SourceNote"/>
      </w:pPr>
      <w:r>
        <w:rPr>
          <w:b/>
        </w:rPr>
        <w:t>Review status:</w:t>
      </w:r>
      <w:r>
        <w:t xml:space="preserve"> unchecked — possible relationship only</w:t>
      </w:r>
    </w:p>
    <w:p>
      <w:pPr>
        <w:pStyle w:val="Heading2"/>
      </w:pPr>
      <w:r>
        <w:t>364.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365. Claim + two later sources: Efficiency of the European Union farm types: Scenarios with and without the 2013 CAP measures</w:t>
      </w:r>
    </w:p>
    <w:p>
      <w:pPr>
        <w:pStyle w:val="SourceNote"/>
      </w:pPr>
      <w:r>
        <w:rPr>
          <w:b/>
        </w:rPr>
        <w:t>Group ID:</w:t>
      </w:r>
      <w:r>
        <w:t xml:space="preserve"> group-eeded0a63a85e640bbdd</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Land-Use Evolution and Trends in Portugal: An Approach Based on the Standard Output — https://doi.org/10.3390/su18020791</w:t>
      </w:r>
    </w:p>
    <w:p>
      <w:pPr/>
      <w:r>
        <w:rPr>
          <w:b/>
        </w:rPr>
        <w:t>Later source:</w:t>
      </w:r>
      <w:r>
        <w:t xml:space="preserve"> Contract Design for "Enterprise+Farmer" Sharecropping Family Farms — A Comparison of Institutional Evolution in American and French Family Farms — https://doi.org/10.62177/apemr.v3i1.1034</w:t>
      </w:r>
    </w:p>
    <w:p>
      <w:pPr>
        <w:pStyle w:val="SourceNote"/>
      </w:pPr>
      <w:r>
        <w:rPr>
          <w:b/>
        </w:rPr>
        <w:t>Review status:</w:t>
      </w:r>
      <w:r>
        <w:t xml:space="preserve"> unchecked — possible relationship only</w:t>
      </w:r>
    </w:p>
    <w:p>
      <w:pPr>
        <w:pStyle w:val="Heading2"/>
      </w:pPr>
      <w:r>
        <w:t>366.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367. Claim + two later sources: New European socio-economic scenarios for climate change research: operationalising concepts to extend the shared socio-economic pathways</w:t>
      </w:r>
    </w:p>
    <w:p>
      <w:pPr>
        <w:pStyle w:val="SourceNote"/>
      </w:pPr>
      <w:r>
        <w:rPr>
          <w:b/>
        </w:rPr>
        <w:t>Group ID:</w:t>
      </w:r>
      <w:r>
        <w:t xml:space="preserve"> group-9e3e0d48dc6271d61bdb</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Retrospective pig welfare assessment at rendering plants – a useful tool for monitoring and inspection — https://doi.org/10.1186/s40813-026-00504-6</w:t>
      </w:r>
    </w:p>
    <w:p>
      <w:pPr/>
      <w:r>
        <w:rPr>
          <w:b/>
        </w:rPr>
        <w:t>Later source:</w:t>
      </w:r>
      <w:r>
        <w:t xml:space="preserve"> Scaling Decision‐Support Tools to Promote Soil Health: Insights From Stakeholders in Europe and Turkey — https://doi.org/10.1111/ejss.70113</w:t>
      </w:r>
    </w:p>
    <w:p>
      <w:pPr>
        <w:pStyle w:val="SourceNote"/>
      </w:pPr>
      <w:r>
        <w:rPr>
          <w:b/>
        </w:rPr>
        <w:t>Review status:</w:t>
      </w:r>
      <w:r>
        <w:t xml:space="preserve"> unchecked — possible relationship only</w:t>
      </w:r>
    </w:p>
    <w:p>
      <w:pPr>
        <w:pStyle w:val="Heading2"/>
      </w:pPr>
      <w:r>
        <w:t>368.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369.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370.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371.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372.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373.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374.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375.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376.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377. Claim + two later sources: Policy insights and modelling challenges: The case of passenger car powertrain technology transition in the European Union</w:t>
      </w:r>
    </w:p>
    <w:p>
      <w:pPr>
        <w:pStyle w:val="SourceNote"/>
      </w:pPr>
      <w:r>
        <w:rPr>
          <w:b/>
        </w:rPr>
        <w:t>Group ID:</w:t>
      </w:r>
      <w:r>
        <w:t xml:space="preserve"> group-6f15fe7113b56552a890</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Technology transfers within the European defence industry : a transferring firm’s perspective — https://openalex.org/W7132235623</w:t>
      </w:r>
    </w:p>
    <w:p>
      <w:pPr/>
      <w:r>
        <w:rPr>
          <w:b/>
        </w:rPr>
        <w:t>Later source:</w:t>
      </w:r>
      <w:r>
        <w:t xml:space="preserve"> The Europeanization of constitutions: experience of European Union Member States in the context of Ukraine’s candidate status — https://doi.org/10.33663/0869-2491-2026-37-660-676</w:t>
      </w:r>
    </w:p>
    <w:p>
      <w:pPr>
        <w:pStyle w:val="SourceNote"/>
      </w:pPr>
      <w:r>
        <w:rPr>
          <w:b/>
        </w:rPr>
        <w:t>Review status:</w:t>
      </w:r>
      <w:r>
        <w:t xml:space="preserve"> unchecked — possible relationship only</w:t>
      </w:r>
    </w:p>
    <w:p>
      <w:pPr>
        <w:pStyle w:val="Heading2"/>
      </w:pPr>
      <w:r>
        <w:t>378.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379.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group-ee9304fc32ce3a95a844</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Continuity and change in politicians being rude to each other over Europe: A rhetorical political analysis of invective in parliamentary debates over the European issue — https://openalex.org/W7153685673</w:t>
      </w:r>
    </w:p>
    <w:p>
      <w:pPr/>
      <w:r>
        <w:rPr>
          <w:b/>
        </w:rPr>
        <w:t>Later source:</w:t>
      </w:r>
      <w:r>
        <w:t xml:space="preserve"> The Curious Case of ‘Indian’ Literature — https://doi.org/10.1017/9781009596947.005</w:t>
      </w:r>
    </w:p>
    <w:p>
      <w:pPr>
        <w:pStyle w:val="SourceNote"/>
      </w:pPr>
      <w:r>
        <w:rPr>
          <w:b/>
        </w:rPr>
        <w:t>Review status:</w:t>
      </w:r>
      <w:r>
        <w:t xml:space="preserve"> unchecked — possible relationship only</w:t>
      </w:r>
    </w:p>
    <w:p>
      <w:pPr>
        <w:pStyle w:val="Heading2"/>
      </w:pPr>
      <w:r>
        <w:t>380.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group-de454d49ebfa0f236eec</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Mass of components and material distribution in lateral flow assay kits — https://doi.org/10.2471/blt.24.292167</w:t>
      </w:r>
    </w:p>
    <w:p>
      <w:pPr>
        <w:pStyle w:val="SourceNote"/>
      </w:pPr>
      <w:r>
        <w:rPr>
          <w:b/>
        </w:rPr>
        <w:t>Review status:</w:t>
      </w:r>
      <w:r>
        <w:t xml:space="preserve"> unchecked — possible relationship only</w:t>
      </w:r>
    </w:p>
    <w:p>
      <w:pPr>
        <w:pStyle w:val="Heading2"/>
      </w:pPr>
      <w:r>
        <w:t>381.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382.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383.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384. Claim + two later sources: Systemic Design for Policy-Making: Towards the Next Circular Regions</w:t>
      </w:r>
    </w:p>
    <w:p>
      <w:pPr>
        <w:pStyle w:val="SourceNote"/>
      </w:pPr>
      <w:r>
        <w:rPr>
          <w:b/>
        </w:rPr>
        <w:t>Group ID:</w:t>
      </w:r>
      <w:r>
        <w:t xml:space="preserve"> group-c67855e9495d40df182c</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transition of European regions: The role of regulative, normative, and cultural–cognitive institutions — https://doi.org/10.1016/j.euroecorev.2026.105409</w:t>
      </w:r>
    </w:p>
    <w:p>
      <w:pPr/>
      <w:r>
        <w:rPr>
          <w:b/>
        </w:rPr>
        <w:t>Later source:</w:t>
      </w:r>
      <w:r>
        <w:t xml:space="preserve"> Circular Economy Practices and Barriers within European SMEs in the Construction Sector — https://doi.org/10.14207/ejsd.2026.v15n1p53</w:t>
      </w:r>
    </w:p>
    <w:p>
      <w:pPr>
        <w:pStyle w:val="SourceNote"/>
      </w:pPr>
      <w:r>
        <w:rPr>
          <w:b/>
        </w:rPr>
        <w:t>Review status:</w:t>
      </w:r>
      <w:r>
        <w:t xml:space="preserve"> unchecked — possible relationship only</w:t>
      </w:r>
    </w:p>
    <w:p>
      <w:pPr>
        <w:pStyle w:val="Heading2"/>
      </w:pPr>
      <w:r>
        <w:t>385. Claim + two later sources: O4-2.1 Foresight tackling obesities: future choices</w:t>
      </w:r>
    </w:p>
    <w:p>
      <w:pPr>
        <w:pStyle w:val="SourceNote"/>
      </w:pPr>
      <w:r>
        <w:rPr>
          <w:b/>
        </w:rPr>
        <w:t>Group ID:</w:t>
      </w:r>
      <w:r>
        <w:t xml:space="preserve"> group-3445a707a1936b3fadfa</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Subject-verb agreement in Down Syndrome: morphosyntactic analysis and cross-linguistic predictions on universal defaults — https://doi.org/10.3765/plsa.v11i1.6133</w:t>
      </w:r>
    </w:p>
    <w:p>
      <w:pPr/>
      <w:r>
        <w:rPr>
          <w:b/>
        </w:rPr>
        <w:t>Later source:</w:t>
      </w:r>
      <w:r>
        <w:t xml:space="preserve"> Can EMG-Derived Upper Limb Muscle Synergies Serve as Markers for Post-Stroke Motor Assessment and Prediction of Rehabilitation Outcome? — https://doi.org/10.3390/s25103170</w:t>
      </w:r>
    </w:p>
    <w:p>
      <w:pPr>
        <w:pStyle w:val="SourceNote"/>
      </w:pPr>
      <w:r>
        <w:rPr>
          <w:b/>
        </w:rPr>
        <w:t>Review status:</w:t>
      </w:r>
      <w:r>
        <w:t xml:space="preserve"> unchecked — possible relationship only</w:t>
      </w:r>
    </w:p>
    <w:p>
      <w:pPr>
        <w:pStyle w:val="Heading2"/>
      </w:pPr>
      <w:r>
        <w:t>386. Claim + two later sources: A 2050 perspective on the role for carbon capture and storage in the European power system and industry sector</w:t>
      </w:r>
    </w:p>
    <w:p>
      <w:pPr>
        <w:pStyle w:val="SourceNote"/>
      </w:pPr>
      <w:r>
        <w:rPr>
          <w:b/>
        </w:rPr>
        <w:t>Group ID:</w:t>
      </w:r>
      <w:r>
        <w:t xml:space="preserve"> group-5f957f942ab7a47b8e3e</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The FinTech effect: a comparative analysis of bank profitability in Europe and Asia — https://doi.org/10.1108/fdar-10-2025-0036</w:t>
      </w:r>
    </w:p>
    <w:p>
      <w:pPr/>
      <w:r>
        <w:rPr>
          <w:b/>
        </w:rPr>
        <w:t>Later source:</w:t>
      </w:r>
      <w:r>
        <w:t xml:space="preserve"> scClim: An interdisciplinary project for assessing hail risk and impacts across Europe in a changing climate — https://doi.org/10.5194/egusphere-egu26-20960</w:t>
      </w:r>
    </w:p>
    <w:p>
      <w:pPr>
        <w:pStyle w:val="SourceNote"/>
      </w:pPr>
      <w:r>
        <w:rPr>
          <w:b/>
        </w:rPr>
        <w:t>Review status:</w:t>
      </w:r>
      <w:r>
        <w:t xml:space="preserve"> unchecked — possible relationship only</w:t>
      </w:r>
    </w:p>
    <w:p>
      <w:pPr>
        <w:pStyle w:val="Heading2"/>
      </w:pPr>
      <w:r>
        <w:t>387. Claim + two later sources: Impact of climate change on ozone-related mortality and morbidity in Europe</w:t>
      </w:r>
    </w:p>
    <w:p>
      <w:pPr>
        <w:pStyle w:val="SourceNote"/>
      </w:pPr>
      <w:r>
        <w:rPr>
          <w:b/>
        </w:rPr>
        <w:t>Group ID:</w:t>
      </w:r>
      <w:r>
        <w:t xml:space="preserve"> group-4e1bbef7b8137c0979d6</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Extreme high temperatures and heatwave events across Europe in 2023 — https://doi.org/10.1088/2515-7620/adae60</w:t>
      </w:r>
    </w:p>
    <w:p>
      <w:pPr/>
      <w:r>
        <w:rPr>
          <w:b/>
        </w:rPr>
        <w:t>Later source:</w:t>
      </w:r>
      <w:r>
        <w:t xml:space="preserve"> New baselines, new extremes? Assessing the impact of reference periods on climate extremes in Central Europe — https://doi.org/10.5194/ems2025-601</w:t>
      </w:r>
    </w:p>
    <w:p>
      <w:pPr>
        <w:pStyle w:val="SourceNote"/>
      </w:pPr>
      <w:r>
        <w:rPr>
          <w:b/>
        </w:rPr>
        <w:t>Review status:</w:t>
      </w:r>
      <w:r>
        <w:t xml:space="preserve"> unchecked — possible relationship only</w:t>
      </w:r>
    </w:p>
    <w:p>
      <w:pPr>
        <w:pStyle w:val="Heading2"/>
      </w:pPr>
      <w:r>
        <w:t>388. Claim + two later sources: Perspectives from 2037—Can Environmental Impact Assessment be the Solution for an Early Consideration of Climate Change-related Impacts?</w:t>
      </w:r>
    </w:p>
    <w:p>
      <w:pPr>
        <w:pStyle w:val="SourceNote"/>
      </w:pPr>
      <w:r>
        <w:rPr>
          <w:b/>
        </w:rPr>
        <w:t>Group ID:</w:t>
      </w:r>
      <w:r>
        <w:t xml:space="preserve"> group-fa3a131002e45c94a7a1</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Mosaic narrative a poetics of cinematic new media narrative — https://doi.org/10.26192/9z55q</w:t>
      </w:r>
    </w:p>
    <w:p>
      <w:pPr/>
      <w:r>
        <w:rPr>
          <w:b/>
        </w:rPr>
        <w:t>Later source:</w:t>
      </w:r>
      <w:r>
        <w:t xml:space="preserve"> Behind The Superhero Façade : A Visual And Narrative Analysis Of Power And Genre In The Boys (2019) — https://openalex.org/W7128574996</w:t>
      </w:r>
    </w:p>
    <w:p>
      <w:pPr>
        <w:pStyle w:val="SourceNote"/>
      </w:pPr>
      <w:r>
        <w:rPr>
          <w:b/>
        </w:rPr>
        <w:t>Review status:</w:t>
      </w:r>
      <w:r>
        <w:t xml:space="preserve"> unchecked — possible relationship only</w:t>
      </w:r>
    </w:p>
    <w:p>
      <w:pPr>
        <w:pStyle w:val="Heading2"/>
      </w:pPr>
      <w:r>
        <w:t>389.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390. Claim + two later sources: Forecasting turbulence in the Asian and European stock market using regime-switching models</w:t>
      </w:r>
    </w:p>
    <w:p>
      <w:pPr>
        <w:pStyle w:val="SourceNote"/>
      </w:pPr>
      <w:r>
        <w:rPr>
          <w:b/>
        </w:rPr>
        <w:t>Group ID:</w:t>
      </w:r>
      <w:r>
        <w:t xml:space="preserve"> group-cfc01b80c84c815ce488</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ECHO Early Warning System for Water Infrastructure Protection — https://doi.org/10.34190/iccws.21.1.4480</w:t>
      </w:r>
    </w:p>
    <w:p>
      <w:pPr/>
      <w:r>
        <w:rPr>
          <w:b/>
        </w:rPr>
        <w:t>Later source:</w:t>
      </w:r>
      <w:r>
        <w:t xml:space="preserve"> Evaluating a Prototype Europe-Wide Landslide Early Warning System: High-resolution comparative analysis in Catalonia and Alpes Maritimes — https://doi.org/10.5194/egusphere-egu26-20477</w:t>
      </w:r>
    </w:p>
    <w:p>
      <w:pPr>
        <w:pStyle w:val="SourceNote"/>
      </w:pPr>
      <w:r>
        <w:rPr>
          <w:b/>
        </w:rPr>
        <w:t>Review status:</w:t>
      </w:r>
      <w:r>
        <w:t xml:space="preserve"> unchecked — possible relationship only</w:t>
      </w:r>
    </w:p>
    <w:p>
      <w:pPr>
        <w:pStyle w:val="Heading2"/>
      </w:pPr>
      <w:r>
        <w:t>391.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392.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393. Claim + two later sources: Soft-linking of a behavioral model for transport with energy system cost optimization applied to hydrogen in EU</w:t>
      </w:r>
    </w:p>
    <w:p>
      <w:pPr>
        <w:pStyle w:val="SourceNote"/>
      </w:pPr>
      <w:r>
        <w:rPr>
          <w:b/>
        </w:rPr>
        <w:t>Group ID:</w:t>
      </w:r>
      <w:r>
        <w:t xml:space="preserve"> group-68863d6b771f79dc1d2e</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Later source:</w:t>
      </w:r>
      <w:r>
        <w:t xml:space="preserve"> Holistic design &amp; optimization of renewable energy systems - an african-european case study — https://doi.org/10.18154/rwth-2026-03350</w:t>
      </w:r>
    </w:p>
    <w:p>
      <w:pPr>
        <w:pStyle w:val="SourceNote"/>
      </w:pPr>
      <w:r>
        <w:rPr>
          <w:b/>
        </w:rPr>
        <w:t>Review status:</w:t>
      </w:r>
      <w:r>
        <w:t xml:space="preserve"> unchecked — possible relationship only</w:t>
      </w:r>
    </w:p>
    <w:p>
      <w:pPr>
        <w:pStyle w:val="Heading2"/>
      </w:pPr>
      <w:r>
        <w:t>394. Claim + two later sources: Facilitating transformative science education through futures thinking</w:t>
      </w:r>
    </w:p>
    <w:p>
      <w:pPr>
        <w:pStyle w:val="SourceNote"/>
      </w:pPr>
      <w:r>
        <w:rPr>
          <w:b/>
        </w:rPr>
        <w:t>Group ID:</w:t>
      </w:r>
      <w:r>
        <w:t xml:space="preserve"> group-b3ce1d1e705a11798f3d</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Dissecting the contribution of recent reward versus recent performance history on cognitive effort allocation — https://doi.org/10.1016/j.neuropsychologia.2026.109452</w:t>
      </w:r>
    </w:p>
    <w:p>
      <w:pPr/>
      <w:r>
        <w:rPr>
          <w:b/>
        </w:rPr>
        <w:t>Later source:</w:t>
      </w:r>
      <w:r>
        <w:t xml:space="preserve"> Using Learning Progressions to Guide AI Feedback for Science Learning — https://openalex.org/W7133571101</w:t>
      </w:r>
    </w:p>
    <w:p>
      <w:pPr>
        <w:pStyle w:val="SourceNote"/>
      </w:pPr>
      <w:r>
        <w:rPr>
          <w:b/>
        </w:rPr>
        <w:t>Review status:</w:t>
      </w:r>
      <w:r>
        <w:t xml:space="preserve"> unchecked — possible relationship only</w:t>
      </w:r>
    </w:p>
    <w:p>
      <w:pPr>
        <w:pStyle w:val="Heading2"/>
      </w:pPr>
      <w:r>
        <w:t>395.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396.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397.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398.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399.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400.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401. Claim + two later sources: A Game for All Seasons: Lessons and Learnings from the JRC’s Scenario Exploration System</w:t>
      </w:r>
    </w:p>
    <w:p>
      <w:pPr>
        <w:pStyle w:val="SourceNote"/>
      </w:pPr>
      <w:r>
        <w:rPr>
          <w:b/>
        </w:rPr>
        <w:t>Group ID:</w:t>
      </w:r>
      <w:r>
        <w:t xml:space="preserve"> group-173e1fee5cc0d1e55460</w:t>
      </w:r>
    </w:p>
    <w:p>
      <w:pPr>
        <w:pStyle w:val="SourceNote"/>
      </w:pPr>
      <w:r>
        <w:rPr>
          <w:b/>
        </w:rPr>
        <w:t>Original source:</w:t>
      </w:r>
      <w:r>
        <w:t xml:space="preserve"> https://doi.org/10.1177/1946756719890524</w:t>
      </w:r>
    </w:p>
    <w:p>
      <w:pPr/>
      <w:r>
        <w:rPr>
          <w:b/>
        </w:rPr>
        <w:t>Original future claim:</w:t>
      </w:r>
      <w:r>
        <w:t xml:space="preserve"> It was originally geared at engaging EU policy-makers with scenarios in a facilitated process with a low learning curve.</w:t>
      </w:r>
    </w:p>
    <w:p>
      <w:pPr/>
      <w:r>
        <w:rPr>
          <w:b/>
        </w:rPr>
        <w:t>Later source:</w:t>
      </w:r>
      <w:r>
        <w:t xml:space="preserve"> How not to manage crises in the European Union — https://doi.org/10.1093/ia/iiac064</w:t>
      </w:r>
    </w:p>
    <w:p>
      <w:pPr/>
      <w:r>
        <w:rPr>
          <w:b/>
        </w:rPr>
        <w:t>Later source:</w:t>
      </w:r>
      <w:r>
        <w:t xml:space="preserve"> Metamorphosis: a different history of the Union — https://doi.org/10.1017/9781788214247.003</w:t>
      </w:r>
    </w:p>
    <w:p>
      <w:pPr>
        <w:pStyle w:val="SourceNote"/>
      </w:pPr>
      <w:r>
        <w:rPr>
          <w:b/>
        </w:rPr>
        <w:t>Review status:</w:t>
      </w:r>
      <w:r>
        <w:t xml:space="preserve"> unchecked — possible relationship only</w:t>
      </w:r>
    </w:p>
    <w:p>
      <w:pPr>
        <w:pStyle w:val="Heading2"/>
      </w:pPr>
      <w:r>
        <w:t>402. Claim + two later sources: Focused Futures from Finland</w:t>
      </w:r>
    </w:p>
    <w:p>
      <w:pPr>
        <w:pStyle w:val="SourceNote"/>
      </w:pPr>
      <w:r>
        <w:rPr>
          <w:b/>
        </w:rPr>
        <w:t>Group ID:</w:t>
      </w:r>
      <w:r>
        <w:t xml:space="preserve"> group-0a40a7ef0502346c55de</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The European Security System after the End of the Russian–Ukrainian War in the Political Conceptions of Law and Justice and Civic Platform — https://doi.org/10.17951/we.2025.11.2.11-37</w:t>
      </w:r>
    </w:p>
    <w:p>
      <w:pPr/>
      <w:r>
        <w:rPr>
          <w:b/>
        </w:rPr>
        <w:t>Later source:</w:t>
      </w:r>
      <w:r>
        <w:t xml:space="preserve"> Quo Vadis Europe? — https://doi.org/10.1080/04353684.2023.2193346</w:t>
      </w:r>
    </w:p>
    <w:p>
      <w:pPr>
        <w:pStyle w:val="SourceNote"/>
      </w:pPr>
      <w:r>
        <w:rPr>
          <w:b/>
        </w:rPr>
        <w:t>Review status:</w:t>
      </w:r>
      <w:r>
        <w:t xml:space="preserve"> unchecked — possible relationship only</w:t>
      </w:r>
    </w:p>
    <w:p>
      <w:pPr>
        <w:pStyle w:val="Heading2"/>
      </w:pPr>
      <w:r>
        <w:t>403.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404. Claim + two later sources: Strategic European Integration Scenarios of Ukrainian and Polish Research, Education and Innovation Spaces</w:t>
      </w:r>
    </w:p>
    <w:p>
      <w:pPr>
        <w:pStyle w:val="SourceNote"/>
      </w:pPr>
      <w:r>
        <w:rPr>
          <w:b/>
        </w:rPr>
        <w:t>Group ID:</w:t>
      </w:r>
      <w:r>
        <w:t xml:space="preserve"> group-39d2e2d1aadef16a08a9</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Wicked Energy Transition: Integrating deployment, foresight, and financial barriers into energy transition pathway models — https://doi.org/10.3929/ethz-c-000800809</w:t>
      </w:r>
    </w:p>
    <w:p>
      <w:pPr>
        <w:pStyle w:val="SourceNote"/>
      </w:pPr>
      <w:r>
        <w:rPr>
          <w:b/>
        </w:rPr>
        <w:t>Review status:</w:t>
      </w:r>
      <w:r>
        <w:t xml:space="preserve"> unchecked — possible relationship only</w:t>
      </w:r>
    </w:p>
    <w:p>
      <w:pPr>
        <w:pStyle w:val="Heading2"/>
      </w:pPr>
      <w:r>
        <w:t>405. Claim + two later sources: A new approach on renewable energy as a support for regional economic development among the European Union</w:t>
      </w:r>
    </w:p>
    <w:p>
      <w:pPr>
        <w:pStyle w:val="SourceNote"/>
      </w:pPr>
      <w:r>
        <w:rPr>
          <w:b/>
        </w:rPr>
        <w:t>Group ID:</w:t>
      </w:r>
      <w:r>
        <w:t xml:space="preserve"> group-46d81050bbe7450adf2f</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A gridded dataset of European Forest Types to support forest monitoring, modelling and reporting — https://doi.org/10.5194/essd-18-6435-2026</w:t>
      </w:r>
    </w:p>
    <w:p>
      <w:pPr>
        <w:pStyle w:val="SourceNote"/>
      </w:pPr>
      <w:r>
        <w:rPr>
          <w:b/>
        </w:rPr>
        <w:t>Review status:</w:t>
      </w:r>
      <w:r>
        <w:t xml:space="preserve"> unchecked — possible relationship only</w:t>
      </w:r>
    </w:p>
    <w:p>
      <w:pPr>
        <w:pStyle w:val="Heading2"/>
      </w:pPr>
      <w:r>
        <w:t>406.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407.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408. Claim + two later sources: Situational analysis of EU renewable energy legislation</w:t>
      </w:r>
    </w:p>
    <w:p>
      <w:pPr>
        <w:pStyle w:val="SourceNote"/>
      </w:pPr>
      <w:r>
        <w:rPr>
          <w:b/>
        </w:rPr>
        <w:t>Group ID:</w:t>
      </w:r>
      <w:r>
        <w:t xml:space="preserve"> group-70110f0f1e460ea2a311</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Governing asylum seekers : logistics, differentiation, and failure in the European Union’s reception regime — https://doi.org/10.82444/warw.33757732</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pStyle w:val="SourceNote"/>
      </w:pPr>
      <w:r>
        <w:rPr>
          <w:b/>
        </w:rPr>
        <w:t>Review status:</w:t>
      </w:r>
      <w:r>
        <w:t xml:space="preserve"> unchecked — possible relationship only</w:t>
      </w:r>
    </w:p>
    <w:p>
      <w:pPr>
        <w:pStyle w:val="Heading2"/>
      </w:pPr>
      <w:r>
        <w:t>409.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410. Claim + two later sources: Grassland futures in Great Britain – Productivity assessment and scenarios for land use change opportunities</w:t>
      </w:r>
    </w:p>
    <w:p>
      <w:pPr>
        <w:pStyle w:val="SourceNote"/>
      </w:pPr>
      <w:r>
        <w:rPr>
          <w:b/>
        </w:rPr>
        <w:t>Group ID:</w:t>
      </w:r>
      <w:r>
        <w:t xml:space="preserve"> group-519a9e7f564ae4765eed</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Integrating aviation’s non-CO2 effects into EU ETS: Impact of CO2e accounting on operational and technological climate mitigation measures — https://doi.org/10.1016/j.trpro.2026.02.025</w:t>
      </w:r>
    </w:p>
    <w:p>
      <w:pPr/>
      <w:r>
        <w:rPr>
          <w:b/>
        </w:rPr>
        <w:t>Later source:</w:t>
      </w:r>
      <w:r>
        <w:t xml:space="preserve"> Next-Gen Monitoring: Technological Interventions for Climate-Adaptive Agriculture — https://doi.org/10.5281/zenodo.19417401</w:t>
      </w:r>
    </w:p>
    <w:p>
      <w:pPr>
        <w:pStyle w:val="SourceNote"/>
      </w:pPr>
      <w:r>
        <w:rPr>
          <w:b/>
        </w:rPr>
        <w:t>Review status:</w:t>
      </w:r>
      <w:r>
        <w:t xml:space="preserve"> unchecked — possible relationship only</w:t>
      </w:r>
    </w:p>
    <w:p>
      <w:pPr>
        <w:pStyle w:val="Heading2"/>
      </w:pPr>
      <w:r>
        <w:t>411. Claim + two later sources: Demographic change and the European income distribution</w:t>
      </w:r>
    </w:p>
    <w:p>
      <w:pPr>
        <w:pStyle w:val="SourceNote"/>
      </w:pPr>
      <w:r>
        <w:rPr>
          <w:b/>
        </w:rPr>
        <w:t>Group ID:</w:t>
      </w:r>
      <w:r>
        <w:t xml:space="preserve"> group-9f930a5bf8ea42bbb5d2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Fiscal drag in Europe: Key facts — https://openalex.org/W7142563241</w:t>
      </w:r>
    </w:p>
    <w:p>
      <w:pPr>
        <w:pStyle w:val="SourceNote"/>
      </w:pPr>
      <w:r>
        <w:rPr>
          <w:b/>
        </w:rPr>
        <w:t>Review status:</w:t>
      </w:r>
      <w:r>
        <w:t xml:space="preserve"> unchecked — possible relationship only</w:t>
      </w:r>
    </w:p>
    <w:p>
      <w:pPr>
        <w:pStyle w:val="Heading2"/>
      </w:pPr>
      <w:r>
        <w:t>412.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413. Claim + two later sources: GLOBAL FORECAST OF US NATIONAL INTELLIGENCE COUNCIL</w:t>
      </w:r>
    </w:p>
    <w:p>
      <w:pPr>
        <w:pStyle w:val="SourceNote"/>
      </w:pPr>
      <w:r>
        <w:rPr>
          <w:b/>
        </w:rPr>
        <w:t>Group ID:</w:t>
      </w:r>
      <w:r>
        <w:t xml:space="preserve"> group-bdb747b96cb29f10d3c8</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I-P10Sky Projection of the Free-State Background — https://doi.org/10.5281/zenodo.21548281</w:t>
      </w:r>
    </w:p>
    <w:p>
      <w:pPr>
        <w:pStyle w:val="SourceNote"/>
      </w:pPr>
      <w:r>
        <w:rPr>
          <w:b/>
        </w:rPr>
        <w:t>Review status:</w:t>
      </w:r>
      <w:r>
        <w:t xml:space="preserve"> unchecked — possible relationship only</w:t>
      </w:r>
    </w:p>
    <w:p>
      <w:pPr>
        <w:pStyle w:val="Heading2"/>
      </w:pPr>
      <w:r>
        <w:t>414.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415.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416.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417. Claim + two later sources: ‘Energy landscapes’: Meeting energy demands and human aspirations</w:t>
      </w:r>
    </w:p>
    <w:p>
      <w:pPr>
        <w:pStyle w:val="SourceNote"/>
      </w:pPr>
      <w:r>
        <w:rPr>
          <w:b/>
        </w:rPr>
        <w:t>Group ID:</w:t>
      </w:r>
      <w:r>
        <w:t xml:space="preserve"> group-cf3231f38d8cbbfc423f</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Hubble as a Unique Discovery Engine of the Fate of Massive Stars and Black Hole Formation — https://doi.org/10.48550/arxiv.2606.10710</w:t>
      </w:r>
    </w:p>
    <w:p>
      <w:pPr/>
      <w:r>
        <w:rPr>
          <w:b/>
        </w:rPr>
        <w:t>Later source:</w:t>
      </w:r>
      <w:r>
        <w:t xml:space="preserve"> Assembly of the most massive Black Holes in the Universe — https://doi.org/10.7488/era/7378</w:t>
      </w:r>
    </w:p>
    <w:p>
      <w:pPr>
        <w:pStyle w:val="SourceNote"/>
      </w:pPr>
      <w:r>
        <w:rPr>
          <w:b/>
        </w:rPr>
        <w:t>Review status:</w:t>
      </w:r>
      <w:r>
        <w:t xml:space="preserve"> unchecked — possible relationship only</w:t>
      </w:r>
    </w:p>
    <w:p>
      <w:pPr>
        <w:pStyle w:val="Heading2"/>
      </w:pPr>
      <w:r>
        <w:t>418. Claim + two later sources: Energy futures as societal futures: Co-evolutionary scenarios linking futures of society and decarbonized energy systems in Switzerland 2050</w:t>
      </w:r>
    </w:p>
    <w:p>
      <w:pPr>
        <w:pStyle w:val="SourceNote"/>
      </w:pPr>
      <w:r>
        <w:rPr>
          <w:b/>
        </w:rPr>
        <w:t>Group ID:</w:t>
      </w:r>
      <w:r>
        <w:t xml:space="preserve"> group-517cb70c55c356029176</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 of marginally stable systems of reaction–diffusion equations with decentralized boundary control — https://doi.org/10.1016/j.automatica.2026.112887</w:t>
      </w:r>
    </w:p>
    <w:p>
      <w:pPr/>
      <w:r>
        <w:rPr>
          <w:b/>
        </w:rPr>
        <w:t>Later source:</w:t>
      </w:r>
      <w:r>
        <w:t xml:space="preserve"> How Global Peacebuilders Think: Policy Dialogue and System Change — https://openalex.org/W7139576235</w:t>
      </w:r>
    </w:p>
    <w:p>
      <w:pPr>
        <w:pStyle w:val="SourceNote"/>
      </w:pPr>
      <w:r>
        <w:rPr>
          <w:b/>
        </w:rPr>
        <w:t>Review status:</w:t>
      </w:r>
      <w:r>
        <w:t xml:space="preserve"> unchecked — possible relationship only</w:t>
      </w:r>
    </w:p>
    <w:p>
      <w:pPr>
        <w:pStyle w:val="Heading2"/>
      </w:pPr>
      <w:r>
        <w:t>419. Claim + two later sources: Imaginary scenarios: Literature and Democracy in Europe</w:t>
      </w:r>
    </w:p>
    <w:p>
      <w:pPr>
        <w:pStyle w:val="SourceNote"/>
      </w:pPr>
      <w:r>
        <w:rPr>
          <w:b/>
        </w:rPr>
        <w:t>Group ID:</w:t>
      </w:r>
      <w:r>
        <w:t xml:space="preserve"> group-dc8c3fbb99da8d6e8c66</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Practices, Power, and Performativity: A Feminist Technoscience Exploration of AI Imaginaries of Work — https://doi.org/10.5281/zenodo.23669022</w:t>
      </w:r>
    </w:p>
    <w:p>
      <w:pPr/>
      <w:r>
        <w:rPr>
          <w:b/>
        </w:rPr>
        <w:t>Later source:</w:t>
      </w:r>
      <w:r>
        <w:t xml:space="preserve"> European Constitutional Imaginaries — https://doi.org/10.1093/oso/9780192855480.003.0001</w:t>
      </w:r>
    </w:p>
    <w:p>
      <w:pPr>
        <w:pStyle w:val="SourceNote"/>
      </w:pPr>
      <w:r>
        <w:rPr>
          <w:b/>
        </w:rPr>
        <w:t>Review status:</w:t>
      </w:r>
      <w:r>
        <w:t xml:space="preserve"> unchecked — possible relationship only</w:t>
      </w:r>
    </w:p>
    <w:p>
      <w:pPr>
        <w:pStyle w:val="Heading2"/>
      </w:pPr>
      <w:r>
        <w:t>420. Claim + two later sources: Possible Futures towards a Wood-Based Bioeconomy: A Scenario Analysis for Germany</w:t>
      </w:r>
    </w:p>
    <w:p>
      <w:pPr>
        <w:pStyle w:val="SourceNote"/>
      </w:pPr>
      <w:r>
        <w:rPr>
          <w:b/>
        </w:rPr>
        <w:t>Group ID:</w:t>
      </w:r>
      <w:r>
        <w:t xml:space="preserve"> group-304ff9d33017058058bf</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The Growing Business of Electric Vehicles: A Comprehensive Case Study in Europe — https://doi.org/10.20944/preprints202504.0457.v1</w:t>
      </w:r>
    </w:p>
    <w:p>
      <w:pPr/>
      <w:r>
        <w:rPr>
          <w:b/>
        </w:rPr>
        <w:t>Later source:</w:t>
      </w:r>
      <w:r>
        <w:t xml:space="preserve"> Economic Analysis of Fossil CO2 Emissions: A European Perspective on Sustainable Development — https://doi.org/10.3390/en18082106</w:t>
      </w:r>
    </w:p>
    <w:p>
      <w:pPr>
        <w:pStyle w:val="SourceNote"/>
      </w:pPr>
      <w:r>
        <w:rPr>
          <w:b/>
        </w:rPr>
        <w:t>Review status:</w:t>
      </w:r>
      <w:r>
        <w:t xml:space="preserve"> unchecked — possible relationship only</w:t>
      </w:r>
    </w:p>
    <w:p>
      <w:pPr>
        <w:pStyle w:val="Heading2"/>
      </w:pPr>
      <w:r>
        <w:t>421. Claim + two later sources: The Boundaries of Scientific Innovation in the EU Green Deal Context</w:t>
      </w:r>
    </w:p>
    <w:p>
      <w:pPr>
        <w:pStyle w:val="SourceNote"/>
      </w:pPr>
      <w:r>
        <w:rPr>
          <w:b/>
        </w:rPr>
        <w:t>Group ID:</w:t>
      </w:r>
      <w:r>
        <w:t xml:space="preserve"> group-044dcfe63ce93fb90d75</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Monetary standardization in the European Union — https://doi.org/10.47772/ijriss.2026.10100071</w:t>
      </w:r>
    </w:p>
    <w:p>
      <w:pPr/>
      <w:r>
        <w:rPr>
          <w:b/>
        </w:rPr>
        <w:t>Later source:</w:t>
      </w:r>
      <w:r>
        <w:t xml:space="preserve"> The European Union as a Political Hybrid — https://doi.org/10.1017/9781009682633.004</w:t>
      </w:r>
    </w:p>
    <w:p>
      <w:pPr>
        <w:pStyle w:val="SourceNote"/>
      </w:pPr>
      <w:r>
        <w:rPr>
          <w:b/>
        </w:rPr>
        <w:t>Review status:</w:t>
      </w:r>
      <w:r>
        <w:t xml:space="preserve"> unchecked — possible relationship only</w:t>
      </w:r>
    </w:p>
    <w:p>
      <w:pPr>
        <w:pStyle w:val="Heading2"/>
      </w:pPr>
      <w:r>
        <w:t>422.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423.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424.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425. Claim + two later sources: Potential implications of future climate and land‐cover changes for the fate and distribution of persistent organic pollutants in Europe</w:t>
      </w:r>
    </w:p>
    <w:p>
      <w:pPr>
        <w:pStyle w:val="SourceNote"/>
      </w:pPr>
      <w:r>
        <w:rPr>
          <w:b/>
        </w:rPr>
        <w:t>Group ID:</w:t>
      </w:r>
      <w:r>
        <w:t xml:space="preserve"> group-83fc28d946d373e012b0</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Soil degradation in Europe is projected to accelerate under changing land use and climate — https://doi.org/10.1038/s44458-026-00064-4</w:t>
      </w:r>
    </w:p>
    <w:p>
      <w:pPr/>
      <w:r>
        <w:rPr>
          <w:b/>
        </w:rPr>
        <w:t>Later source:</w:t>
      </w:r>
      <w:r>
        <w:t xml:space="preserve"> European land use and land cover futures: a global computable general equilibrium assessment with sub-national detail and a climate application — https://doi.org/10.48565/bonndoc-923</w:t>
      </w:r>
    </w:p>
    <w:p>
      <w:pPr>
        <w:pStyle w:val="SourceNote"/>
      </w:pPr>
      <w:r>
        <w:rPr>
          <w:b/>
        </w:rPr>
        <w:t>Review status:</w:t>
      </w:r>
      <w:r>
        <w:t xml:space="preserve"> unchecked — possible relationship only</w:t>
      </w:r>
    </w:p>
    <w:p>
      <w:pPr>
        <w:pStyle w:val="Heading2"/>
      </w:pPr>
      <w:r>
        <w:t>426.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427.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428. Claim + two later sources: Application of the UK Foresight Obesity Model in Ireland: The Health and Economic Consequences of Projected Obesity Trends in Ireland</w:t>
      </w:r>
    </w:p>
    <w:p>
      <w:pPr>
        <w:pStyle w:val="SourceNote"/>
      </w:pPr>
      <w:r>
        <w:rPr>
          <w:b/>
        </w:rPr>
        <w:t>Group ID:</w:t>
      </w:r>
      <w:r>
        <w:t xml:space="preserve"> group-9bc0cb7a521298f5ed0b</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The Costs of Parkinson's Disease in Europe: Results of the Costs of Illness in Neurology Initiative — https://doi.org/10.1002/mds.70491</w:t>
      </w:r>
    </w:p>
    <w:p>
      <w:pPr>
        <w:pStyle w:val="SourceNote"/>
      </w:pPr>
      <w:r>
        <w:rPr>
          <w:b/>
        </w:rPr>
        <w:t>Review status:</w:t>
      </w:r>
      <w:r>
        <w:t xml:space="preserve"> unchecked — possible relationship only</w:t>
      </w:r>
    </w:p>
    <w:p>
      <w:pPr>
        <w:pStyle w:val="Heading2"/>
      </w:pPr>
      <w:r>
        <w:t>429.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430. Claim + two later sources: When will European Muslim population be majority and in which country?</w:t>
      </w:r>
    </w:p>
    <w:p>
      <w:pPr>
        <w:pStyle w:val="SourceNote"/>
      </w:pPr>
      <w:r>
        <w:rPr>
          <w:b/>
        </w:rPr>
        <w:t>Group ID:</w:t>
      </w:r>
      <w:r>
        <w:t xml:space="preserve"> group-b94538c4442b461cd512</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Migration resistance as border politics : counter-imaginaries of EUrope — https://doi.org/10.82444/warw.33687625</w:t>
      </w:r>
    </w:p>
    <w:p>
      <w:pPr/>
      <w:r>
        <w:rPr>
          <w:b/>
        </w:rPr>
        <w:t>Later source:</w:t>
      </w:r>
      <w:r>
        <w:t xml:space="preserve"> Exploring the genetic diversity of recent Ralstonia pseudosolanacearum phylotype I findings in Europe — https://doi.org/10.1007/s10658-026-03191-9</w:t>
      </w:r>
    </w:p>
    <w:p>
      <w:pPr>
        <w:pStyle w:val="SourceNote"/>
      </w:pPr>
      <w:r>
        <w:rPr>
          <w:b/>
        </w:rPr>
        <w:t>Review status:</w:t>
      </w:r>
      <w:r>
        <w:t xml:space="preserve"> unchecked — possible relationship only</w:t>
      </w:r>
    </w:p>
    <w:p>
      <w:pPr>
        <w:pStyle w:val="Heading2"/>
      </w:pPr>
      <w:r>
        <w:t>431. Claim + two later sources: Future life expectancy in 35 industrialised countries: projections with a Bayesian model ensemble</w:t>
      </w:r>
    </w:p>
    <w:p>
      <w:pPr>
        <w:pStyle w:val="SourceNote"/>
      </w:pPr>
      <w:r>
        <w:rPr>
          <w:b/>
        </w:rPr>
        <w:t>Group ID:</w:t>
      </w:r>
      <w:r>
        <w:t xml:space="preserve"> group-1f69d08d5a66e2798196</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Centering working-class women’s knowledge: a feminist geography of lone-motherhood over life-course in Scotland’s urban peripheries — https://doi.org/10.1080/0966369x.2026.2695995</w:t>
      </w:r>
    </w:p>
    <w:p>
      <w:pPr/>
      <w:r>
        <w:rPr>
          <w:b/>
        </w:rPr>
        <w:t>Later source:</w:t>
      </w:r>
      <w:r>
        <w:t xml:space="preserve"> Decoding life expectancy gaps: a long-term decomposition analysis of three WHO European Region country groups — https://doi.org/10.1080/23311886.2025.2486561</w:t>
      </w:r>
    </w:p>
    <w:p>
      <w:pPr>
        <w:pStyle w:val="SourceNote"/>
      </w:pPr>
      <w:r>
        <w:rPr>
          <w:b/>
        </w:rPr>
        <w:t>Review status:</w:t>
      </w:r>
      <w:r>
        <w:t xml:space="preserve"> unchecked — possible relationship only</w:t>
      </w:r>
    </w:p>
    <w:p>
      <w:pPr>
        <w:pStyle w:val="Heading2"/>
      </w:pPr>
      <w:r>
        <w:t>432. Claim + two later sources: The Role of BECCS in Achieving Climate Neutrality in the European Union</w:t>
      </w:r>
    </w:p>
    <w:p>
      <w:pPr>
        <w:pStyle w:val="SourceNote"/>
      </w:pPr>
      <w:r>
        <w:rPr>
          <w:b/>
        </w:rPr>
        <w:t>Group ID:</w:t>
      </w:r>
      <w:r>
        <w:t xml:space="preserve"> group-e8615746b12b48d551ea</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MAIZE BREEDING FOR ENHANCED ADAPTABILITY TO CLIMATE CHANGE IN EUROPE — https://doi.org/10.37128/2707-5826-2026-1-12</w:t>
      </w:r>
    </w:p>
    <w:p>
      <w:pPr/>
      <w:r>
        <w:rPr>
          <w:b/>
        </w:rPr>
        <w:t>Later source:</w:t>
      </w:r>
      <w:r>
        <w:t xml:space="preserve"> Optimization of Climate Neutrality for a Low-Energy Residential Building Complex in Poland — https://doi.org/10.3390/en19061568</w:t>
      </w:r>
    </w:p>
    <w:p>
      <w:pPr>
        <w:pStyle w:val="SourceNote"/>
      </w:pPr>
      <w:r>
        <w:rPr>
          <w:b/>
        </w:rPr>
        <w:t>Review status:</w:t>
      </w:r>
      <w:r>
        <w:t xml:space="preserve"> unchecked — possible relationship only</w:t>
      </w:r>
    </w:p>
    <w:p>
      <w:pPr>
        <w:pStyle w:val="Heading2"/>
      </w:pPr>
      <w:r>
        <w:t>433.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434.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435.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436. Claim + two later sources: Long‐term trends of Nordic power market: A review</w:t>
      </w:r>
    </w:p>
    <w:p>
      <w:pPr>
        <w:pStyle w:val="SourceNote"/>
      </w:pPr>
      <w:r>
        <w:rPr>
          <w:b/>
        </w:rPr>
        <w:t>Group ID:</w:t>
      </w:r>
      <w:r>
        <w:t xml:space="preserve"> group-07baa1b194185408d1d5</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Outcome- and Impact-Based Professional Assessment Frameworks — https://doi.org/10.17605/osf.io/r3uyq</w:t>
      </w:r>
    </w:p>
    <w:p>
      <w:pPr>
        <w:pStyle w:val="SourceNote"/>
      </w:pPr>
      <w:r>
        <w:rPr>
          <w:b/>
        </w:rPr>
        <w:t>Review status:</w:t>
      </w:r>
      <w:r>
        <w:t xml:space="preserve"> unchecked — possible relationship only</w:t>
      </w:r>
    </w:p>
    <w:p>
      <w:pPr>
        <w:pStyle w:val="Heading2"/>
      </w:pPr>
      <w:r>
        <w:t>437.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438.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439.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440.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441. Claim + two later sources: The role of transmission and energy storage in European decarbonization towards 2050</w:t>
      </w:r>
    </w:p>
    <w:p>
      <w:pPr>
        <w:pStyle w:val="SourceNote"/>
      </w:pPr>
      <w:r>
        <w:rPr>
          <w:b/>
        </w:rPr>
        <w:t>Group ID:</w:t>
      </w:r>
      <w:r>
        <w:t xml:space="preserve"> group-124af57b6696c1575063</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Bidding Aggregated Flexibility in European Electricity Auctions — https://doi.org/10.1109/tempr.2026.3714683</w:t>
      </w:r>
    </w:p>
    <w:p>
      <w:pPr>
        <w:pStyle w:val="SourceNote"/>
      </w:pPr>
      <w:r>
        <w:rPr>
          <w:b/>
        </w:rPr>
        <w:t>Review status:</w:t>
      </w:r>
      <w:r>
        <w:t xml:space="preserve"> unchecked — possible relationship only</w:t>
      </w:r>
    </w:p>
    <w:p>
      <w:pPr>
        <w:pStyle w:val="Heading2"/>
      </w:pPr>
      <w:r>
        <w:t>442.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443.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444. Claim + two later sources: POPULATION FORECAST WITH THE DATA PROCESSING GROUP METHOD (GMDH) type NEURAL NETWORK FOR EUROPEAN UNION COUNTRIES</w:t>
      </w:r>
    </w:p>
    <w:p>
      <w:pPr>
        <w:pStyle w:val="SourceNote"/>
      </w:pPr>
      <w:r>
        <w:rPr>
          <w:b/>
        </w:rPr>
        <w:t>Group ID:</w:t>
      </w:r>
      <w:r>
        <w:t xml:space="preserve"> group-fbe535bf239ded47d026</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Economic value of lost productivity attributable to premature cancer mortality and morbidity across Europe — https://doi.org/10.1080/13696998.2026.2633013</w:t>
      </w:r>
    </w:p>
    <w:p>
      <w:pPr/>
      <w:r>
        <w:rPr>
          <w:b/>
        </w:rPr>
        <w:t>Later source:</w:t>
      </w:r>
      <w:r>
        <w:t xml:space="preserve"> A database of eels and their freshwater habitats in southwestern Europe — https://doi.org/10.1038/s41597-026-07213-3</w:t>
      </w:r>
    </w:p>
    <w:p>
      <w:pPr>
        <w:pStyle w:val="SourceNote"/>
      </w:pPr>
      <w:r>
        <w:rPr>
          <w:b/>
        </w:rPr>
        <w:t>Review status:</w:t>
      </w:r>
      <w:r>
        <w:t xml:space="preserve"> unchecked — possible relationship only</w:t>
      </w:r>
    </w:p>
    <w:p>
      <w:pPr>
        <w:pStyle w:val="Heading2"/>
      </w:pPr>
      <w:r>
        <w:t>445.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group-68fdf0f1733c1fa8eaf3</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Electricity consumption in the mining sector in Spain: Key factors for the energy transition and the supply of critical raw materials to Europe — https://doi.org/10.1007/s13563-025-00567-x</w:t>
      </w:r>
    </w:p>
    <w:p>
      <w:pPr/>
      <w:r>
        <w:rPr>
          <w:b/>
        </w:rPr>
        <w:t>Later source:</w:t>
      </w:r>
      <w:r>
        <w:t xml:space="preserve"> Training for Operating Staff in Control Centres as One Key Factor for Operating Resilience — https://doi.org/10.2478/bhee-2026-0010</w:t>
      </w:r>
    </w:p>
    <w:p>
      <w:pPr>
        <w:pStyle w:val="SourceNote"/>
      </w:pPr>
      <w:r>
        <w:rPr>
          <w:b/>
        </w:rPr>
        <w:t>Review status:</w:t>
      </w:r>
      <w:r>
        <w:t xml:space="preserve"> unchecked — possible relationship only</w:t>
      </w:r>
    </w:p>
    <w:p>
      <w:pPr>
        <w:pStyle w:val="Heading2"/>
      </w:pPr>
      <w:r>
        <w:t>446. Claim + two later sources: The future of polarisation in Europe: relative cosmopolitanism and democracy</w:t>
      </w:r>
    </w:p>
    <w:p>
      <w:pPr>
        <w:pStyle w:val="SourceNote"/>
      </w:pPr>
      <w:r>
        <w:rPr>
          <w:b/>
        </w:rPr>
        <w:t>Group ID:</w:t>
      </w:r>
      <w:r>
        <w:t xml:space="preserve"> group-3609ef58b3f5d7dfa879</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Architecture in the context of socio-cultural polarisation: The case of Lviv (1991-2025) — https://doi.org/10.56318/as/1.2026.09</w:t>
      </w:r>
    </w:p>
    <w:p>
      <w:pPr/>
      <w:r>
        <w:rPr>
          <w:b/>
        </w:rPr>
        <w:t>Later source:</w:t>
      </w:r>
      <w:r>
        <w:t xml:space="preserve"> Martyrdom and Patience of Saint Eustathius of Mtskheta / Translation from Old Georgian, Introductory Article and Commentaries by N. Nazarov — https://doi.org/10.15407/orientw2026.03.109</w:t>
      </w:r>
    </w:p>
    <w:p>
      <w:pPr>
        <w:pStyle w:val="SourceNote"/>
      </w:pPr>
      <w:r>
        <w:rPr>
          <w:b/>
        </w:rPr>
        <w:t>Review status:</w:t>
      </w:r>
      <w:r>
        <w:t xml:space="preserve"> unchecked — possible relationship only</w:t>
      </w:r>
    </w:p>
    <w:p>
      <w:pPr>
        <w:pStyle w:val="Heading2"/>
      </w:pPr>
      <w:r>
        <w:t>447.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448. Claim + two later sources: Delphi Prospection on Additive Manufacturing in 2030: Implications for Education and Employment in Spain</w:t>
      </w:r>
    </w:p>
    <w:p>
      <w:pPr>
        <w:pStyle w:val="SourceNote"/>
      </w:pPr>
      <w:r>
        <w:rPr>
          <w:b/>
        </w:rPr>
        <w:t>Group ID:</w:t>
      </w:r>
      <w:r>
        <w:t xml:space="preserve"> group-4885dea519dde8a3439e</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History of sustainable finance regulation: the European Odyssey — https://doi.org/10.1108/jfrc-11-2024-0226</w:t>
      </w:r>
    </w:p>
    <w:p>
      <w:pPr>
        <w:pStyle w:val="SourceNote"/>
      </w:pPr>
      <w:r>
        <w:rPr>
          <w:b/>
        </w:rPr>
        <w:t>Review status:</w:t>
      </w:r>
      <w:r>
        <w:t xml:space="preserve"> unchecked — possible relationship only</w:t>
      </w:r>
    </w:p>
    <w:p>
      <w:pPr>
        <w:pStyle w:val="Heading2"/>
      </w:pPr>
      <w:r>
        <w:t>449. Claim + two later sources: Suitability of European climate for the Asian tiger mosquito Aedes albopictus : recent trends and future scenarios</w:t>
      </w:r>
    </w:p>
    <w:p>
      <w:pPr>
        <w:pStyle w:val="SourceNote"/>
      </w:pPr>
      <w:r>
        <w:rPr>
          <w:b/>
        </w:rPr>
        <w:t>Group ID:</w:t>
      </w:r>
      <w:r>
        <w:t xml:space="preserve"> group-c59e3f661d636837b018</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Severe Convective Storms in a Changing Climate: Uncertainties in risk views across North America and Europe — https://doi.org/10.63024/dkee-9w5q</w:t>
      </w:r>
    </w:p>
    <w:p>
      <w:pPr/>
      <w:r>
        <w:rPr>
          <w:b/>
        </w:rPr>
        <w:t>Later source:</w:t>
      </w:r>
      <w:r>
        <w:t xml:space="preserve"> European trends in attitudes and strategies for myopia management in clinical practice — https://doi.org/10.1016/j.clae.2025.102390</w:t>
      </w:r>
    </w:p>
    <w:p>
      <w:pPr>
        <w:pStyle w:val="SourceNote"/>
      </w:pPr>
      <w:r>
        <w:rPr>
          <w:b/>
        </w:rPr>
        <w:t>Review status:</w:t>
      </w:r>
      <w:r>
        <w:t xml:space="preserve"> unchecked — possible relationship only</w:t>
      </w:r>
    </w:p>
    <w:p>
      <w:pPr>
        <w:pStyle w:val="Heading2"/>
      </w:pPr>
      <w:r>
        <w:t>450. Claim + two later sources: OPERATIONAL EARTHQUAKE FORECASTING. State of Knowledge and Guidelines for Utilization</w:t>
      </w:r>
    </w:p>
    <w:p>
      <w:pPr>
        <w:pStyle w:val="SourceNote"/>
      </w:pPr>
      <w:r>
        <w:rPr>
          <w:b/>
        </w:rPr>
        <w:t>Group ID:</w:t>
      </w:r>
      <w:r>
        <w:t xml:space="preserve"> group-7db9499a1575fe65b683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Methodology of Threats Outlooks Development to EU Civil Security — https://doi.org/10.64211/oidaijsd190705</w:t>
      </w:r>
    </w:p>
    <w:p>
      <w:pPr>
        <w:pStyle w:val="SourceNote"/>
      </w:pPr>
      <w:r>
        <w:rPr>
          <w:b/>
        </w:rPr>
        <w:t>Review status:</w:t>
      </w:r>
      <w:r>
        <w:t xml:space="preserve"> unchecked — possible relationship only</w:t>
      </w:r>
    </w:p>
    <w:p>
      <w:pPr>
        <w:pStyle w:val="Heading2"/>
      </w:pPr>
      <w:r>
        <w:t>451. Claim + two later sources: The European Health Union: European Union’s Concern about Health for All. Concepts, Definition, and Scenarios</w:t>
      </w:r>
    </w:p>
    <w:p>
      <w:pPr>
        <w:pStyle w:val="SourceNote"/>
      </w:pPr>
      <w:r>
        <w:rPr>
          <w:b/>
        </w:rPr>
        <w:t>Group ID:</w:t>
      </w:r>
      <w:r>
        <w:t xml:space="preserve"> group-001937a2b9f74427b7fd</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Insights into the development and key factors of five European governance innovations for forest ecosystem service provision — https://doi.org/10.1016/j.forpol.2026.103891</w:t>
      </w:r>
    </w:p>
    <w:p>
      <w:pPr/>
      <w:r>
        <w:rPr>
          <w:b/>
        </w:rPr>
        <w:t>Later source:</w:t>
      </w:r>
      <w:r>
        <w:t xml:space="preserve"> Natural Gas Transit from West Africa to Europe (Africa Atlantic Gas Pipeline) to Maximize Energy Security and Transit Revenues by 2050 — https://doi.org/10.62762/jgee.2025.372522</w:t>
      </w:r>
    </w:p>
    <w:p>
      <w:pPr>
        <w:pStyle w:val="SourceNote"/>
      </w:pPr>
      <w:r>
        <w:rPr>
          <w:b/>
        </w:rPr>
        <w:t>Review status:</w:t>
      </w:r>
      <w:r>
        <w:t xml:space="preserve"> unchecked — possible relationship only</w:t>
      </w:r>
    </w:p>
    <w:p>
      <w:pPr>
        <w:pStyle w:val="Heading2"/>
      </w:pPr>
      <w:r>
        <w:t>452.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453. Claim + two later sources: Analysing the potential of integrating wind and solar power in Europe using spatial optimisation under various scenarios</w:t>
      </w:r>
    </w:p>
    <w:p>
      <w:pPr>
        <w:pStyle w:val="SourceNote"/>
      </w:pPr>
      <w:r>
        <w:rPr>
          <w:b/>
        </w:rPr>
        <w:t>Group ID:</w:t>
      </w:r>
      <w:r>
        <w:t xml:space="preserve"> group-1fe13340d5702835d31c</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Fluorescence testing of European beech in the Northern Podillia National Nature Park — https://doi.org/10.33730/2310-4678.1.2026.359979</w:t>
      </w:r>
    </w:p>
    <w:p>
      <w:pPr>
        <w:pStyle w:val="SourceNote"/>
      </w:pPr>
      <w:r>
        <w:rPr>
          <w:b/>
        </w:rPr>
        <w:t>Review status:</w:t>
      </w:r>
      <w:r>
        <w:t xml:space="preserve"> unchecked — possible relationship only</w:t>
      </w:r>
    </w:p>
    <w:p>
      <w:pPr>
        <w:pStyle w:val="Heading2"/>
      </w:pPr>
      <w:r>
        <w:t>454. Claim + two later sources: How Sustainable Development Goals interlinkages influence European Union countries’ progress towards the 2030 Agenda</w:t>
      </w:r>
    </w:p>
    <w:p>
      <w:pPr>
        <w:pStyle w:val="SourceNote"/>
      </w:pPr>
      <w:r>
        <w:rPr>
          <w:b/>
        </w:rPr>
        <w:t>Group ID:</w:t>
      </w:r>
      <w:r>
        <w:t xml:space="preserve"> group-b2b0cab1d71f1087e6b3</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The role of GDP and the macroeconomic environment in shaping international trade and agri-food sector restructuring in Europe — https://doi.org/10.9770/p8538646793</w:t>
      </w:r>
    </w:p>
    <w:p>
      <w:pPr>
        <w:pStyle w:val="SourceNote"/>
      </w:pPr>
      <w:r>
        <w:rPr>
          <w:b/>
        </w:rPr>
        <w:t>Review status:</w:t>
      </w:r>
      <w:r>
        <w:t xml:space="preserve"> unchecked — possible relationship only</w:t>
      </w:r>
    </w:p>
    <w:p>
      <w:pPr>
        <w:pStyle w:val="Heading2"/>
      </w:pPr>
      <w:r>
        <w:t>455. Claim + two later sources: Decoupling transport-related greenhouse gas emissions and economic growth in the European Union countries</w:t>
      </w:r>
    </w:p>
    <w:p>
      <w:pPr>
        <w:pStyle w:val="SourceNote"/>
      </w:pPr>
      <w:r>
        <w:rPr>
          <w:b/>
        </w:rPr>
        <w:t>Group ID:</w:t>
      </w:r>
      <w:r>
        <w:t xml:space="preserve"> group-3736da4061816409788d</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The European Union and Latin America : normative encounters — https://doi.org/10.82444/warw.33769111</w:t>
      </w:r>
    </w:p>
    <w:p>
      <w:pPr/>
      <w:r>
        <w:rPr>
          <w:b/>
        </w:rPr>
        <w:t>Later source:</w:t>
      </w:r>
      <w:r>
        <w:t xml:space="preserve"> Externalisation within the migration policy of the European Union — https://doi.org/10.15170/pjiel.2025.2.2</w:t>
      </w:r>
    </w:p>
    <w:p>
      <w:pPr>
        <w:pStyle w:val="SourceNote"/>
      </w:pPr>
      <w:r>
        <w:rPr>
          <w:b/>
        </w:rPr>
        <w:t>Review status:</w:t>
      </w:r>
      <w:r>
        <w:t xml:space="preserve"> unchecked — possible relationship only</w:t>
      </w:r>
    </w:p>
    <w:p>
      <w:pPr>
        <w:pStyle w:val="Heading2"/>
      </w:pPr>
      <w:r>
        <w:t>456. Claim + two later sources: CROATIAN RURAL FUTURES IN 2030: FOUR ALTERNATIVE SCENARIOS FOR POSTSOCIALIST COUNTRYSIDE IN THE NEWEST E.U. MEMBER STATE</w:t>
      </w:r>
    </w:p>
    <w:p>
      <w:pPr>
        <w:pStyle w:val="SourceNote"/>
      </w:pPr>
      <w:r>
        <w:rPr>
          <w:b/>
        </w:rPr>
        <w:t>Group ID:</w:t>
      </w:r>
      <w:r>
        <w:t xml:space="preserve"> group-c33c8190a04444e67c5c</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Study of asymptotes in upper secondary mathematics education: A praxeological analysis of textbooks in Croatia — https://doi.org/10.29333/iejme/18924</w:t>
      </w:r>
    </w:p>
    <w:p>
      <w:pPr>
        <w:pStyle w:val="SourceNote"/>
      </w:pPr>
      <w:r>
        <w:rPr>
          <w:b/>
        </w:rPr>
        <w:t>Review status:</w:t>
      </w:r>
      <w:r>
        <w:t xml:space="preserve"> unchecked — possible relationship only</w:t>
      </w:r>
    </w:p>
    <w:p>
      <w:pPr>
        <w:pStyle w:val="Heading2"/>
      </w:pPr>
      <w:r>
        <w:t>457.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458.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459. Claim + two later sources: Ensemble projections of future streamflow droughts in Europe</w:t>
      </w:r>
    </w:p>
    <w:p>
      <w:pPr>
        <w:pStyle w:val="SourceNote"/>
      </w:pPr>
      <w:r>
        <w:rPr>
          <w:b/>
        </w:rPr>
        <w:t>Group ID:</w:t>
      </w:r>
      <w:r>
        <w:t xml:space="preserve"> group-543dbbd5ec9a0dc310d5</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Coupling hydrological, geotechnical and machine learning models to enhance landslide prediction for an early warning system: application to Upper Garonne River Basin, Pyrenees, Spain — https://doi.org/10.1007/s10346-025-02685-7</w:t>
      </w:r>
    </w:p>
    <w:p>
      <w:pPr/>
      <w:r>
        <w:rPr>
          <w:b/>
        </w:rPr>
        <w:t>Later source:</w:t>
      </w:r>
      <w:r>
        <w:t xml:space="preserve"> Ecosystem service trade-offs of upstream afforestation: an integrated hydrological-economic assessment in the Sorraia basin, Portugal — https://doi.org/10.3389/fenvs.2026.1838037</w:t>
      </w:r>
    </w:p>
    <w:p>
      <w:pPr>
        <w:pStyle w:val="SourceNote"/>
      </w:pPr>
      <w:r>
        <w:rPr>
          <w:b/>
        </w:rPr>
        <w:t>Review status:</w:t>
      </w:r>
      <w:r>
        <w:t xml:space="preserve"> unchecked — possible relationship only</w:t>
      </w:r>
    </w:p>
    <w:p>
      <w:pPr>
        <w:pStyle w:val="Heading2"/>
      </w:pPr>
      <w:r>
        <w:t>460. Claim + two later sources: Improving the use of crop models for risk assessment and climate change adaptation</w:t>
      </w:r>
    </w:p>
    <w:p>
      <w:pPr>
        <w:pStyle w:val="SourceNote"/>
      </w:pPr>
      <w:r>
        <w:rPr>
          <w:b/>
        </w:rPr>
        <w:t>Group ID:</w:t>
      </w:r>
      <w:r>
        <w:t xml:space="preserve"> group-188a488c05849ec51263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Reliability Assessment and Statistical Calibration of SAI Ensemble Projections in Southeast Asia — https://doi.org/10.5194/egusphere-egu26-8408</w:t>
      </w:r>
    </w:p>
    <w:p>
      <w:pPr/>
      <w:r>
        <w:rPr>
          <w:b/>
        </w:rPr>
        <w:t>Later source:</w:t>
      </w:r>
      <w:r>
        <w:t xml:space="preserve"> More Frequent Extreme Floods Revealed by Observation-Constrained Projections — https://doi.org/10.5194/egusphere-egu26-6594</w:t>
      </w:r>
    </w:p>
    <w:p>
      <w:pPr>
        <w:pStyle w:val="SourceNote"/>
      </w:pPr>
      <w:r>
        <w:rPr>
          <w:b/>
        </w:rPr>
        <w:t>Review status:</w:t>
      </w:r>
      <w:r>
        <w:t xml:space="preserve"> unchecked — possible relationship only</w:t>
      </w:r>
    </w:p>
    <w:p>
      <w:pPr>
        <w:pStyle w:val="Heading2"/>
      </w:pPr>
      <w:r>
        <w:t>461.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462. Claim + two later sources: Analyst earnings forecast revision activity around profit warnings across four European countries</w:t>
      </w:r>
    </w:p>
    <w:p>
      <w:pPr>
        <w:pStyle w:val="SourceNote"/>
      </w:pPr>
      <w:r>
        <w:rPr>
          <w:b/>
        </w:rPr>
        <w:t>Group ID:</w:t>
      </w:r>
      <w:r>
        <w:t xml:space="preserve"> group-3cd5c124895829f136bc</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Circulation Patterns, Genetic Diversity, and Public Health Implications of Enterovirus D68, Europe, 2014–2024 — https://doi.org/10.3201/eid3204.251022</w:t>
      </w:r>
    </w:p>
    <w:p>
      <w:pPr>
        <w:pStyle w:val="SourceNote"/>
      </w:pPr>
      <w:r>
        <w:rPr>
          <w:b/>
        </w:rPr>
        <w:t>Review status:</w:t>
      </w:r>
      <w:r>
        <w:t xml:space="preserve"> unchecked — possible relationship only</w:t>
      </w:r>
    </w:p>
    <w:p>
      <w:pPr>
        <w:pStyle w:val="Heading2"/>
      </w:pPr>
      <w:r>
        <w:t>463.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464. Claim + two later sources: A comparison of low carbon investment needs between China and Europe in stringent climate policy scenarios</w:t>
      </w:r>
    </w:p>
    <w:p>
      <w:pPr>
        <w:pStyle w:val="SourceNote"/>
      </w:pPr>
      <w:r>
        <w:rPr>
          <w:b/>
        </w:rPr>
        <w:t>Group ID:</w:t>
      </w:r>
      <w:r>
        <w:t xml:space="preserve"> group-9e106f7e8dc2dad988e5</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Electrification pathways for passenger cars: A comparative analysis of China and Europe — https://doi.org/10.1016/j.esr.2026.102369</w:t>
      </w:r>
    </w:p>
    <w:p>
      <w:pPr>
        <w:pStyle w:val="SourceNote"/>
      </w:pPr>
      <w:r>
        <w:rPr>
          <w:b/>
        </w:rPr>
        <w:t>Review status:</w:t>
      </w:r>
      <w:r>
        <w:t xml:space="preserve"> unchecked — possible relationship only</w:t>
      </w:r>
    </w:p>
    <w:p>
      <w:pPr>
        <w:pStyle w:val="Heading2"/>
      </w:pPr>
      <w:r>
        <w:t>465. Claim + two later sources: Will we reach the Sustainable Development Goals target for tuberculosis in the European Union/European Economic Area by 2030?</w:t>
      </w:r>
    </w:p>
    <w:p>
      <w:pPr>
        <w:pStyle w:val="SourceNote"/>
      </w:pPr>
      <w:r>
        <w:rPr>
          <w:b/>
        </w:rPr>
        <w:t>Group ID:</w:t>
      </w:r>
      <w:r>
        <w:t xml:space="preserve"> group-84115525b3a5027dc6c6</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Alarming decline in the carbon sink of European forests driven by disturbances — https://doi.org/10.1093/nsr/nwag354</w:t>
      </w:r>
    </w:p>
    <w:p>
      <w:pPr/>
      <w:r>
        <w:rPr>
          <w:b/>
        </w:rPr>
        <w:t>Later source:</w:t>
      </w:r>
      <w:r>
        <w:t xml:space="preserve"> Alarming decline in the carbon sink of European forests driven by disturbances. — https://doi.org/10.1093/nsr/nwag354</w:t>
      </w:r>
    </w:p>
    <w:p>
      <w:pPr>
        <w:pStyle w:val="SourceNote"/>
      </w:pPr>
      <w:r>
        <w:rPr>
          <w:b/>
        </w:rPr>
        <w:t>Review status:</w:t>
      </w:r>
      <w:r>
        <w:t xml:space="preserve"> unchecked — possible relationship only</w:t>
      </w:r>
    </w:p>
    <w:p>
      <w:pPr>
        <w:pStyle w:val="Heading2"/>
      </w:pPr>
      <w:r>
        <w:t>466. Claim + two later sources: Wood utilization scenarios and their sustainability impacts in Finland</w:t>
      </w:r>
    </w:p>
    <w:p>
      <w:pPr>
        <w:pStyle w:val="SourceNote"/>
      </w:pPr>
      <w:r>
        <w:rPr>
          <w:b/>
        </w:rPr>
        <w:t>Group ID:</w:t>
      </w:r>
      <w:r>
        <w:t xml:space="preserve"> group-cb163150ceeb926d07e8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Compounding hazards increase flood economic losses across Europe — https://doi.org/10.1038/s41467-026-73248-0</w:t>
      </w:r>
    </w:p>
    <w:p>
      <w:pPr/>
      <w:r>
        <w:rPr>
          <w:b/>
        </w:rPr>
        <w:t>Later source:</w:t>
      </w:r>
      <w:r>
        <w:t xml:space="preserve"> Social Sustainability Practices: A Balancing Act of Economic, Environmental, and Social Considerations — https://doi.org/10.1108/s1745-88622026000020a014</w:t>
      </w:r>
    </w:p>
    <w:p>
      <w:pPr>
        <w:pStyle w:val="SourceNote"/>
      </w:pPr>
      <w:r>
        <w:rPr>
          <w:b/>
        </w:rPr>
        <w:t>Review status:</w:t>
      </w:r>
      <w:r>
        <w:t xml:space="preserve"> unchecked — possible relationship only</w:t>
      </w:r>
    </w:p>
    <w:p>
      <w:pPr>
        <w:pStyle w:val="Heading2"/>
      </w:pPr>
      <w:r>
        <w:t>467.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468. Claim + two later sources: European Scenario Studies on Future In-Stream Nutrient Concentrations</w:t>
      </w:r>
    </w:p>
    <w:p>
      <w:pPr>
        <w:pStyle w:val="SourceNote"/>
      </w:pPr>
      <w:r>
        <w:rPr>
          <w:b/>
        </w:rPr>
        <w:t>Group ID:</w:t>
      </w:r>
      <w:r>
        <w:t xml:space="preserve"> group-9fc9509c736c87f5b6d1</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Industrial pollutant releases to water in Europe (2010-2024) — https://doi.org/10.2909/898d92dd-b70d-42c1-956f-8e90f78c7952</w:t>
      </w:r>
    </w:p>
    <w:p>
      <w:pPr>
        <w:pStyle w:val="SourceNote"/>
      </w:pPr>
      <w:r>
        <w:rPr>
          <w:b/>
        </w:rPr>
        <w:t>Review status:</w:t>
      </w:r>
      <w:r>
        <w:t xml:space="preserve"> unchecked — possible relationship only</w:t>
      </w:r>
    </w:p>
    <w:p>
      <w:pPr>
        <w:pStyle w:val="Heading2"/>
      </w:pPr>
      <w:r>
        <w:t>469. Claim + two later sources: Imagining the future with citizens: participatory foresight and democratic policy design in Marcoussis, France</w:t>
      </w:r>
    </w:p>
    <w:p>
      <w:pPr>
        <w:pStyle w:val="SourceNote"/>
      </w:pPr>
      <w:r>
        <w:rPr>
          <w:b/>
        </w:rPr>
        <w:t>Group ID:</w:t>
      </w:r>
      <w:r>
        <w:t xml:space="preserve"> group-94f1ea4efa8e39d9c018</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Regulating AI-Driven Triage: Fundamental Rights and Compliance Challenges in the European Union — https://doi.org/10.3390/ai7030086</w:t>
      </w:r>
    </w:p>
    <w:p>
      <w:pPr>
        <w:pStyle w:val="SourceNote"/>
      </w:pPr>
      <w:r>
        <w:rPr>
          <w:b/>
        </w:rPr>
        <w:t>Review status:</w:t>
      </w:r>
      <w:r>
        <w:t xml:space="preserve"> unchecked — possible relationship only</w:t>
      </w:r>
    </w:p>
    <w:p>
      <w:pPr>
        <w:pStyle w:val="Heading2"/>
      </w:pPr>
      <w:r>
        <w:t>470. Claim + two later sources: Brexit adds to gloom over long‐term growth prospects</w:t>
      </w:r>
    </w:p>
    <w:p>
      <w:pPr>
        <w:pStyle w:val="SourceNote"/>
      </w:pPr>
      <w:r>
        <w:rPr>
          <w:b/>
        </w:rPr>
        <w:t>Group ID:</w:t>
      </w:r>
      <w:r>
        <w:t xml:space="preserve"> group-8e8a23f7c770c92304fc</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The ecological forecast limit revisited: Potential, absolute and relative system predictability — https://doi.org/10.1111/2041-210x.70049</w:t>
      </w:r>
    </w:p>
    <w:p>
      <w:pPr>
        <w:pStyle w:val="SourceNote"/>
      </w:pPr>
      <w:r>
        <w:rPr>
          <w:b/>
        </w:rPr>
        <w:t>Review status:</w:t>
      </w:r>
      <w:r>
        <w:t xml:space="preserve"> unchecked — possible relationship only</w:t>
      </w:r>
    </w:p>
    <w:p>
      <w:pPr>
        <w:pStyle w:val="Heading2"/>
      </w:pPr>
      <w:r>
        <w:t>471.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472.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473. Claim + two later sources: The Future of Rural Poland: the Main Trends and Possible Scenarios.</w:t>
      </w:r>
    </w:p>
    <w:p>
      <w:pPr>
        <w:pStyle w:val="SourceNote"/>
      </w:pPr>
      <w:r>
        <w:rPr>
          <w:b/>
        </w:rPr>
        <w:t>Group ID:</w:t>
      </w:r>
      <w:r>
        <w:t xml:space="preserve"> group-8f9c56bdbc4925b65675</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On national and civilizational identification: polemical notes on R. Brubaker’s concept, drawing on the ideas of L.M. Drobizheva — https://doi.org/10.22378/he.2026-11-1.101-115</w:t>
      </w:r>
    </w:p>
    <w:p>
      <w:pPr>
        <w:pStyle w:val="SourceNote"/>
      </w:pPr>
      <w:r>
        <w:rPr>
          <w:b/>
        </w:rPr>
        <w:t>Review status:</w:t>
      </w:r>
      <w:r>
        <w:t xml:space="preserve"> unchecked — possible relationship only</w:t>
      </w:r>
    </w:p>
    <w:p>
      <w:pPr>
        <w:pStyle w:val="Heading2"/>
      </w:pPr>
      <w:r>
        <w:t>474. Claim + two later sources: Future Projections of Heat Mortality Risk for Major European Cities</w:t>
      </w:r>
    </w:p>
    <w:p>
      <w:pPr>
        <w:pStyle w:val="SourceNote"/>
      </w:pPr>
      <w:r>
        <w:rPr>
          <w:b/>
        </w:rPr>
        <w:t>Group ID:</w:t>
      </w:r>
      <w:r>
        <w:t xml:space="preserve"> group-b51e8b68b5b176dc8c4a</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Frailty and Socioeconomic Development in the European Region—Associations with Mortality in Middle-Aged and Older Adults — https://doi.org/10.3390/ijerph23030307</w:t>
      </w:r>
    </w:p>
    <w:p>
      <w:pPr>
        <w:pStyle w:val="SourceNote"/>
      </w:pPr>
      <w:r>
        <w:rPr>
          <w:b/>
        </w:rPr>
        <w:t>Review status:</w:t>
      </w:r>
      <w:r>
        <w:t xml:space="preserve"> unchecked — possible relationship only</w:t>
      </w:r>
    </w:p>
    <w:p>
      <w:pPr>
        <w:pStyle w:val="Heading2"/>
      </w:pPr>
      <w:r>
        <w:t>475.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476.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477.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478.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479. Claim + two later sources: Developing scenarios for the Norwegian travel industry 2025</w:t>
      </w:r>
    </w:p>
    <w:p>
      <w:pPr>
        <w:pStyle w:val="SourceNote"/>
      </w:pPr>
      <w:r>
        <w:rPr>
          <w:b/>
        </w:rPr>
        <w:t>Group ID:</w:t>
      </w:r>
      <w:r>
        <w:t xml:space="preserve"> group-544446003fe97626a466</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Current Applications of Metabolomics in Understanding Endometriosis: A Systematic Review — https://doi.org/10.3390/metabo15010050</w:t>
      </w:r>
    </w:p>
    <w:p>
      <w:pPr/>
      <w:r>
        <w:rPr>
          <w:b/>
        </w:rPr>
        <w:t>Later source:</w:t>
      </w:r>
      <w:r>
        <w:t xml:space="preserve"> Detection of QTL associated with morphological, adaptive, and reproductive traits in common bermudagrass — https://doi.org/10.1002/its2.70007</w:t>
      </w:r>
    </w:p>
    <w:p>
      <w:pPr>
        <w:pStyle w:val="SourceNote"/>
      </w:pPr>
      <w:r>
        <w:rPr>
          <w:b/>
        </w:rPr>
        <w:t>Review status:</w:t>
      </w:r>
      <w:r>
        <w:t xml:space="preserve"> unchecked — possible relationship only</w:t>
      </w:r>
    </w:p>
    <w:p>
      <w:pPr>
        <w:pStyle w:val="Heading2"/>
      </w:pPr>
      <w:r>
        <w:t>480.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481.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482.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483. Claim + two later sources: Perspective of comprehensive and comprehensible multi-model energy and climate science in Europe</w:t>
      </w:r>
    </w:p>
    <w:p>
      <w:pPr>
        <w:pStyle w:val="SourceNote"/>
      </w:pPr>
      <w:r>
        <w:rPr>
          <w:b/>
        </w:rPr>
        <w:t>Group ID:</w:t>
      </w:r>
      <w:r>
        <w:t xml:space="preserve"> group-a1471bb0913852669a4c</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Learning under pressure: Welfare state responses to Covid-19 in Southern Europe — https://doi.org/10.1177/09589287261419976</w:t>
      </w:r>
    </w:p>
    <w:p>
      <w:pPr>
        <w:pStyle w:val="SourceNote"/>
      </w:pPr>
      <w:r>
        <w:rPr>
          <w:b/>
        </w:rPr>
        <w:t>Review status:</w:t>
      </w:r>
      <w:r>
        <w:t xml:space="preserve"> unchecked — possible relationship only</w:t>
      </w:r>
    </w:p>
    <w:p>
      <w:pPr>
        <w:pStyle w:val="Heading2"/>
      </w:pPr>
      <w:r>
        <w:t>484.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485. Claim + two later sources: By 2050 the Mitigation Effects of EU Forests Could Nearly Double through Climate Smart Forestry</w:t>
      </w:r>
    </w:p>
    <w:p>
      <w:pPr>
        <w:pStyle w:val="SourceNote"/>
      </w:pPr>
      <w:r>
        <w:rPr>
          <w:b/>
        </w:rPr>
        <w:t>Group ID:</w:t>
      </w:r>
      <w:r>
        <w:t xml:space="preserve"> group-6e6c9519be020aad96b9</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Mechanisms for monitoring the implementation of the European Social Charter and their significance for the Member States — https://doi.org/10.63341/naia-herald/1.2025.60</w:t>
      </w:r>
    </w:p>
    <w:p>
      <w:pPr/>
      <w:r>
        <w:rPr>
          <w:b/>
        </w:rPr>
        <w:t>Later source:</w:t>
      </w:r>
      <w:r>
        <w:t xml:space="preserve"> The Right to Abortion – Between the Need for Protection at the European Level and Respect for the Constitutional Traditions of the Member States — https://doi.org/10.54148/eltelj.2025.2.9</w:t>
      </w:r>
    </w:p>
    <w:p>
      <w:pPr>
        <w:pStyle w:val="SourceNote"/>
      </w:pPr>
      <w:r>
        <w:rPr>
          <w:b/>
        </w:rPr>
        <w:t>Review status:</w:t>
      </w:r>
      <w:r>
        <w:t xml:space="preserve"> unchecked — possible relationship only</w:t>
      </w:r>
    </w:p>
    <w:p>
      <w:pPr>
        <w:pStyle w:val="Heading2"/>
      </w:pPr>
      <w:r>
        <w:t>486.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487. Claim + two later sources: Towards the 2030 Agenda: Measuring the Progress of the European Union Countries through the SDGs Achievement Index</w:t>
      </w:r>
    </w:p>
    <w:p>
      <w:pPr>
        <w:pStyle w:val="SourceNote"/>
      </w:pPr>
      <w:r>
        <w:rPr>
          <w:b/>
        </w:rPr>
        <w:t>Group ID:</w:t>
      </w:r>
      <w:r>
        <w:t xml:space="preserve"> group-d16f767f1a435099ff8c</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Causal effects of body mass index on glycaemic traits in African and European populations: a Mendelian randomization study — https://doi.org/10.64898/2026.10.02.26364581</w:t>
      </w:r>
    </w:p>
    <w:p>
      <w:pPr/>
      <w:r>
        <w:rPr>
          <w:b/>
        </w:rPr>
        <w:t>Later source:</w:t>
      </w:r>
      <w:r>
        <w:t xml:space="preserve"> Quantifying the Performance of European Agriculture Through the New European Sustainability Model — https://doi.org/10.3390/agriculture15020210</w:t>
      </w:r>
    </w:p>
    <w:p>
      <w:pPr>
        <w:pStyle w:val="SourceNote"/>
      </w:pPr>
      <w:r>
        <w:rPr>
          <w:b/>
        </w:rPr>
        <w:t>Review status:</w:t>
      </w:r>
      <w:r>
        <w:t xml:space="preserve"> unchecked — possible relationship only</w:t>
      </w:r>
    </w:p>
    <w:p>
      <w:pPr>
        <w:pStyle w:val="Heading2"/>
      </w:pPr>
      <w:r>
        <w:t>488.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489. Claim + two later sources: Climate change mitigation: evidences from the European scenario</w:t>
      </w:r>
    </w:p>
    <w:p>
      <w:pPr>
        <w:pStyle w:val="SourceNote"/>
      </w:pPr>
      <w:r>
        <w:rPr>
          <w:b/>
        </w:rPr>
        <w:t>Group ID:</w:t>
      </w:r>
      <w:r>
        <w:t xml:space="preserve"> group-42dd37105576decab46e</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490.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491. Claim + two later sources: PROJEKCJA ZMIAN WIELKOŚCI PLONÓW PSZENICY W POLSCE I UNII EUROPEJSKIEJ W LATACH 2030 I 2050 NA PODSTAWIE MODELU CAPRI</w:t>
      </w:r>
    </w:p>
    <w:p>
      <w:pPr>
        <w:pStyle w:val="SourceNote"/>
      </w:pPr>
      <w:r>
        <w:rPr>
          <w:b/>
        </w:rPr>
        <w:t>Group ID:</w:t>
      </w:r>
      <w:r>
        <w:t xml:space="preserve"> group-eadd580b555c383fb325</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Emission Scenarios for Europe under the CATALYSE Project: Beyond the Green Deal — https://openalex.org/W7125621332</w:t>
      </w:r>
    </w:p>
    <w:p>
      <w:pPr/>
      <w:r>
        <w:rPr>
          <w:b/>
        </w:rPr>
        <w:t>Later source:</w:t>
      </w:r>
      <w:r>
        <w:t xml:space="preserve"> TIME-SERIES ANALYSIS AND ARIMA-BASED FORECASTING OF AGRICULTURAL RAW MATERIAL IMPORTS IN CENTRAL AND EASTERN EUROPE — https://doi.org/10.52846/mnmk.24.1.11</w:t>
      </w:r>
    </w:p>
    <w:p>
      <w:pPr>
        <w:pStyle w:val="SourceNote"/>
      </w:pPr>
      <w:r>
        <w:rPr>
          <w:b/>
        </w:rPr>
        <w:t>Review status:</w:t>
      </w:r>
      <w:r>
        <w:t xml:space="preserve"> unchecked — possible relationship only</w:t>
      </w:r>
    </w:p>
    <w:p>
      <w:pPr>
        <w:pStyle w:val="Heading2"/>
      </w:pPr>
      <w:r>
        <w:t>492. Claim + two later sources: Recycling of European plastic is a pathway for plastic debris in the ocean</w:t>
      </w:r>
    </w:p>
    <w:p>
      <w:pPr>
        <w:pStyle w:val="SourceNote"/>
      </w:pPr>
      <w:r>
        <w:rPr>
          <w:b/>
        </w:rPr>
        <w:t>Group ID:</w:t>
      </w:r>
      <w:r>
        <w:t xml:space="preserve"> group-bb4a843805cd35ffea27</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3D Glacial Isostatic Adjustment along the deglacial forebulge of the Atlantic coasts of North America and Europe — https://doi.org/10.5194/egusphere-egu26-15680</w:t>
      </w:r>
    </w:p>
    <w:p>
      <w:pPr/>
      <w:r>
        <w:rPr>
          <w:b/>
        </w:rPr>
        <w:t>Later source:</w:t>
      </w:r>
      <w:r>
        <w:t xml:space="preserve"> High-resolution European soil property maps leveraging foundation-model Earth observation embeddings — https://doi.org/10.5194/egusphere-egu26-18609</w:t>
      </w:r>
    </w:p>
    <w:p>
      <w:pPr>
        <w:pStyle w:val="SourceNote"/>
      </w:pPr>
      <w:r>
        <w:rPr>
          <w:b/>
        </w:rPr>
        <w:t>Review status:</w:t>
      </w:r>
      <w:r>
        <w:t xml:space="preserve"> unchecked — possible relationship only</w:t>
      </w:r>
    </w:p>
    <w:p>
      <w:pPr>
        <w:pStyle w:val="Heading2"/>
      </w:pPr>
      <w:r>
        <w:t>493.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494. Claim + two later sources: Land use implications of future energy system trajectories—The case of the UK 2050 Carbon Plan</w:t>
      </w:r>
    </w:p>
    <w:p>
      <w:pPr>
        <w:pStyle w:val="SourceNote"/>
      </w:pPr>
      <w:r>
        <w:rPr>
          <w:b/>
        </w:rPr>
        <w:t>Group ID:</w:t>
      </w:r>
      <w:r>
        <w:t xml:space="preserve"> group-4fa0c89f5576467b910c</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Robotic artistry: Four surprise pathways for generative artificial intelligence-assisted abductive theorization — https://doi.org/10.1177/14761270261448648</w:t>
      </w:r>
    </w:p>
    <w:p>
      <w:pPr/>
      <w:r>
        <w:rPr>
          <w:b/>
        </w:rPr>
        <w:t>Later source:</w:t>
      </w:r>
      <w:r>
        <w:t xml:space="preserve"> Learning to engage in clinical research: a qualitative study developing a behavioural pathway model among nurses in China — https://doi.org/10.1186/s12909-026-09592-y</w:t>
      </w:r>
    </w:p>
    <w:p>
      <w:pPr>
        <w:pStyle w:val="SourceNote"/>
      </w:pPr>
      <w:r>
        <w:rPr>
          <w:b/>
        </w:rPr>
        <w:t>Review status:</w:t>
      </w:r>
      <w:r>
        <w:t xml:space="preserve"> unchecked — possible relationship only</w:t>
      </w:r>
    </w:p>
    <w:p>
      <w:pPr>
        <w:pStyle w:val="Heading2"/>
      </w:pPr>
      <w:r>
        <w:t>495. Claim + two later sources: Future projections of temperature and mixing regime of  European temperate lakes</w:t>
      </w:r>
    </w:p>
    <w:p>
      <w:pPr>
        <w:pStyle w:val="SourceNote"/>
      </w:pPr>
      <w:r>
        <w:rPr>
          <w:b/>
        </w:rPr>
        <w:t>Group ID:</w:t>
      </w:r>
      <w:r>
        <w:t xml:space="preserve"> group-9590a6b8bd5715794b32</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Northern Greenland transect stacked ice cores as a proxy for winter extreme events in Europe — https://doi.org/10.5194/cp-22-935-2026</w:t>
      </w:r>
    </w:p>
    <w:p>
      <w:pPr/>
      <w:r>
        <w:rPr>
          <w:b/>
        </w:rPr>
        <w:t>Later source:</w:t>
      </w:r>
      <w:r>
        <w:t xml:space="preserve"> Forced reorganisation of the North Atlantic SST–NAO relationship and implications for European winter predictability — https://doi.org/10.5194/egusphere-2026-2686</w:t>
      </w:r>
    </w:p>
    <w:p>
      <w:pPr>
        <w:pStyle w:val="SourceNote"/>
      </w:pPr>
      <w:r>
        <w:rPr>
          <w:b/>
        </w:rPr>
        <w:t>Review status:</w:t>
      </w:r>
      <w:r>
        <w:t xml:space="preserve"> unchecked — possible relationship only</w:t>
      </w:r>
    </w:p>
    <w:p>
      <w:pPr>
        <w:pStyle w:val="Heading2"/>
      </w:pPr>
      <w:r>
        <w:t>496. Claim + two later sources: Lyme Disease Risks in Europe under Multiple Uncertain Drivers of Change</w:t>
      </w:r>
    </w:p>
    <w:p>
      <w:pPr>
        <w:pStyle w:val="SourceNote"/>
      </w:pPr>
      <w:r>
        <w:rPr>
          <w:b/>
        </w:rPr>
        <w:t>Group ID:</w:t>
      </w:r>
      <w:r>
        <w:t xml:space="preserve"> group-026bfb33637288f2dd25</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Machine Learning-Based Bias-Corrected Future Projections of Ozone Concentrations from a Chemistry-Climate Model — https://doi.org/10.1021/acs.est.5c11992</w:t>
      </w:r>
    </w:p>
    <w:p>
      <w:pPr/>
      <w:r>
        <w:rPr>
          <w:b/>
        </w:rPr>
        <w:t>Later source:</w:t>
      </w:r>
      <w:r>
        <w:t xml:space="preserve"> Widespread increase in frequency and duration of European wind droughts based on CMIP6 projections — https://doi.org/10.1016/j.isci.2026.115075</w:t>
      </w:r>
    </w:p>
    <w:p>
      <w:pPr>
        <w:pStyle w:val="SourceNote"/>
      </w:pPr>
      <w:r>
        <w:rPr>
          <w:b/>
        </w:rPr>
        <w:t>Review status:</w:t>
      </w:r>
      <w:r>
        <w:t xml:space="preserve"> unchecked — possible relationship only</w:t>
      </w:r>
    </w:p>
    <w:p>
      <w:pPr>
        <w:pStyle w:val="Heading2"/>
      </w:pPr>
      <w:r>
        <w:t>497. Claim + two later sources: Imagining energy futures: Sociotechnical imaginaries of the future Smart Grid in Norway</w:t>
      </w:r>
    </w:p>
    <w:p>
      <w:pPr>
        <w:pStyle w:val="SourceNote"/>
      </w:pPr>
      <w:r>
        <w:rPr>
          <w:b/>
        </w:rPr>
        <w:t>Group ID:</w:t>
      </w:r>
      <w:r>
        <w:t xml:space="preserve"> group-3821d3644338be0eb1da</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Smart Grids and Renewable Energy Communities in Pakistan and the Middle East: Present Situation, Perspectives, Future Developments, and Comparison with EU — https://doi.org/10.3390/en19020535</w:t>
      </w:r>
    </w:p>
    <w:p>
      <w:pPr/>
      <w:r>
        <w:rPr>
          <w:b/>
        </w:rPr>
        <w:t>Later source:</w:t>
      </w:r>
      <w:r>
        <w:t xml:space="preserve"> Towards consumer-oriented smart grids : investigating consumer perspectives on the adoption of smart technologies and services — https://openalex.org/W7222853900</w:t>
      </w:r>
    </w:p>
    <w:p>
      <w:pPr>
        <w:pStyle w:val="SourceNote"/>
      </w:pPr>
      <w:r>
        <w:rPr>
          <w:b/>
        </w:rPr>
        <w:t>Review status:</w:t>
      </w:r>
      <w:r>
        <w:t xml:space="preserve"> unchecked — possible relationship only</w:t>
      </w:r>
    </w:p>
    <w:p>
      <w:pPr>
        <w:pStyle w:val="Heading2"/>
      </w:pPr>
      <w:r>
        <w:t>498. Claim + two later sources: Long-Term Projection of Renewable Energy Technology Diffusion</w:t>
      </w:r>
    </w:p>
    <w:p>
      <w:pPr>
        <w:pStyle w:val="SourceNote"/>
      </w:pPr>
      <w:r>
        <w:rPr>
          <w:b/>
        </w:rPr>
        <w:t>Group ID:</w:t>
      </w:r>
      <w:r>
        <w:t xml:space="preserve"> group-624da3c55c5512b18b99</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Global Energy Project for the Future of Humanity — https://doi.org/10.5281/zenodo.20648321</w:t>
      </w:r>
    </w:p>
    <w:p>
      <w:pPr/>
      <w:r>
        <w:rPr>
          <w:b/>
        </w:rPr>
        <w:t>Later source:</w:t>
      </w:r>
      <w:r>
        <w:t xml:space="preserve"> MODELLING ENERGY CONSUMPTION IN TEA MANUFACTURING FACILITY — https://doi.org/10.58257/ijprems51610</w:t>
      </w:r>
    </w:p>
    <w:p>
      <w:pPr>
        <w:pStyle w:val="SourceNote"/>
      </w:pPr>
      <w:r>
        <w:rPr>
          <w:b/>
        </w:rPr>
        <w:t>Review status:</w:t>
      </w:r>
      <w:r>
        <w:t xml:space="preserve"> unchecked — possible relationship only</w:t>
      </w:r>
    </w:p>
    <w:p>
      <w:pPr>
        <w:pStyle w:val="Heading2"/>
      </w:pPr>
      <w:r>
        <w:t>499. Claim + two later sources: Climate change mitigation: evidences from the European scenario</w:t>
      </w:r>
    </w:p>
    <w:p>
      <w:pPr>
        <w:pStyle w:val="SourceNote"/>
      </w:pPr>
      <w:r>
        <w:rPr>
          <w:b/>
        </w:rPr>
        <w:t>Group ID:</w:t>
      </w:r>
      <w:r>
        <w:t xml:space="preserve"> group-2d6cd5256347aaca5a4c</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Carbon emissions of a public engagement event: The case of Sharper European researchers' night — https://doi.org/10.1016/j.cesys.2026.100429</w:t>
      </w:r>
    </w:p>
    <w:p>
      <w:pPr>
        <w:pStyle w:val="SourceNote"/>
      </w:pPr>
      <w:r>
        <w:rPr>
          <w:b/>
        </w:rPr>
        <w:t>Review status:</w:t>
      </w:r>
      <w:r>
        <w:t xml:space="preserve"> unchecked — possible relationship only</w:t>
      </w:r>
    </w:p>
    <w:p>
      <w:pPr>
        <w:pStyle w:val="Heading2"/>
      </w:pPr>
      <w:r>
        <w:t>500.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group-7bc7fa9f5b5949081f8a</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ESG and Its Components: Impact on Stock Returns Across Firm Sizes in Europe and the United States — https://doi.org/10.3390/risks14010004</w:t>
      </w:r>
    </w:p>
    <w:p>
      <w:pPr/>
      <w:r>
        <w:rPr>
          <w:b/>
        </w:rPr>
        <w:t>Later source:</w:t>
      </w:r>
      <w:r>
        <w:t xml:space="preserve"> United States and European Union aid cuts risk exacerbating links between aid, trade, and human and environmental crises — https://doi.org/10.1038/s44458-025-00011-9</w:t>
      </w:r>
    </w:p>
    <w:p>
      <w:pPr>
        <w:pStyle w:val="SourceNote"/>
      </w:pPr>
      <w:r>
        <w:rPr>
          <w:b/>
        </w:rPr>
        <w:t>Review status:</w:t>
      </w:r>
      <w:r>
        <w:t xml:space="preserve"> unchecked — possible relationship only</w:t>
      </w:r>
    </w:p>
    <w:p>
      <w:pPr>
        <w:pStyle w:val="Heading2"/>
      </w:pPr>
      <w:r>
        <w:t>501. Claim + two later sources: Assessing the EU’s 2030 Climate and Energy Policy Framework: Incremental change toward radical transformation?</w:t>
      </w:r>
    </w:p>
    <w:p>
      <w:pPr>
        <w:pStyle w:val="SourceNote"/>
      </w:pPr>
      <w:r>
        <w:rPr>
          <w:b/>
        </w:rPr>
        <w:t>Group ID:</w:t>
      </w:r>
      <w:r>
        <w:t xml:space="preserve"> group-0ed9092df2000bc27b86</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Addressing Medical Deserts in Europe: Lessons From a Comparative Analysis — https://doi.org/10.1111/hex.70606</w:t>
      </w:r>
    </w:p>
    <w:p>
      <w:pPr>
        <w:pStyle w:val="SourceNote"/>
      </w:pPr>
      <w:r>
        <w:rPr>
          <w:b/>
        </w:rPr>
        <w:t>Review status:</w:t>
      </w:r>
      <w:r>
        <w:t xml:space="preserve"> unchecked — possible relationship only</w:t>
      </w:r>
    </w:p>
    <w:p>
      <w:pPr>
        <w:pStyle w:val="Heading2"/>
      </w:pPr>
      <w:r>
        <w:t>502. Claim + two later sources: Society in need of transformation. Citizen-Foresight as a method to co-create urban future</w:t>
      </w:r>
    </w:p>
    <w:p>
      <w:pPr>
        <w:pStyle w:val="SourceNote"/>
      </w:pPr>
      <w:r>
        <w:rPr>
          <w:b/>
        </w:rPr>
        <w:t>Group ID:</w:t>
      </w:r>
      <w:r>
        <w:t xml:space="preserve"> group-de7f6126da9f9bd53d11</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The Third Path: The Fiction of Sytze Backer — https://doi.org/10.5281/zenodo.19139896</w:t>
      </w:r>
    </w:p>
    <w:p>
      <w:pPr>
        <w:pStyle w:val="SourceNote"/>
      </w:pPr>
      <w:r>
        <w:rPr>
          <w:b/>
        </w:rPr>
        <w:t>Review status:</w:t>
      </w:r>
      <w:r>
        <w:t xml:space="preserve"> unchecked — possible relationship only</w:t>
      </w:r>
    </w:p>
    <w:p>
      <w:pPr>
        <w:pStyle w:val="Heading2"/>
      </w:pPr>
      <w:r>
        <w:t>503.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504. Claim + two later sources: European carbon storage resource requirements of climate change mitigation targets</w:t>
      </w:r>
    </w:p>
    <w:p>
      <w:pPr>
        <w:pStyle w:val="SourceNote"/>
      </w:pPr>
      <w:r>
        <w:rPr>
          <w:b/>
        </w:rPr>
        <w:t>Group ID:</w:t>
      </w:r>
      <w:r>
        <w:t xml:space="preserve"> group-5c611a94b04b6e168244</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Operationalising the Climate Change Action Plan of the European Central Bank — https://doi.org/10.1017/9781009450423.013</w:t>
      </w:r>
    </w:p>
    <w:p>
      <w:pPr/>
      <w:r>
        <w:rPr>
          <w:b/>
        </w:rPr>
        <w:t>Later source:</w:t>
      </w:r>
      <w:r>
        <w:t xml:space="preserve"> Climate plan for municipality of Utsjoki — https://openalex.org/W7152954980</w:t>
      </w:r>
    </w:p>
    <w:p>
      <w:pPr>
        <w:pStyle w:val="SourceNote"/>
      </w:pPr>
      <w:r>
        <w:rPr>
          <w:b/>
        </w:rPr>
        <w:t>Review status:</w:t>
      </w:r>
      <w:r>
        <w:t xml:space="preserve"> unchecked — possible relationship only</w:t>
      </w:r>
    </w:p>
    <w:p>
      <w:pPr>
        <w:pStyle w:val="Heading2"/>
      </w:pPr>
      <w:r>
        <w:t>505.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506.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507.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508.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509. Individual research leads — not grouped</w:t>
      </w:r>
    </w:p>
    <w:p>
      <w:pPr/>
      <w:r>
        <w:t>These are single claim–paper research leads, not claim + paper A + paper B proposals. A paper in a rejected group may still be useful in a different combination.</w:t>
      </w:r>
    </w:p>
    <w:p>
      <w:pPr>
        <w:pStyle w:val="Heading2"/>
      </w:pPr>
      <w:r>
        <w:t>510.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2026:</w:t>
      </w:r>
      <w:r>
        <w:t xml:space="preserve"> The Earth Cannot Be Saved by Management Alone: The Omega Heat Dome and the Ontological Limits of European Environmentalism The Nominalization of European Environmentalism and the Transition toward an E = ΦR Climate Ethics — https://doi.org/10.5281/zenodo.21097288</w:t>
      </w:r>
    </w:p>
    <w:p>
      <w:pPr/>
      <w:r>
        <w:rPr>
          <w:b/>
        </w:rPr>
        <w:t>Shared claim-specific concepts:</w:t>
      </w:r>
      <w:r>
        <w:t xml:space="preserve"> concepts, environmental, discourse, them; EU scope visible. This is a provisional connection, not an outcome finding.</w:t>
      </w:r>
    </w:p>
    <w:p>
      <w:pPr>
        <w:pStyle w:val="SourceNote"/>
      </w:pPr>
      <w:r>
        <w:rPr>
          <w:b/>
        </w:rPr>
        <w:t>Available abstract (not full text):</w:t>
      </w:r>
      <w:r>
        <w:t xml:space="preserve"> Central Claim in One Sentence The central claim of this paper is that the limit of European environmentalism lies not in its attempt to protect the Earth, but in its crystallization of that ideal into nominal objects such as CO2, decarbonization, renewables, EVs, energy efficiency, and sustainability, thereby losing contact with the dynamic generative resonance of the Earth-system, including human life. Description This paper develops an ontological critique of European environmentalism through the case of the Omega Heat Dome and heatwave-related deaths in Europe. Rather than rejecting environmentalism, decarbonization, renewable energy, energy efficiency, or sustainability, the paper argues that these concepts become problematic when they are treated as final ethical nouns rather than provisional structures serving the living relations of the Earth-system. Drawing on Universal Phase Crystallization Theory, the paper distinguishes between an E = S ontology, in which existence is reduced to objects, metrics, systems, and manageable structures, and an E = ΦR ontology, in which existence is understood as the dynamic movement of generative possibility and relational resonance. The paper argues that heatwave deaths reveal more than meteorological abnormality. They expose failures in the relations among bodies, homes, cities, cooling technologies, labour routines, care networks, publ</w:t>
      </w:r>
    </w:p>
    <w:p>
      <w:pPr/>
      <w:r>
        <w:rPr>
          <w:b/>
        </w:rPr>
        <w:t>POSSIBLE 2026:</w:t>
      </w:r>
      <w:r>
        <w:t xml:space="preserve"> Sustainable environmentally-oriented development of the Ukrainian Carpathians as a key direction of the european integration progress of post-war Ukraine — https://doi.org/10.26565/1727-6667-2026-1-09</w:t>
      </w:r>
    </w:p>
    <w:p>
      <w:pPr/>
      <w:r>
        <w:rPr>
          <w:b/>
        </w:rPr>
        <w:t>Shared claim-specific concepts:</w:t>
      </w:r>
      <w:r>
        <w:t xml:space="preserve"> based, environmental, territorial; EU scope visible. This is a provisional connection, not an outcome finding.</w:t>
      </w:r>
    </w:p>
    <w:p>
      <w:pPr>
        <w:pStyle w:val="SourceNote"/>
      </w:pPr>
      <w:r>
        <w:rPr>
          <w:b/>
        </w:rPr>
        <w:t>Available abstract (not full text):</w:t>
      </w:r>
      <w:r>
        <w:t xml:space="preserve"> The article presents the results of a scientific and applied analysis of the problems and prospects for sustainable environmentally-oriented development of territorial communities in the Ukrainian Carpathians in the context of decentralization, European integration, and post-war recovery. The research is conducted within the framework of deepening decentralization processes, implementing the European integration course, and addressing the needs of post-war reconstruction. The aim of the work is to generalize the current state of mountain communities, identify key constraints on their socio-economic and environmental capacity, and substantiate directions for improving local development policies through the implementation of European approaches to supporting mountain areas. It is argued that the local government reform has expanded the administrative and financial capacities of communities in the Carpathian region; however, their practical implementation is complicated by a shortage of qualified personnel, misalignment of priorities between the population and authorities, demographic and migration shifts, as well as the escalation of environmental risks exacerbated by military actions. The necessity of integrating environmental constraints and territorial potential into strategic planning processes is substantiated. This involves combining infrastructure restoration with the deve</w:t>
      </w:r>
    </w:p>
    <w:p>
      <w:pPr/>
      <w:r>
        <w:rPr>
          <w:b/>
        </w:rPr>
        <w:t>POSSIBLE 2026:</w:t>
      </w:r>
      <w:r>
        <w:t xml:space="preserve"> Environmental inspection in Europe: comparative analysis and methodological proposal based on the spanish case — https://doi.org/10.1007/s41207-026-01093-0</w:t>
      </w:r>
    </w:p>
    <w:p>
      <w:pPr/>
      <w:r>
        <w:rPr>
          <w:b/>
        </w:rPr>
        <w:t>Shared claim-specific concepts:</w:t>
      </w:r>
      <w:r>
        <w:t xml:space="preserve"> based, environmental, three, show; EU scope visible. This is a provisional connection, not an outcome finding.</w:t>
      </w:r>
    </w:p>
    <w:p>
      <w:pPr>
        <w:pStyle w:val="SourceNote"/>
      </w:pPr>
      <w:r>
        <w:rPr>
          <w:b/>
        </w:rPr>
        <w:t>Available abstract (not full text):</w:t>
      </w:r>
      <w:r>
        <w:t xml:space="preserve"> Abstract This study comparatively analyses the environmental inspection systems implemented in different European countries with the aim of contextualising and strengthening the evaluation of the model developed in Spain, taking the case of the Valencian Community as a reference. Based on an applied, comparative and mixed approach, the research is structured in three phases: a documentary and regulatory review of the European and regional legal framework; a technical and comparative analysis of environmental inspection programmes, considering their degree of compliance, prioritisation by risk and transparency; and the design of an improved methodological proposal aimed at optimising the planning and execution of inspections. The results show similarities with the most advanced European models, such as those in the Netherlands and Denmark, and highlight the need to strengthen institutional coordination, transparency and the evaluation of results in environmental management. The proposed methodology allows for the rationalisation of resources, the prioritisation of interventions according to risk and the establishment of mechanisms for continuous improvement, contributing to more effective and adaptive environmental governance. Overall, the study provides a practical and transferable tool for moving towards more strategic and integrated environmental oversight that is consistent </w:t>
      </w:r>
    </w:p>
    <w:p>
      <w:pPr/>
      <w:r>
        <w:rPr>
          <w:b/>
        </w:rPr>
        <w:t>POSSIBLE 2026:</w:t>
      </w:r>
      <w:r>
        <w:t xml:space="preserve"> Science-based targets for material use: A systematic review of analytical concepts and approaches in Europe — https://doi.org/10.1016/j.resconrec.2026.109111</w:t>
      </w:r>
    </w:p>
    <w:p>
      <w:pPr/>
      <w:r>
        <w:rPr>
          <w:b/>
        </w:rPr>
        <w:t>Shared claim-specific concepts:</w:t>
      </w:r>
      <w:r>
        <w:t xml:space="preserve"> based, concepts, environmental, three; EU scope visible. This is a provisional connection, not an outcome finding.</w:t>
      </w:r>
    </w:p>
    <w:p>
      <w:pPr>
        <w:pStyle w:val="SourceNote"/>
      </w:pPr>
      <w:r>
        <w:rPr>
          <w:b/>
        </w:rPr>
        <w:t>Available abstract (not full text):</w:t>
      </w:r>
      <w:r>
        <w:t xml:space="preserve"> Science-based targets (SBTs) are increasingly proposed to align raw material use with environmental and societal goals, yet no consensus exists on what constitutes sustainable levels of material use. This paper reviews the scientific literature on material-use targets (2000–2025) and combines it with a dedicated review of resource-use and circular-economy targets in European policy documents. Three main approaches to setting material targets are identified: retrospective boundaries based on historically “safe” extraction levels; materials availability focusing on the accessibility and availability of resources; and impact-based approaches that derive targets from planetary boundaries or from the material requirements of sustainability scenarios. Impact-based approaches have become most prominent, supported by advances in scenario analysis, while retrospective boundaries remain influential in policy debates. The European policy inventory reveals widespread but highly heterogeneous material and wider resource targets. Most targets are strategic and non-binding, centered on economy-wide indicators (e.g., material footprints or circular use rates), with fewer sectoral or sub-national targets and substantial variation in baselines, reference years, and accounting perspectives. We find that the scientific basis behind these targets is often not clearly articulated. We argue that SBTs</w:t>
      </w:r>
    </w:p>
    <w:p>
      <w:pPr/>
      <w:r>
        <w:rPr>
          <w:b/>
        </w:rPr>
        <w:t>POSSIBLE 2026:</w:t>
      </w:r>
      <w:r>
        <w:t xml:space="preserve"> Leisure-time physical activity motives and gains for individuals with spinal cord injury: A qualitative study — https://doi.org/10.1016/j.ssaho.2026.103380</w:t>
      </w:r>
    </w:p>
    <w:p>
      <w:pPr/>
      <w:r>
        <w:rPr>
          <w:b/>
        </w:rPr>
        <w:t>Shared claim-specific concepts:</w:t>
      </w:r>
      <w:r>
        <w:t xml:space="preserve"> motives, them, three; EU scope not established. This is a provisional connection, not an outcome finding.</w:t>
      </w:r>
    </w:p>
    <w:p>
      <w:pPr>
        <w:pStyle w:val="SourceNote"/>
      </w:pPr>
      <w:r>
        <w:rPr>
          <w:b/>
        </w:rPr>
        <w:t>Available abstract (not full text):</w:t>
      </w:r>
      <w:r>
        <w:t xml:space="preserve"> Objective To explore the motives for, and perceived gains from, leisure-time physical activity (LTPA) participation in people with spinal cord injury (SCI). Methods This qualitative study consisted of six focus groups, each comprising six individuals. We used a phenomenological theoretical approach to describe the experiences of those living with an SCI when engaging in LTPA. Purposive participant selection was used to ensure participants were proportionately represented from the broader Australian population with an SCI. Data was analysed using Reflexive Thematic Analysis. Results A total of nine themes were identified in the analysis. Four themes pertained to motives, three to perceived gains, and two to both motives and perceived gains. Whilst health promotion and prevention of injury and illness were frequently reported as both motives for and gains from LTPA, other psychosocial aspects had a significant influence over LTPA behaviour for people with SCI. These included positive, preventive physical changes, a sense of autonomy and reduced burden on those around them, rebuilding identity, and a sense of belonging and inclusion. Conclusions The motives for, and perceived gains of, participation in LTPA among people with SCI encompassed multiple physical and psychosocial health domains, extending beyond the commonly assumed physical health improvements. Service providers shoul</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pStyle w:val="Heading2"/>
      </w:pPr>
      <w:r>
        <w:t>511.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512.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513.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514.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515.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show, least-cost, countries, energy, less, system;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Modelling land use transition through social learning — https://openalex.org/W7158432336</w:t>
      </w:r>
    </w:p>
    <w:p>
      <w:pPr/>
      <w:r>
        <w:rPr>
          <w:b/>
        </w:rPr>
        <w:t>Shared claim-specific concepts:</w:t>
      </w:r>
      <w:r>
        <w:t xml:space="preserve"> show, land, both, less; EU scope not established. This is a provisional connection, not an outcome finding.</w:t>
      </w:r>
    </w:p>
    <w:p>
      <w:pPr>
        <w:pStyle w:val="SourceNote"/>
      </w:pPr>
      <w:r>
        <w:rPr>
          <w:b/>
        </w:rPr>
        <w:t>Available abstract (not full text):</w:t>
      </w:r>
      <w:r>
        <w:t xml:space="preserve"> Land use transition toward multifunctional practices is greatly affected by social learning, yet the temporal interaction between learning mechanisms and network structure remains underexplored. This study examines two social learning channels, information exchange and normative pressure, and how network architecture shapes their effects on transition outcomes. We developed SALT (Social learning in Agent-based Land use Transitions), a spatially explicit model that integrates the Consumat framework and reinforcement learning. The model is parameterized using a Swedish forestry context, simulating landowner adaptive decisions under integrated and modular social networks. Results show that the two channels play distinct roles across transition phases. Lack of knowledge limits adoption in early adoption. Individual experience is the main source of knowledge accumulation, and social learning alone cannot close the knowledge gap. As adoption spreads, normative pressure constrains implementation intensity to the prevailing local average, explaining the gap between behavioral and actual landscape changes. Network architecture shapes both channels. Integrated networks widen information exchange and allow alternative-use norms to strengthen over time, while modular networks restrict information circulation and lock in low-implementation local norms. Landscape change organizes along socia</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r>
        <w:rPr>
          <w:b/>
        </w:rPr>
        <w:t>POSSIBLE 2025:</w:t>
      </w:r>
      <w:r>
        <w:t xml:space="preserve"> JAX‐CanVeg: A Differentiable Land Surface Model — https://doi.org/10.1029/2024wr038116</w:t>
      </w:r>
    </w:p>
    <w:p>
      <w:pPr/>
      <w:r>
        <w:rPr>
          <w:b/>
        </w:rPr>
        <w:t>Shared claim-specific concepts:</w:t>
      </w:r>
      <w:r>
        <w:t xml:space="preserve"> show, land, energy, both; EU scope not established. This is a provisional connection, not an outcome finding.</w:t>
      </w:r>
    </w:p>
    <w:p>
      <w:pPr>
        <w:pStyle w:val="SourceNote"/>
      </w:pPr>
      <w:r>
        <w:rPr>
          <w:b/>
        </w:rPr>
        <w:t>Available abstract (not full text):</w:t>
      </w:r>
      <w:r>
        <w:t xml:space="preserve"> Abstract Land surface models consider the exchange of water, energy, and carbon along the soil‐canopy‐atmosphere continuum, which is challenging to model due to their complex interdependency and associated challenges in representing and parameterizing them. Differentiable modeling provides a new opportunity to capture these complex interactions by seamlessly hybridizing process‐based models with deep neural networks (DNNs), benefiting both worlds, that is, the physical interpretation of process‐based models and the learning power of DNNs. Here, we developed a differentiable land model, JAX‐CanVeg. The new model builds on the legacy CanVeg by incorporating advanced functionalities through JAX in the graphic processing unit support, automatic differentiation, and integration with DNNs. We demonstrated JAX‐CanVeg's hybrid modeling capability by applying the model at four flux tower sites with varying aridity. To this end, we developed a hybrid version of the Ball‐Berry equation that emulates the water stress impact on stomatal closure to explore the capability of the hybrid model in (a) improving the simulations of latent heat fluxes and net ecosystem exchange , (b) improving the optimization trade‐off when learning observations of both and , and (c) benefiting a multi‐layer canopy model setup. Our results show that the proposed hybrid model improved the simulations of and at all </w:t>
      </w:r>
    </w:p>
    <w:p>
      <w:pPr>
        <w:pStyle w:val="Heading2"/>
      </w:pPr>
      <w:r>
        <w:t>516.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517.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2026:</w:t>
      </w:r>
      <w:r>
        <w:t xml:space="preserve"> Foundations of Maritime Decarbonization — https://doi.org/10.58830/ozgur.pub1212</w:t>
      </w:r>
    </w:p>
    <w:p>
      <w:pPr/>
      <w:r>
        <w:rPr>
          <w:b/>
        </w:rPr>
        <w:t>Shared claim-specific concepts:</w:t>
      </w:r>
      <w:r>
        <w:t xml:space="preserve"> decarbonization, industry, current, technological;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Decarbonizing the Chemical Industry Through Sustainable Hydrogen Production Pathway — https://doi.org/10.1002/ceat.70329</w:t>
      </w:r>
    </w:p>
    <w:p>
      <w:pPr/>
      <w:r>
        <w:rPr>
          <w:b/>
        </w:rPr>
        <w:t>Shared claim-specific concepts:</w:t>
      </w:r>
      <w:r>
        <w:t xml:space="preserve"> industry, greenhouse, gas, emissions; EU scope not established. This is a provisional connection, not an outcome finding.</w:t>
      </w:r>
    </w:p>
    <w:p>
      <w:pPr>
        <w:pStyle w:val="SourceNote"/>
      </w:pPr>
      <w:r>
        <w:rPr>
          <w:b/>
        </w:rPr>
        <w:t>Available abstract (not full text):</w:t>
      </w:r>
      <w:r>
        <w:t xml:space="preserve"> ABSTRACT Hydrogen is key to decarbonizing the chemical industry. This study compares future hydrogen production scenarios for 2030 and 2045. Global warming potential from emerging technologies is quantified using prospective life cycle assessments. The Annuity Method is used to calculate the levelized cost of hydrogen. By 2030, electrolysis can reduce greenhouse gas emissions by over 50%, though costs rise drastically. By 2045, combining electrolysis with hydrogen derivatives may reduce emissions, but hydrogen costs remain high. Electricity and CO 2 emissions costs are major factors. Our findings indicate that a sustainable hydrogen production pathway for the chemical industry requires support from policymakers by adapting legislative frameworks and initiating global purchase agreements.</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pStyle w:val="Heading2"/>
      </w:pPr>
      <w:r>
        <w:t>518.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519.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520.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521.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522.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523.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2026:</w:t>
      </w:r>
      <w:r>
        <w:t xml:space="preserve"> Developing a general research framework for long COVID using causal modelling — https://doi.org/10.1038/s43856-026-01488-8</w:t>
      </w:r>
    </w:p>
    <w:p>
      <w:pPr/>
      <w:r>
        <w:rPr>
          <w:b/>
        </w:rPr>
        <w:t>Shared claim-specific concepts:</w:t>
      </w:r>
      <w:r>
        <w:t xml:space="preserve"> based, two, questions, causal; EU scope not established. This is a provisional connection, not an outcome finding.</w:t>
      </w:r>
    </w:p>
    <w:p>
      <w:pPr>
        <w:pStyle w:val="SourceNote"/>
      </w:pPr>
      <w:r>
        <w:rPr>
          <w:b/>
        </w:rPr>
        <w:t>Available abstract (not full text):</w:t>
      </w:r>
      <w:r>
        <w:t xml:space="preserve"> Long COVID is an infection-associated chronic condition with uncertain evolution, leading to ambiguity in case definitions and various hypotheses about its pathophysiology. Despite this diversity, causal models may offer a unified understanding of post-acute COVID-19 mechanisms. This study aimed to examine whether dynamic Bayesian networks could facilitate inferences on long COVID. Using a causal engineering approach, we developed directed acyclic graphs and qualitatively parametrised them as Bayesian networks to depict the hypothesised mechanisms of long COVID in a theory-agnostic manner. Based on the literature and expert knowledge, we created a general modelling framework summarising biological pathways from mild or severe COVID-19 to the development of respiratory symptoms and fatigue over four key periods (t1 to t4). We used qualitative parametrisation for design and validation, and tested the framework against four scenarios: A) mild COVID-19 at t1 (start of acute infection); B) severe acute COVID-19 at t1; C) symptoms reported at t1 (acute COVID-19 disease); and D) symptoms reported at t1 and t3 (e.g., 3-to-6 months post-acute infection), indicating long COVID. Here we show that, in scenario A, the probability of progressing to severe disease and developing persistent organ dysfunction 1-to-2 years post-acute COVID-19 was lower than in scenario C. Those reporting symptom</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r>
        <w:rPr>
          <w:b/>
        </w:rPr>
        <w:t>POSSIBLE 2025:</w:t>
      </w:r>
      <w:r>
        <w:t xml:space="preserve"> Ecology needs a causal overhaul — https://doi.org/10.1111/brv.70029</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Ecology has yet to embrace causal inference, yet most questions in ecology are causal. Despite the common use of terms that imply causation, such as "shapes", "drives", or "impacts", many studies shy away from directly acknowledging their causal ambitions. This avoidance not only obscures the true intent of research but also underpins a broader challenge within the field's approach to science. Ecology relies heavily on observational data, and so the necessity for robust causal inference becomes paramount. However, causal methods are also needed for non-randomised experiments. We critique the predominance in ecology of scientifically empty statistical procedures that lack scientific clarity and value. We advocate for a shift towards explicit causal inference, arguing that understanding causality is not confined to randomised controlled trials but can also be enriched through observational data when paired with rigorous causal inference methodologies. This paper elucidates the common pitfalls in ecological studies, such as throwing all variables into an analysis, use of the Akaike information criterion (AIC) for model selection, the "Table 2 fallacy" and the misuse of controls: all of which can lead to misleading scientific understanding. The good news is that causal inference is not primarily a statistical problem, but rather a scientific one that is accessible to all ecologists</w:t>
      </w:r>
    </w:p>
    <w:p>
      <w:pPr/>
      <w:r>
        <w:rPr>
          <w:b/>
        </w:rPr>
        <w:t>POSSIBLE 2025:</w:t>
      </w:r>
      <w:r>
        <w:t xml:space="preserve"> Data Resource Profile: EULAT Eradicate GBC: the European-Latin American Research Consortium towards Eradication of Preventable Gallbladder Cancer — https://doi.org/10.1093/ije/dyaf127</w:t>
      </w:r>
    </w:p>
    <w:p>
      <w:pPr/>
      <w:r>
        <w:rPr>
          <w:b/>
        </w:rPr>
        <w:t>Shared claim-specific concepts:</w:t>
      </w:r>
      <w:r>
        <w:t xml:space="preserve"> two, causal, factors; EU scope visible. This is a provisional connection, not an outcome finding.</w:t>
      </w:r>
    </w:p>
    <w:p>
      <w:pPr>
        <w:pStyle w:val="SourceNote"/>
      </w:pPr>
      <w:r>
        <w:rPr>
          <w:b/>
        </w:rPr>
        <w:t>Available abstract (not full text):</w:t>
      </w:r>
      <w:r>
        <w:t xml:space="preserve"> The European-Latin American Research Consortium towards Eradication of Preventable Gallbladder Cancer (EULAT Eradicate GBC) has established a biorepository of &gt;14 000 individuals as part of a Latin American gallbladder cancer (GBC) case–control study and a GBC case–control study nested within large European prospective cohorts to discover and validate biomarkers for GBC prevention. The EULAT Eradicate GBC is unique in its study design, in the combination of European and Latin American data and samples, and in the sampling of Latin American patients prior to cholecystectomy. Samples are used for molecular-genetic profiling of the study participants and complemented with clinical, lifestyle, cultural, and behavioral data with the aim of generating individual GBC risk scores. Between January 2020 and May 2025, &gt;11 400 Latin American and &gt;300 European individuals were included in the study, with an age range of 18–96 years. Research collaboration requests and applications for access to data and samples can be sent to [email protected]. Gallbladder cancer (GBC, ICD-10 diagnosis code C23) is a relatively rare but aggressive disease that is expected to cause 95 609 deaths worldwide in 2025 (https://gco.iarc.fr/en). Most GBC deaths occur in low- to middle-income countries, including northern and north-eastern India, Bolivia, Chile, and the surrounding Andean regions. The research into </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pStyle w:val="Heading2"/>
      </w:pPr>
      <w:r>
        <w:t>524.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525.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2026:</w:t>
      </w:r>
      <w:r>
        <w:t xml:space="preserve"> Priorities for change for autistic people across Europe — https://doi.org/10.1186/s13229-026-00706-3</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also, issues, improvement, union, understanding;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pStyle w:val="Heading2"/>
      </w:pPr>
      <w:r>
        <w:t>526.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2026:</w:t>
      </w:r>
      <w:r>
        <w:t xml:space="preserve"> Exploring national support mechanisms for European reference network centres — https://doi.org/10.1016/j.ejmg.2026.105099</w:t>
      </w:r>
    </w:p>
    <w:p>
      <w:pPr/>
      <w:r>
        <w:rPr>
          <w:b/>
        </w:rPr>
        <w:t>Shared claim-specific concepts:</w:t>
      </w:r>
      <w:r>
        <w:t xml:space="preserve"> work, domains, findings; EU scope visible. This is a provisional connection, not an outcome finding.</w:t>
      </w:r>
    </w:p>
    <w:p>
      <w:pPr>
        <w:pStyle w:val="SourceNote"/>
      </w:pPr>
      <w:r>
        <w:rPr>
          <w:b/>
        </w:rPr>
        <w:t>Available abstract (not full text):</w:t>
      </w:r>
      <w:r>
        <w:t xml:space="preserve"> Integrating European Reference Networks (ERNs) into national health systems is crucial for rare disease care but remains challenging due to inconsistent support structures across countries. This study used a 2024-2025 multi-stakeholder survey of ERN clinical centre leads, hospital administrators, and national health authorities (JARDIN Joint Action, Work Package 9) to evaluate national support for ERN centres across six domains: staffing, education, formal recognition, funding, quality assurance, and strategic planning. Survey results revealed inconsistent national legal frameworks for recognizing ERN centres, major staffing deficits, and limited dedicated funding for ERN activities. Strategic planning for rare disease networks was often lacking, and institutional support for ERN-related quality assurance and continuing education remained low. Notably, ERN membership was associated with increased educational activities for health professionals, but these initiatives often lacked sustainability due to insufficient protected time and resources. Overall, the findings highlight that embedding ERNs into national health systems will require formal recognition of ERN centres in policy, consistent funding, stronger institutional backing, and structured support mechanisms to address workforce and quality gaps, ensuring long-term sustainability of this collaborative rare disease network.</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pStyle w:val="Heading2"/>
      </w:pPr>
      <w:r>
        <w:t>527.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2026:</w:t>
      </w:r>
      <w:r>
        <w:t xml:space="preserve"> Impact of climate change on the epidemiology of tick-borne encephalitis in Europe – a narrative review — https://doi.org/10.26444/ms/237403</w:t>
      </w:r>
    </w:p>
    <w:p>
      <w:pPr/>
      <w:r>
        <w:rPr>
          <w:b/>
        </w:rPr>
        <w:t>Shared claim-specific concepts:</w:t>
      </w:r>
      <w:r>
        <w:t xml:space="preserve"> current, knowledge, predictive; EU scope visible. This is a provisional connection, not an outcome finding.</w:t>
      </w:r>
    </w:p>
    <w:p>
      <w:pPr>
        <w:pStyle w:val="SourceNote"/>
      </w:pPr>
      <w:r>
        <w:rPr>
          <w:b/>
        </w:rPr>
        <w:t>Available abstract (not full text):</w:t>
      </w:r>
      <w:r>
        <w:t xml:space="preserve"> Introduction and Objective.Tick-borne encephalitis (TBE) is an important viral infection caused by Flavivirus, primarily transmitted by Ixodes ricinus ticks.Its incidence and geographic range are increasing across Europe.The aim of the review is to assess currently available evidence on the dynamics of climate change and TBE epidemiology, following a One Health perspective that considers vectors, hosts, environment, and human behaviour.Particular attention is paid to the situation in Poland.Brief description of the state of knowledge.Rising temperatures are prolonging cumulative growing degree days (GDD), leading to acceleration of tick development and extension of questing seasons.Milder winters reduce tick mortality during diapause, while saturation deficit mediates regional desiccation risk.The most crucial mechanism for amplification is non-viremic co-feeding transmission.This process explains how infected nymphs transmit TBEV locally to larvae on the same host.It is also sensitive to temperaturedriven synchrony between tick life stages.Taken together, these factors have led to expansion of Ixodes Ricinus to higher latitudes and altitudes, as well as introducing new endemic foci.The national incidence in Poland has risen from 265 cases in 2019 to 805 in 2024, while the vaccination rate remains at a low level.Use of machine learning-based risk models that help identifying em</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pStyle w:val="Heading2"/>
      </w:pPr>
      <w:r>
        <w:t>528.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2025:</w:t>
      </w:r>
      <w:r>
        <w:t xml:space="preserve"> The Poverty of the World: Rediscovering the Poor at Home and Abroad, 1941–1968 by Sheyda F. A. Jahanbani — https://doi.org/10.1162/jinh_r_02081</w:t>
      </w:r>
    </w:p>
    <w:p>
      <w:pPr/>
      <w:r>
        <w:rPr>
          <w:b/>
        </w:rPr>
        <w:t>Shared claim-specific concepts:</w:t>
      </w:r>
      <w:r>
        <w:t xml:space="preserve"> incisive, fundamental, bring; EU scope not established. This is a provisional connection, not an outcome finding.</w:t>
      </w:r>
    </w:p>
    <w:p>
      <w:pPr>
        <w:pStyle w:val="SourceNote"/>
      </w:pPr>
      <w:r>
        <w:rPr>
          <w:b/>
        </w:rPr>
        <w:t>Available abstract (not full text):</w:t>
      </w:r>
      <w:r>
        <w:t xml:space="preserve"> This is an original and seminal work that explores the intellectual origins and strategies of what the author refers to as America’s “global war on poverty” (3). In it, the author posits that liberal intellectuals in postwar America argued that American wealth and power could be used as a way to combat poverty throughout the globe. Thus, Jahanbani’s book links recent scholarship on America’s war on poverty to works exploring the American empire in the postwar years.Jahanbani structures her book around the writings and careers of key liberal thinkers who contributed fundamental ideas to the foundation of the global war on poverty—John Collier, Oscar Lewis, John Kenneth Galbraith, Michael Harrington, and Sargent Shriver. Their ideas, in her narrative, formed what eventually became America’s global war on poverty.Focus on these liberal intellectuals is not new. For decades, scholars have noted the influence of such ideas and writings on the origins of President Johnson’s war on poverty. What sets Jahanbani’s discussion of these men and their ideas apart, though, is her argument that they were focused not on poverty in America, but poverty in the world. And, concomitantly, she notes that these intellectuals believed that America, as the preeminent postwar power, had the duty and responsibility to share its wealth and resources to address poverty outside of the United States. Key to</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2024:</w:t>
      </w:r>
      <w:r>
        <w:t xml:space="preserve"> ETHICAL IMPLICATIONS &amp; ISSUES IN HIGHER EDUCATION - A MULTIDISCIPLINARY APPROACH — https://doi.org/10.52458/9788197762055.nsp.2024.eb</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Higher education is at a critical juncture in an era characterized by rapid technological advancements, globalization, and evolving societal expectations. Universities and colleges are responsible for not only educating students and developing their knowledge and skills, but also for cultivating their ethical sensibilities in order to prepare them to become the leaders and professionals of the future. The objective of this book, "Ethical Implications &amp; Issues in Higher Education: A Multidisciplinary Approach," is to investigate the intricate and multifaceted ethical challenges that are currently prevalent in higher education. A confluence of diverse factors—technological integration, cultural pluralism, financial constraints, and policy reforms—is progressively influencing the landscape of higher education. As these intricacies are navigated by institutions, ethical considerations become increasingly important. Critical attention is required to address matters such as academic integrity, inclusivity, equitable access to education, data privacy, and the commercialization of education. This book unites a diverse array of viewpoints from academicians, practitioners, and thought leaders from a variety of fields, each of which contributes to a more profound comprehension of the ethical dimensions of higher education. This multidisciplinary approach is not merely an academic exercise</w:t>
      </w:r>
    </w:p>
    <w:p>
      <w:pPr/>
      <w:r>
        <w:rPr>
          <w:b/>
        </w:rPr>
        <w:t>POSSIBLE 2024:</w:t>
      </w:r>
      <w:r>
        <w:t xml:space="preserve"> Unpacking “Social Vulnerability” and “Equity”: Critical Insights From Stormwater Climate Adaptation Research in the US Gulf Coast — https://doi.org/10.1029/2023csj000068</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Abstract This paper assesses how the concepts of social vulnerability and equity are discursively constructed in co‐production research settings with a co‐created decision support tool. The data was collected during workshops (32 communities represented) and interviews (24 communities represented) with stormwater managers and stakeholders (SMS) working in small cities, counties/parishes, and villages and towns within 100 miles of the US Gulf Coast. Findings from participant observation of workshops show that SMS express similar viewpoints regarding indicators of social vulnerability to climate‐related hazards, often defining vulnerable people as less physically mobile or as having few monetary resources. Individuals articulated “community” through a lens of homeownership and often described their relationship to residents as strained. Findings from interviews reveal divergent viewpoints on the imperative and rationale for integrating social vulnerability data into stormwater assessments and planning. Interviews also generated more critical reflection than was present in workshops regarding racial disparities in flood hazard exposure. A key insight from this article is that tools and team composition matter but there is nuance in the degree to which they matter considering a range of contextual factors. The article argues that co‐production teams must plan for alternatives and d</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pStyle w:val="Heading2"/>
      </w:pPr>
      <w:r>
        <w:t>529.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2026:</w:t>
      </w:r>
      <w:r>
        <w:t xml:space="preserve"> India &amp; G-20: The organisation for global north-south consensus — https://doi.org/10.33545/26646021.2026.v8.i3b.949</w:t>
      </w:r>
    </w:p>
    <w:p>
      <w:pPr/>
      <w:r>
        <w:rPr>
          <w:b/>
        </w:rPr>
        <w:t>Shared claim-specific concepts:</w:t>
      </w:r>
      <w:r>
        <w:t xml:space="preserve"> consensus, many; EU scope not established. This is a provisional connection, not an outcome finding.</w:t>
      </w:r>
    </w:p>
    <w:p>
      <w:pPr>
        <w:pStyle w:val="SourceNote"/>
      </w:pPr>
      <w:r>
        <w:rPr>
          <w:b/>
        </w:rPr>
        <w:t>Available abstract (not full text):</w:t>
      </w:r>
      <w:r>
        <w:t xml:space="preserve"> The Washington Consensus, formulated by economist John Williamson in 1989, was designed to revive and strengthen the economies of many developing countries. But in 1997-98, the Asian Financial Crisis cast doubt on policies primarily designed to address it. This study will examine why and how the creation of the G-20 deeply impacted the global economy, and later, it became one of the pivotal economic arrangements shaping and addressing the economic, social, and political aspirations of the Global South &amp; Global North.</w:t>
      </w:r>
    </w:p>
    <w:p>
      <w:pPr>
        <w:pStyle w:val="Heading2"/>
      </w:pPr>
      <w:r>
        <w:t>530.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531.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2026:</w:t>
      </w:r>
      <w:r>
        <w:t xml:space="preserve"> Application of BIM in the Refined Management of Prefabricated Building Design Phase — https://doi.org/10.54097/v4031382</w:t>
      </w:r>
    </w:p>
    <w:p>
      <w:pPr/>
      <w:r>
        <w:rPr>
          <w:b/>
        </w:rPr>
        <w:t>Shared claim-specific concepts:</w:t>
      </w:r>
      <w:r>
        <w:t xml:space="preserve"> building, phase, case; EU scope not established. This is a provisional connection, not an outcome finding.</w:t>
      </w:r>
    </w:p>
    <w:p>
      <w:pPr>
        <w:pStyle w:val="SourceNote"/>
      </w:pPr>
      <w:r>
        <w:rPr>
          <w:b/>
        </w:rPr>
        <w:t>Available abstract (not full text):</w:t>
      </w:r>
      <w:r>
        <w:t xml:space="preserve"> This thesis will explore the application mechanism of BIM technology in the design phase of prefabricated buildings, focusing on the construction of standardized prefabricated component libraries, efficient multidisciplinary collaborative design, intelligent clash detection, professional detailed design and accurate engineering quantity calculation. By integrating theoretical analysis with typical engineering case studies, this paper analyzes the core advantages of BIM applied in prefabricated building design, including shortened project cycles, enhanced design refinement and remarkable cost reduction. The research demonstrates that compared with conventional design modes, BIM can effectively address major pain points in prefabricated building design. It provides reliable technical support for improving design efficiency and engineering quality, and presents great potential for accelerating the sustainable and standardized development of prefabricated architecture in China’s construction industry.</w:t>
      </w:r>
    </w:p>
    <w:p>
      <w:pPr/>
      <w:r>
        <w:rPr>
          <w:b/>
        </w:rPr>
        <w:t>POSSIBLE 2026:</w:t>
      </w:r>
      <w:r>
        <w:t xml:space="preserve"> Technical Factor Analysis that Impacts Building Maintenance in the Retention Phase — https://doi.org/10.53623/csue.v6i1.947</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Building maintenance during the retention phase (Defects Liability Period) was a critical stage in construction projects because defects frequently emerged after handover and could cause delays, cost overruns, and disputes between owners and contractors. In Indonesia, although a retention fund mechanism was applied, maintenance performance during this phase often remained suboptimal. This study aimed to identify and quantify the influence of technical factors on building maintenance success in high-rise projects during the retention phase in Surabaya. Data were collected through a structured questionnaire using a five-point Likert scale from 31 project staff members with relevant professional experience, selected using purposive sampling. The analysis was conducted using Partial Least Squares–Structural Equation Modeling (PLS-SEM) to evaluate both the measurement and structural models, supported by supplementary regression analysis. The results showed that technical factors had a strong and significant effect on building maintenance success, with material availability emerging as the most influential technical factor, while schedule planning was the most dominant success criterion. The high R² and effect size values indicated that technical factors played a substantial practical role in determining maintenance performance during the retention phase. These findings highlighted t</w:t>
      </w:r>
    </w:p>
    <w:p>
      <w:pPr/>
      <w:r>
        <w:rPr>
          <w:b/>
        </w:rPr>
        <w:t>POSSIBLE 2026:</w:t>
      </w:r>
      <w:r>
        <w:t xml:space="preserve"> Optimizing Energy Efficiency by Integrating Phase Change Materials into Building Envelopes — https://doi.org/10.14750/me.2026.054</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Ammar Saliby is a Ph.D. candidate specializing in mechanical engineering with a focus on energy-efficient building systems and thermal energy storage technologies.During his master studies, he developed expertise in building energy management and thermal modelling, which provided a strong foundation for his doctoral research.He commenced his Ph.D. studies at the University of Miskolc in the autumn of 2021, supported by the Stipendium Hungaricum scholarship program.Throughout his doctoral work, Ammar has demonstrated outstanding academic performance, completed all coursework, and actively contributed to scientific research within the field of sustainable building technologies.His research focuses on the integration and optimization of PCMs in building envelopes to enhance thermal performance and reduce energy consumption.He has made significant contributions to this field by developing validated CFD simulation models to analyze PCM behaviour, optimizing PCM layer configurations, and investigating encapsulation geometry for improved energy efficiency.Notably, his work explores the novel integration of PCMs into traditional masonry structures, such as Flemish bond walls, demonstrating a unique combination of architectural heritage and modern thermal storage solutions.Ammar has authored multiple scientific publications, including peer-reviewed journal articles and conference papers</w:t>
      </w:r>
    </w:p>
    <w:p>
      <w:pPr/>
      <w:r>
        <w:rPr>
          <w:b/>
        </w:rPr>
        <w:t>POSSIBLE 2026:</w:t>
      </w:r>
      <w:r>
        <w:t xml:space="preserve"> Recent Advances in Microencapsulated Phase Change Materials for Energy Efficiency in Buildings: A Review — https://doi.org/10.3390/polym18040451</w:t>
      </w:r>
    </w:p>
    <w:p>
      <w:pPr/>
      <w:r>
        <w:rPr>
          <w:b/>
        </w:rPr>
        <w:t>Shared claim-specific concepts:</w:t>
      </w:r>
      <w:r>
        <w:t xml:space="preserve"> building, phase, response; EU scope not established. This is a provisional connection, not an outcome finding.</w:t>
      </w:r>
    </w:p>
    <w:p>
      <w:pPr>
        <w:pStyle w:val="SourceNote"/>
      </w:pPr>
      <w:r>
        <w:rPr>
          <w:b/>
        </w:rPr>
        <w:t>Available abstract (not full text):</w:t>
      </w:r>
      <w:r>
        <w:t xml:space="preserve"> Phase change materials (PCMs) have attracted significant attention for their capacity to store and release large amounts of latent heat in response to ambient temperature variations, offering an effective strategy for thermal regulation in buildings. Meanwhile, recent research is focused on microencapsulated phase change materials (MPCMs), which provide enhanced thermal efficiency, improved stability, and easier integration into construction materials. This study stands apart from offering a structured comparative analysis of PCM and MPCM systems. Using detailed synthesis tables, the review systematically evaluates materials, encapsulation approaches, and performance indicators. The review presents an integrative framework that correlates materials' thermophysical properties with specialized simulation software and region-specific climatic conditions. MPCMs are assessed in terms of composition, phase change characteristics, and encapsulation techniques, with complex information condensed into practical selection criteria. Furthermore, MPCM products covering phase change temperature ranges from 18 °C to 32 °C are systematically aligned with specific climate zones and life cycle assessment outcomes, offering a clear framework for optimization. The polymers play a vital role in MPCM technology, and their applications for buildings have been studied thoroughly. This work also aims </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pStyle w:val="Heading2"/>
      </w:pPr>
      <w:r>
        <w:t>532.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533.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2026:</w:t>
      </w:r>
      <w:r>
        <w:t xml:space="preserve"> European Strategic Autonomy and France — https://doi.org/10.36250/01328_11</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pStyle w:val="Heading2"/>
      </w:pPr>
      <w:r>
        <w:t>534.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Operating room planning problem under uncertainty: A regret minimization model — https://doi.org/10.1016/j.cor.2026.107614</w:t>
      </w:r>
    </w:p>
    <w:p>
      <w:pPr/>
      <w:r>
        <w:rPr>
          <w:b/>
        </w:rPr>
        <w:t>Shared claim-specific concepts:</w:t>
      </w:r>
      <w:r>
        <w:t xml:space="preserve"> room, further; EU scope not established. This is a provisional connection, not an outcome finding.</w:t>
      </w:r>
    </w:p>
    <w:p>
      <w:pPr>
        <w:pStyle w:val="SourceNote"/>
      </w:pPr>
      <w:r>
        <w:rPr>
          <w:b/>
        </w:rPr>
        <w:t>Available abstract (not full text):</w:t>
      </w:r>
      <w:r>
        <w:t xml:space="preserve"> Operating room (OR) planning presents a significant challenge for hospital managers due to inherent uncertainty in surgery durations, which are unknown at the time of scheduling. Decisions regarding the number of ORs to open and the assignment of surgeries must be made in advance, and inaccurate estimates can lead to idle capacity, excessive overtime, or delayed procedures. This study develops and compares three complementary optimization frameworks for OR planning under uncertainty: classical robust optimization (RO), regret minimization (RM), and a data-driven distributionally robust optimization (DRO) approach termed mean robust optimization (MRO). The RM model is designed to limit the maximum performance loss relative to an ex post optimal benchmark, thereby reducing excessive conservatism associated with worst-case planning. We show that both the RO and RM formulations admit equivalent robust counterparts and propose efficient column-and-constraint generation (C&amp;CG) algorithms to solve large-scale instances. To leverage historical surgery duration data, we further incorporate the MRO framework, which constructs data-driven ambiguity sets through clustering and provides a tunable balance between robustness and data adaptivity. Extensive computational experiments demonstrate clear behavioral differences among the models. While RO yields the most conservative schedules, RM ac</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535.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2026:</w:t>
      </w:r>
      <w:r>
        <w:t xml:space="preserve"> A tissue time machine to forward-predict single-timepoint data applied to tuberculosis granulomas — https://doi.org/10.64898/2026.10.09.758083</w:t>
      </w:r>
    </w:p>
    <w:p>
      <w:pPr/>
      <w:r>
        <w:rPr>
          <w:b/>
        </w:rPr>
        <w:t>Shared claim-specific concepts:</w:t>
      </w:r>
      <w:r>
        <w:t xml:space="preserve"> predict, single, based, develop; EU scope not established. This is a provisional connection, not an outcome finding.</w:t>
      </w:r>
    </w:p>
    <w:p>
      <w:pPr>
        <w:pStyle w:val="SourceNote"/>
      </w:pPr>
      <w:r>
        <w:rPr>
          <w:b/>
        </w:rPr>
        <w:t>Available abstract (not full text):</w:t>
      </w:r>
      <w:r>
        <w:t xml:space="preserve"> Abstract Recent advances have improved understanding of infection; however many detailed datasets are based on single timepoints post-infection and cannot generate longitudinal insights needed to predict infection outcomes. For example, pulmonary infection with Mycobacterium tuberculosis (Mtb) initiates a complex system of immune and bacterial interactions that leads to granuloma formation, yet single snapshots in time need elaboration long-term. We develop a new approach, the tissue time machine , applied to predict outcomes of non-human primate granulomas from initiation to endpoint using single timepoint tissue datasets including high-dimensional spatial features. This involves identifying granuloma digital partners , simulations most closely resembling real granulomas from a virtual library of over 50,000. By analyzing digital partners, we predict infection outcomes of 22/28 granulomas, and that Mtb-specific, IFN-γ-producing T cell recruitment rates influence uncertainty for the 6/28. This method is applicable to any system that allows for mechanistic predictions over time using heterogeneous, incomplete, and high-dimensional datasets.</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2025:</w:t>
      </w:r>
      <w:r>
        <w:t xml:space="preserve"> Multi-Output Classification for Predicting Stock Market Trend in the Electronic Sector of Thailand — https://doi.org/10.3233/atde250583</w:t>
      </w:r>
    </w:p>
    <w:p>
      <w:pPr/>
      <w:r>
        <w:rPr>
          <w:b/>
        </w:rPr>
        <w:t>Shared claim-specific concepts:</w:t>
      </w:r>
      <w:r>
        <w:t xml:space="preserve"> tries, predict, single, several; EU scope not established. This is a provisional connection, not an outcome finding.</w:t>
      </w:r>
    </w:p>
    <w:p>
      <w:pPr>
        <w:pStyle w:val="SourceNote"/>
      </w:pPr>
      <w:r>
        <w:rPr>
          <w:b/>
        </w:rPr>
        <w:t>Available abstract (not full text):</w:t>
      </w:r>
      <w:r>
        <w:t xml:space="preserve"> General classification task in machine learning aims at predicting outcome of a single target, whereas multi-output classification tries to predict possible outcome of several targets simultaneously. In this research we propose a method of multi-output classification applied to the financial area. Historical trading data focusing only the electronic sector of Thailand’s stock exchange market have been used as an input feeding into our novel data augmentation framework to generate various features including financial indicators, movement trends within a short period of three days, and a set of three target fields that predict trend in the next two days. Our study contributes to the field by demonstrating the effectiveness of feature engineering method and multi-output classification algorithm in capturing the complex relationships and dependencies within the electronic sector, thereby aiding investors and analysts in making informed decisions.</w:t>
      </w:r>
    </w:p>
    <w:p>
      <w:pPr/>
      <w:r>
        <w:rPr>
          <w:b/>
        </w:rPr>
        <w:t>POSSIBLE 2025:</w:t>
      </w:r>
      <w:r>
        <w:t xml:space="preserve"> A two-stage randomized basket trial with latent baskets based on a single predictive biomarker — https://openalex.org/W7139423024</w:t>
      </w:r>
    </w:p>
    <w:p>
      <w:pPr/>
      <w:r>
        <w:rPr>
          <w:b/>
        </w:rPr>
        <w:t>Shared claim-specific concepts:</w:t>
      </w:r>
      <w:r>
        <w:t xml:space="preserve"> single, based, develop; EU scope not established. This is a provisional connection, not an outcome finding.</w:t>
      </w:r>
    </w:p>
    <w:p>
      <w:pPr>
        <w:pStyle w:val="SourceNote"/>
      </w:pPr>
      <w:r>
        <w:rPr>
          <w:b/>
        </w:rPr>
        <w:t>Available abstract (not full text):</w:t>
      </w:r>
      <w:r>
        <w:t xml:space="preserve"> Background: Randomized basket trials can evaluate the efficacy of a common experimental inter-vention versus a control intervention across multiple diseases, or “baskets”. Treatment effects may vary across patient subgroups for a predictive biomarker. We extend the basket design for a single disease with different “baskets” of patients with different biomarker values. Further, we consider the biomarker-based baskets as latent at the start of the trial. There are few published methods that have addressed subgroup identification in basket trials. Objective: For a single, known, con- tinuous biomarker with an unknown cutpoint, we aim to develop a method to identify the optimal cutpoint and apply it to a two-stage randomized basket design with a binary outcome. Methods: We conducted a simulation study to evaluate the power and type I error of our two-stage basket design with a binary outcome. In Stage 1, we enrol and randomize 50% of the target sample size. Using interim data, we estimate the optimal biomarker cutpoint that best identifies heterogeneous treatment effects and partition patients into two baskets. Then, we prune inactive baskets with low treatment efficacy. In Stage 2, we enrol additional patients in the remaining baskets until the target sample size. For the final pooled analysis, we declare superiority of the experimental intervention using the empirically-determine</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pStyle w:val="Heading2"/>
      </w:pPr>
      <w:r>
        <w:t>536.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2026:</w:t>
      </w:r>
      <w:r>
        <w:t xml:space="preserve"> COMPARATIVE ANALYSIS OF THE MAIN PRINCIPLES OF DOMESTIC CRIMINAL LAW — https://doi.org/10.14258/ralj(2026)1.12</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article provides a comparative analysis of the main starting points and principles of domesticcriminal legislation. It examines the principles of legality, equality of citizens before the law, guilt, justice, andhumanism, which are currently enshrined in the Criminal Code of the Russian Federation. The article alsoexplores the relationship between these principles and the main starting points found in the previous criminallaws of the RSFSR. It identifies the constructive and positive aspects of the criminal laws of previous historicaleras. The article concludes that the principles of the Criminal Code of the Russian Federation are a result ofthe development of the main starting points and principles of the criminal laws of previous historical periods.</w:t>
      </w:r>
    </w:p>
    <w:p>
      <w:pPr/>
      <w:r>
        <w:rPr>
          <w:b/>
        </w:rPr>
        <w:t>POSSIBLE 2026:</w:t>
      </w:r>
      <w:r>
        <w:t xml:space="preserve"> Rubrics for assessing clinical competencies in simulation-based nursing education: An integrative review — https://doi.org/10.1016/j.teln.2026.08.009</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Background Evaluation rubrics are essential for systematizing and measuring clinical competency progression in nursing simulation. Aim To identify the rubrics used to assess clinical competencies and skills in nursing simulation. Method An integrative review was conducted across nine databases in August 2025. Study selection was double-blind. Methodological quality was assessed using the Medical Education Research Quality Assessment Instrument. Results Initially, 905 studies were identified, and 41 comprised the final sample. Thirteen different rubrics were found, with a prevalence of studies using the Lasater Clinical Judgment Rubric. Most studies had moderate methodological quality. The evidence shows that the use of rubrics favors clinical judgment, self-confidence, and the structuring of formative feedback. Conclusion Rubrics are gaining pedagogical maturity in simulation, consolidating themselves as essential tools for competency-based nursing curricula. However, the lack of psychometric validation in specific instruments and the need for tools for new digital modalities represent the main challenges for the area.</w:t>
      </w:r>
    </w:p>
    <w:p>
      <w:pPr/>
      <w:r>
        <w:rPr>
          <w:b/>
        </w:rPr>
        <w:t>POSSIBLE 2026:</w:t>
      </w:r>
      <w:r>
        <w:t xml:space="preserve"> Transformational Leadership by Department Heads in Enhancing the Digital Competencies of Civil Servants — https://doi.org/10.58905/saluspublica.v4i2.749</w:t>
      </w:r>
    </w:p>
    <w:p>
      <w:pPr/>
      <w:r>
        <w:rPr>
          <w:b/>
        </w:rPr>
        <w:t>Shared claim-specific concepts:</w:t>
      </w:r>
      <w:r>
        <w:t xml:space="preserve"> found, lack, competencies; EU scope not established. This is a provisional connection, not an outcome finding.</w:t>
      </w:r>
    </w:p>
    <w:p>
      <w:pPr>
        <w:pStyle w:val="SourceNote"/>
      </w:pPr>
      <w:r>
        <w:rPr>
          <w:b/>
        </w:rPr>
        <w:t>Available abstract (not full text):</w:t>
      </w:r>
      <w:r>
        <w:t xml:space="preserve"> Digital transformation in the field of public administration needs high digital competences in civil servants, where leadership becomes a key in this process. This research tries to build up analysis of transformational leadership of the department head in enhancing the digital competences of civil servants, the barriers found, and how the barriers have been overcome. The research was conducted through qualitative research with semi-structured interviews on three informants, namely department head, structural officers, and civil servants of the Cirebon City Department of Cooperatives, SMEs, Trade and Industry. The results of this research prove that the transformational leadership of the Department Head can be seen from the exemplary use of digital technology, consistent vision and motivation communication, innovation, and differences in digital competence of civil servants. Nevertheless, there are some barriers for enhancing digital competencies, which consist of the gaps in digital literacy between employees, a lack of internal training programs, and technological barriers. According to the findings of this study, it is possible to say that transformational leadership plays an important role in promoting the enhancement of digital competencies of civil servants; however, for increasing the effectiveness of this strategy, it should be supported by a continuous training program</w:t>
      </w:r>
    </w:p>
    <w:p>
      <w:pPr/>
      <w:r>
        <w:rPr>
          <w:b/>
        </w:rPr>
        <w:t>POSSIBLE 2026:</w:t>
      </w:r>
      <w:r>
        <w:t xml:space="preserve"> Developing Mathematics Teachers’ TPACK Competencies through Technology-Enhanced Learning Approaches — https://doi.org/10.58355/dirosat.v4i1.228</w:t>
      </w:r>
    </w:p>
    <w:p>
      <w:pPr/>
      <w:r>
        <w:rPr>
          <w:b/>
        </w:rPr>
        <w:t>Shared claim-specific concepts:</w:t>
      </w:r>
      <w:r>
        <w:t xml:space="preserve"> found, lack, competencies, teachers; EU scope not established. This is a provisional connection, not an outcome finding.</w:t>
      </w:r>
    </w:p>
    <w:p>
      <w:pPr>
        <w:pStyle w:val="SourceNote"/>
      </w:pPr>
      <w:r>
        <w:rPr>
          <w:b/>
        </w:rPr>
        <w:t>Available abstract (not full text):</w:t>
      </w:r>
      <w:r>
        <w:t xml:space="preserve"> The ability of teachers to effectively integrate technology into the learning process has become essential for the development of students' competencies in STEM fields, especially in mathematics. The purpose of this study is to analyze the development of Technological Competencies, Pedagogical and Content Knowledge (TPACK) in mathematics teachers through Technology-Enhanced Learning (TEL). Effective integration of technology into teaching has become an essential component in teacher professional development and in improving the quality of learning in STEM fields. The study uses a mixed-methods approach, integrating quantitative data from a questionnaire with 52 teachers and qualitative data from eight semi-structured interviews. The results showed that teachers possess high levels of pedagogical and content knowledge, but technological competencies are still developing. Correlation analysis Pearson found a strong positive relationship between TEL use and TPACK level (r = .70, p &lt; .01), while linear regression showed that TEL use explains 39% of the variance in TPACK development (β = 0.62, p &lt; .001). On the other hand, qualitative data revealed that teachers perceive TEL as an approach that increases student motivation and engagement, although they encounter infrastructural barriers and a lack of consistent training. The study concludes that the systematic use of TEL positively </w:t>
      </w:r>
    </w:p>
    <w:p>
      <w:pPr>
        <w:pStyle w:val="Heading2"/>
      </w:pPr>
      <w:r>
        <w:t>537.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2026:</w:t>
      </w:r>
      <w:r>
        <w:t xml:space="preserve"> Comparative analysis of healthcare systems in European Union countries based on socio-economic and demographic indicators — https://doi.org/10.46299/j.isjmef.20260504.03</w:t>
      </w:r>
    </w:p>
    <w:p>
      <w:pPr/>
      <w:r>
        <w:rPr>
          <w:b/>
        </w:rPr>
        <w:t>Shared claim-specific concepts:</w:t>
      </w:r>
      <w:r>
        <w:t xml:space="preserve"> demographic; EU scope visible. This is a provisional connection, not an outcome finding.</w:t>
      </w:r>
    </w:p>
    <w:p>
      <w:pPr>
        <w:pStyle w:val="SourceNote"/>
      </w:pPr>
      <w:r>
        <w:rPr>
          <w:b/>
        </w:rPr>
        <w:t>Available abstract (not full text):</w:t>
      </w:r>
      <w:r>
        <w:t xml:space="preserve"> The growing importance of healthcare in human capital development, enhancing labor productivity, and fostering long-term economic growth highlights the need to evaluate the performance of national healthcare systems amid population aging, increasing demand for healthcare services, and constrained financial resources. Despite a substantial body of research devoted to healthcare system models and their performance assessment, a comprehensive cross-country comparison integrating socioeconomic and demographic indicators using multivariate statistical methods remains underexplored. The aim of this study is to compare the healthcare systems of the European Union countries and evaluate their economic efficiency using correlation and cluster analysis. The study focuses on the healthcare systems of the European Union countries and Ukraine as institutional, organizational, and financial arrangements for the provision of healthcare services. It examines the relationships between indicators of economic development, healthcare financing, and healthcare system performance, as well as the methodological approaches used to assess these relationships. The study is based on statistical data obtained from Eurostat, OECD Health Statistics, the World Health Organization, and the World Bank. The methodological framework comprises comparative analysis, correlation analysis, hierarchical cluster analy</w:t>
      </w:r>
    </w:p>
    <w:p>
      <w:pPr/>
      <w:r>
        <w:rPr>
          <w:b/>
        </w:rPr>
        <w:t>POSSIBLE 2026:</w:t>
      </w:r>
      <w:r>
        <w:t xml:space="preserve"> An enhanced, nationally consistent, travel mode choice model:NZ Transport Agency research report 741 — https://openalex.org/W7203593076</w:t>
      </w:r>
    </w:p>
    <w:p>
      <w:pPr/>
      <w:r>
        <w:rPr>
          <w:b/>
        </w:rPr>
        <w:t>Shared claim-specific concepts:</w:t>
      </w:r>
      <w:r>
        <w:t xml:space="preserve"> demographic, traditional; EU scope not established. This is a provisional connection, not an outcome finding.</w:t>
      </w:r>
    </w:p>
    <w:p>
      <w:pPr>
        <w:pStyle w:val="SourceNote"/>
      </w:pPr>
      <w:r>
        <w:rPr>
          <w:b/>
        </w:rPr>
        <w:t>Available abstract (not full text):</w:t>
      </w:r>
      <w:r>
        <w:t xml:space="preserve"> This comprehensive report thoroughly reviews the literature on modelling and evidence related to travel mode choice. The key findings and insights from this review are summarised below. The report begins with a broad review of traditional and emerging approaches to mode choice modelling. Traditionally, mode choice models have relied on objective factors such as demographics, trip characteristics, and transportation mode attributes (eg, travel time, cost, reliability). These models, often based on discrete choice theory, aim to predict the probability of an individual choosing a particular mode of transportation. However, recent research has highlighted the importance of incorporating psychological variables, such as attitudes, perceived behavioural control, and subjective norms, in mode choice modelling. Hybrid choice models that combine traditional attributes with psychological variables have demonstrated improved predictive power and the ability to uncover causal relationships in mode choice. In addition, the scientific literature emphasises the critical role of habit, defined as the tendency to use a particular mode of transportation, as a strong predictor of mode choice that should be directly measured alongside intention. The review also addresses modelling complex travel behaviour, including multimodal, multi-leg, multi-user, and multi-purpose journeys. Capturing the inte</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pStyle w:val="Heading2"/>
      </w:pPr>
      <w:r>
        <w:t>538.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Prevalence of myopia in Europe: a systematic review and meta-analysis of data from 14 countries — https://doi.org/10.1016/j.lanepe.2025.101319</w:t>
      </w:r>
    </w:p>
    <w:p>
      <w:pPr/>
      <w:r>
        <w:rPr>
          <w:b/>
        </w:rPr>
        <w:t>Shared claim-specific concepts:</w:t>
      </w:r>
      <w:r>
        <w:t xml:space="preserve"> methods, identify, trends; EU scope visible. This is a provisional connection, not an outcome finding.</w:t>
      </w:r>
    </w:p>
    <w:p>
      <w:pPr>
        <w:pStyle w:val="SourceNote"/>
      </w:pPr>
      <w:r>
        <w:rPr>
          <w:b/>
        </w:rPr>
        <w:t>Available abstract (not full text):</w:t>
      </w:r>
      <w:r>
        <w:t xml:space="preserve"> Background Although myopia prevalence increased in East Asian countries, the burden of myopia in Europe is less known. We performed a systematic review and meta-analysis to estimate the prevalence of myopia in Europe and at the country level. Methods We searched PubMed, Scopus and Web of Science to identify studies on myopia prevalence published until January 2024, regardless of language. We included European cross-sectional and cohort studies with defined sampling strategies and excluded clinical surveys, myopia registries, self-reported near-sightedness, and non-representative populations. Pooled prevalence was estimated using random-effects models. Heterogeneity was assessed using the Cochran's Q (χ 2 test) and the I 2 statistic. The study protocol was preregistered in PROSPERO (CRD42023471527). Findings We screened 2074 records and included 22 studies (from 14 European countries; n=128,012) in the meta-analyses. The pooled prevalence of myopia was 23.5% (95% CI: 18.5–29.3; I 2 = 99.7%), ranging from 11.9% in Finland to 49.7% in Sweden. In cycloplegic studies, myopia prevalence was 18.9% (95% CI: 13.2–26.5%; I 2 = 99.7%) vs. 31.2% (95% CI: 24.9–38.3%; I 2 = 99.3%) in non-cycloplegic studies. Subgroup and meta-regression analyses exploring sources of heterogeneity showed a lower prevalence in children (6–11 years; 5.5%) compared with adolescents (12–17 years; 25.2%) and adult</w:t>
      </w:r>
    </w:p>
    <w:p>
      <w:pPr/>
      <w:r>
        <w:rPr>
          <w:b/>
        </w:rPr>
        <w:t>POSSIBLE 2025:</w:t>
      </w:r>
      <w:r>
        <w:t xml:space="preserve"> Assessing human-caused wildfire ignition likelihood across Europe — https://doi.org/10.5194/nhess-25-4713-2025</w:t>
      </w:r>
    </w:p>
    <w:p>
      <w:pPr/>
      <w:r>
        <w:rPr>
          <w:b/>
        </w:rPr>
        <w:t>Shared claim-specific concepts:</w:t>
      </w:r>
      <w:r>
        <w:t xml:space="preserve"> identify, management, developed;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pStyle w:val="Heading2"/>
      </w:pPr>
      <w:r>
        <w:t>539.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2026:</w:t>
      </w:r>
      <w:r>
        <w:t xml:space="preserve"> Emerging Zoonotic Viral Diseases: Urgent Need for One Health Perspective — https://doi.org/10.2478/am-2026-0012</w:t>
      </w:r>
    </w:p>
    <w:p>
      <w:pPr/>
      <w:r>
        <w:rPr>
          <w:b/>
        </w:rPr>
        <w:t>Shared claim-specific concepts:</w:t>
      </w:r>
      <w:r>
        <w:t xml:space="preserve"> urgent, need, climate, pathways, trade; EU scope not established. This is a provisional connection, not an outcome finding.</w:t>
      </w:r>
    </w:p>
    <w:p>
      <w:pPr>
        <w:pStyle w:val="SourceNote"/>
      </w:pPr>
      <w:r>
        <w:rPr>
          <w:b/>
        </w:rPr>
        <w:t>Available abstract (not full text):</w:t>
      </w:r>
      <w:r>
        <w:t xml:space="preserve"> Abstract Zoonotic diseases are infectious diseases that are naturally transmitted between vertebrate animals and humans, either directly or indirectly. It has been estimated that over 60% of human pathogens originate in animals. These include bacteria, viruses, fungi, protozoa, parasites, and other pathogens. Newly emerging zoonotic viral diseases can greatly complicate the public health situation, primarily because such pathogens typically have high lethality, can cause large-scale outbreaks, and severely affect the socioeconomic conditions of societies. At the same time, the frequency of zoonotic outbreaks has been increasing at an alarming rate in recent decades, largely as a result of human actions such as increasing agricultural productivity, clearing forests, animal trade, and climate change. Cases such as the H1N1 influenza pandemic, Nipah virus infection, monkeypox, Ebola, and SARS-CoV-2 have clearly demonstrated the significant epidemic potential of zoonotic infections in human populations. Because recent experiences with emerging zoonotic diseases have been challenging, it is imperative that the One Health concept be strongly supported through effective implementation. This concept helps connect the human-animal-plant-environment interface, which is vitally important for preventing, detecting, and responding to health threats. It also ensures that development remains </w:t>
      </w:r>
    </w:p>
    <w:p>
      <w:pPr/>
      <w:r>
        <w:rPr>
          <w:b/>
        </w:rPr>
        <w:t>POSSIBLE 2026:</w:t>
      </w:r>
      <w:r>
        <w:t xml:space="preserve"> System innovation to address the urgency, scale and complexity of climate action: Climate KIC’s European vision and experience — https://doi.org/10.5802/crgeos.329</w:t>
      </w:r>
    </w:p>
    <w:p>
      <w:pPr/>
      <w:r>
        <w:rPr>
          <w:b/>
        </w:rPr>
        <w:t>Shared claim-specific concepts:</w:t>
      </w:r>
      <w:r>
        <w:t xml:space="preserve"> climate, decarbonization; EU scope visible. This is a provisional connection, not an outcome finding.</w:t>
      </w:r>
    </w:p>
    <w:p>
      <w:pPr>
        <w:pStyle w:val="SourceNote"/>
      </w:pPr>
      <w:r>
        <w:rPr>
          <w:b/>
        </w:rPr>
        <w:t>Available abstract (not full text):</w:t>
      </w:r>
      <w:r>
        <w:t xml:space="preserve"> Juxtaposing incremental solutions can no longer respond to the climate emergency. This requires integrated approaches that take into account the interdependencies between actors and combine the levers of transformation—technological, behavioral, regulatory, and financial. The European Commission has created five Missions under Horizon Europe, reinforcing the coherence of objectives and means in support of the Green Deal. Notably, the “Smart and climate-neutral cities” and “Adaptation to climate change” Missions support cities, metropolitan areas, communities and regions that are aiming for decarbonization and climate resilience by 2030. In this paper, we discuss some structuring projects for these Missions, and other systemic innovation initiatives anchored in specific places, in particular Deep Demonstration programs led by Climate KIC in support of national and regional governments.</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pStyle w:val="Heading2"/>
      </w:pPr>
      <w:r>
        <w:t>540.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541.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542.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2026:</w:t>
      </w:r>
      <w:r>
        <w:t xml:space="preserve"> Circular Economy Synergies and Trade-offs in Data Centres — https://doi.org/10.48550/arxiv.2608.04571</w:t>
      </w:r>
    </w:p>
    <w:p>
      <w:pPr/>
      <w:r>
        <w:rPr>
          <w:b/>
        </w:rPr>
        <w:t>Shared claim-specific concepts:</w:t>
      </w:r>
      <w:r>
        <w:t xml:space="preserve"> between, all, synergies, little; EU scope not established. This is a provisional connection, not an outcome finding.</w:t>
      </w:r>
    </w:p>
    <w:p>
      <w:pPr>
        <w:pStyle w:val="SourceNote"/>
      </w:pPr>
      <w:r>
        <w:rPr>
          <w:b/>
        </w:rPr>
        <w:t>Available abstract (not full text):</w:t>
      </w:r>
      <w:r>
        <w:t xml:space="preserve"> This report analyses data centre (DC) sustainability and circularity, revealing existing synergies and trade-offs: The PUE is too coarse, mixing cooling and power provisioning. It wrongly attributes server fan consumption and transformation losses to IT energy. It does not measure compute but infrastructure efficiency, which is already outstanding. Compute energy, however, is exploding. Better energy metrics for DCs would thus cover i) compute efficiency, ii) transformation efficiency, and iii) cooling overhead. Trade-offs exist between cooling energy and water as well as on-site and upstream water: Consuming water on-site lowers the cooling energy, which also lowers the water consumed upstream in power generation. For 'wet' electricity, there is little competition: It is worth spending more on-site energy to save both electricity and related upstream water. For 'dry' electricity, there is a trade-off. Waste heat recovery brings energy circularity but has limited uses and is not the same energy quality, a fact not reflected by current metrics. A better metric would consider the avoided energy through heat recovery instead of the amount recovered. Material circularity can be achieved by interpreting the 9R framework in the context of DCs. Circularity-enhancing measures can be categorised into product design, process design and business models, choice of materials, and operating </w:t>
      </w:r>
    </w:p>
    <w:p>
      <w:pPr/>
      <w:r>
        <w:rPr>
          <w:b/>
        </w:rPr>
        <w:t>POSSIBLE 2026:</w:t>
      </w:r>
      <w:r>
        <w:t xml:space="preserve"> Tax harmonization and the innovation–FDI trade-off: A quantitative analysis — https://doi.org/10.1016/j.jimonfin.2026.103682</w:t>
      </w:r>
    </w:p>
    <w:p>
      <w:pPr/>
      <w:r>
        <w:rPr>
          <w:b/>
        </w:rPr>
        <w:t>Shared claim-specific concepts:</w:t>
      </w:r>
      <w:r>
        <w:t xml:space="preserve"> between, countries, interactions; EU scope visible. This is a provisional connection, not an outcome finding.</w:t>
      </w:r>
    </w:p>
    <w:p>
      <w:pPr>
        <w:pStyle w:val="SourceNote"/>
      </w:pPr>
      <w:r>
        <w:rPr>
          <w:b/>
        </w:rPr>
        <w:t>Available abstract (not full text):</w:t>
      </w:r>
      <w:r>
        <w:t xml:space="preserve"> This paper examines how international tax harmonization affects the trade-off between domestic innovation and foreign direct investment (FDI) in small open economies. We develop a Schumpeterian dynamic stochastic general equilibrium (S-DSGE) model featuring endogenous innovation by domestic firms and frontier technology entry by multinational enterprises (MNEs). The model distinguishes between headline and effective corporate tax rates and captures interactions between domestic R&amp;D and foreign firm entry. Focusing on Hungary and Ireland—two countries with low corporate tax rates and high FDI exposure—we simulate reforms inspired by the European Union’s global minimum tax initiative. Our results reveal that higher corporate taxes reduce FDI and frontier innovation and generate private welfare losses. At the same time, higher fiscal revenues and public spending can offset these losses in the model’s total welfare measure, although the magnitude of this effect depends on the assumptions governing the valuation and scaling of public goods. These findings underscore the importance of balancing dynamic efficiency, distributional considerations, and fiscal capacity in international tax policy.</w:t>
      </w:r>
    </w:p>
    <w:p>
      <w:pPr/>
      <w:r>
        <w:rPr>
          <w:b/>
        </w:rPr>
        <w:t>POSSIBLE 2026:</w:t>
      </w:r>
      <w:r>
        <w:t xml:space="preserve"> Between agroecological objectives and political realities: governance, structural constraints and trade-offs of transition in Tunisia — https://doi.org/10.3389/fsufs.2026.1755644</w:t>
      </w:r>
    </w:p>
    <w:p>
      <w:pPr/>
      <w:r>
        <w:rPr>
          <w:b/>
        </w:rPr>
        <w:t>Shared claim-specific concepts:</w:t>
      </w:r>
      <w:r>
        <w:t xml:space="preserve"> between, agenda, objectives, all, hinder; EU scope not established. This is a provisional connection, not an outcome finding.</w:t>
      </w:r>
    </w:p>
    <w:p>
      <w:pPr>
        <w:pStyle w:val="SourceNote"/>
      </w:pPr>
      <w:r>
        <w:rPr>
          <w:b/>
        </w:rPr>
        <w:t>Available abstract (not full text):</w:t>
      </w:r>
      <w:r>
        <w:t xml:space="preserve"> This paper explores the policy framework and the structural barriers that shape Tunisia’s transition to agroecology. The study builds on an analysis of strategies recently issued by the Ministry of Agriculture, Hydraulic Resources and Fisheries and the Ministry of Environment, complemented by a literature review, and insights from farmers collected from participatory workshops conducted under the NATAE project’s Living Lab in Siliana. Eleven strategies were selected and analyzed to identify explicit mention of agroecology and references to the 10 FAO elements of agroecology. For each element, the degree of integration within agricultural and environmental strategies was assessed. While only six strategies explicitly mention agroecology, agroecological FAO elements are embedded in all of them, reflecting the State’s increasing commitment to integrating this approach into its development agenda. Despite this awareness, several barriers hinder the effective transition. These include compartmentalized and disconnected policy visions, institutional weaknesses, and the exclusion of farmers from the decision-making process. Furthermore, the prioritization of food self-sufficiency policies, coupled with land tenure challenges and financial limitations, constrain the implementation of agroecology. The findings highlight a paradox: despite a long history of agroecological initiatives and</w:t>
      </w:r>
    </w:p>
    <w:p>
      <w:pPr>
        <w:pStyle w:val="Heading2"/>
      </w:pPr>
      <w:r>
        <w:t>543.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2026:</w:t>
      </w:r>
      <w:r>
        <w:t xml:space="preserve"> Estimated incidence and number of new cases with prenatal alcohol exposure and fetal alcohol spectrum disorders in Finland 1990–2025 — https://doi.org/10.1371/journal.pone.0349964</w:t>
      </w:r>
    </w:p>
    <w:p>
      <w:pPr/>
      <w:r>
        <w:rPr>
          <w:b/>
        </w:rPr>
        <w:t>Shared claim-specific concepts:</w:t>
      </w:r>
      <w:r>
        <w:t xml:space="preserve"> estimated, number, cases, until, use, between; EU scope visible. This is a provisional connection, not an outcome finding.</w:t>
      </w:r>
    </w:p>
    <w:p>
      <w:pPr>
        <w:pStyle w:val="SourceNote"/>
      </w:pPr>
      <w:r>
        <w:rPr>
          <w:b/>
        </w:rPr>
        <w:t>Available abstract (not full text):</w:t>
      </w:r>
      <w:r>
        <w:t xml:space="preserve"> BACKGROUND: Fetal alcohol spectrum disorders (FASD) arising from prenatal alcohol exposure (PAE) are the leading preventable cause of neurobehavioral disorders. Early pregnancy is particularly vulnerable to ethanol toxicity, yet alcohol use often continues until pregnancy recognition. In Finland, national incidence estimates of PAE and FASD remain limited. OBJECTIVE: To estimate the incidence of any PAE and heavy PAE in Finland between 1990 and 2025, and to model the annual number of children with FASD born in Finland. METHODS: We developed a mathematical modelling framework integrating studies on alcohol use during pregnancy in Finland, biomarker-based estimates of heavy PAE, national population statistics, and international active case ascertainment studies on FASD prevalence. Incidence of any PAE was estimated from self-reported alcohol use, including pre-recognition exposure. Heavy PAE was estimated by combining binge-drinking prevalence, delayed pregnancy recognition, biomarker data and anonymous self-reports. FASD incidence was modelled using two approaches: 1) an international multiplier linking FASD prevalence to heavy episodic drinking prevalence among women (Model M), and 2) a conventional epidemiological ratio between any PAE and FASD (Model L). RESULTS: Self-reported alcohol use during pregnancy declined following abstinence recommendations in the early 2000s, while</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pStyle w:val="Heading2"/>
      </w:pPr>
      <w:r>
        <w:t>544.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2026:</w:t>
      </w:r>
      <w:r>
        <w:t xml:space="preserve"> Assessing Urban Sustainable Competitiveness and Happiness From the Perspective of Socio‐Economic Environment — https://doi.org/10.1111/rode.70218</w:t>
      </w:r>
    </w:p>
    <w:p>
      <w:pPr/>
      <w:r>
        <w:rPr>
          <w:b/>
        </w:rPr>
        <w:t>Shared claim-specific concepts:</w:t>
      </w:r>
      <w:r>
        <w:t xml:space="preserve"> socio, environmental, multiple, based, approach; EU scope not established. This is a provisional connection, not an outcome finding.</w:t>
      </w:r>
    </w:p>
    <w:p>
      <w:pPr>
        <w:pStyle w:val="SourceNote"/>
      </w:pPr>
      <w:r>
        <w:rPr>
          <w:b/>
        </w:rPr>
        <w:t>Available abstract (not full text):</w:t>
      </w:r>
      <w:r>
        <w:t xml:space="preserve"> ABSTRACT This study examines the sustainable competitiveness of Taiwan's 22 counties and cities between 2016 and 2020. We develop and apply a parallel dynamic two‐stage slacks‐based measure data envelopment analysis framework that integrates Shannon entropy to measure sustainability performance across social, economic, and environmental dimensions, and to evaluate how effectively these outcomes translate into residents' quality of life. Our approach consolidates multiple indicators into subsystem‐specific measures while directionally adjusting for undesirable outputs—such as pollution, waste, and crime—thus ensuring that efficiency estimates fully reflect these critical constraints. The results reveal that persistent inefficiency in the economic subsystem represents the main barrier to sustainable competitiveness. In contrast, environmental governance and social inclusion exhibit a stronger, more direct relationship with well‐being. Spatial regression models further indicate that differences in quality of life are primarily explained by local governance capacity, with limited spillover effects from neighboring regions. A striking finding is that smaller, less industrialized jurisdictions frequently outperform major metropolitan areas, indicating that sustainable competitiveness stems not from administrative scale, but from balanced advancement across all sustainability domains.</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here, environmental, union, based;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Environmental and nutritional implications of replacing meat and dairy with alternatives — https://doi.org/10.1038/s44458-026-00075-1</w:t>
      </w:r>
    </w:p>
    <w:p>
      <w:pPr/>
      <w:r>
        <w:rPr>
          <w:b/>
        </w:rPr>
        <w:t>Shared claim-specific concepts:</w:t>
      </w:r>
      <w:r>
        <w:t xml:space="preserve"> here, environmental, implications; EU scope not established. This is a provisional connection, not an outcome finding.</w:t>
      </w:r>
    </w:p>
    <w:p>
      <w:pPr>
        <w:pStyle w:val="SourceNote"/>
      </w:pPr>
      <w:r>
        <w:rPr>
          <w:b/>
        </w:rPr>
        <w:t>Available abstract (not full text):</w:t>
      </w:r>
      <w:r>
        <w:t xml:space="preserve"> The environmental burden of meat and dairy has drawn attention to alternatives, although their capacity to fulfil similar dietary roles remains uncertain. Here, we evaluate the effects of replacing meat and jointly replacing meat and dairy with alternatives on the environmental impacts and nutrient profiles of current and recommended diets. We consolidate environmental inventory and food composition databases in a product- and diet-level analysis to evaluate various impact categories and nutrients. The results show that replacing meat with alternatives can lower environmental impacts by up to 52%, though adequate intake of some critical nutrients, particularly vitamin B12, needs to be ensured. Compared to dairy products, dairy alternatives more frequently lack nutrients, such as calcium and iodine, and certain ingredients, such as almond and coconut, may increase specific environmental impacts. Our findings highlight the challenges of reducing environmental impacts without compromising nutrition, with implications for high-income countries pursuing sustainable dietary transitions. Replacing meat with more sustainable alternatives can halve environmental impacts, but adequate intake of key nutrients such as vitamin B12 must be ensured, suggest integrated assessments of environmental inventories and food composition data.</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pStyle w:val="Heading2"/>
      </w:pPr>
      <w:r>
        <w:t>545.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AI as a contractor: an economy where transactions are concluded without humans — https://doi.org/10.36871/26189976.2026.06-4.007</w:t>
      </w:r>
    </w:p>
    <w:p>
      <w:pPr/>
      <w:r>
        <w:rPr>
          <w:b/>
        </w:rPr>
        <w:t>Shared claim-specific concepts:</w:t>
      </w:r>
      <w:r>
        <w:t xml:space="preserve"> conclude, potential, transformation; EU scope not established. This is a provisional connection, not an outcome finding.</w:t>
      </w:r>
    </w:p>
    <w:p>
      <w:pPr>
        <w:pStyle w:val="SourceNote"/>
      </w:pPr>
      <w:r>
        <w:rPr>
          <w:b/>
        </w:rPr>
        <w:t>Available abstract (not full text):</w:t>
      </w:r>
      <w:r>
        <w:t xml:space="preserve"> This article examines the phenomenon of an emerging economy driven by autonomous artificial intelligence systems acting as independent economic entities. It analyzes the transition from systems that execute human instructions to decentralized ecosystems where algorithms conclude transactions with one another. The study investigates the decision-making mechanisms of AI agents that possess their own resources and objective functions. Particular attention is paid to the transformation of traditional market relations within the context of a machine-to-machine economy. Emerging systemic risks–including potential algorithmic crises and legal regulation challenges–are also discussed. The article outlines key challenges associated with integrating non-human agents into the economic system and proposes avenues for future research.</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conclude, foresight, other;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pStyle w:val="Heading2"/>
      </w:pPr>
      <w:r>
        <w:t>546.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547.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548.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2026:</w:t>
      </w:r>
      <w:r>
        <w:t xml:space="preserve"> Climate and farming system dominate wheat yield responses across European pedoclimatic zones, despite widespread soil nutrient surpluses — https://doi.org/10.1007/s11104-026-08526-3</w:t>
      </w:r>
    </w:p>
    <w:p>
      <w:pPr/>
      <w:r>
        <w:rPr>
          <w:b/>
        </w:rPr>
        <w:t>Shared claim-specific concepts:</w:t>
      </w:r>
      <w:r>
        <w:t xml:space="preserve"> retention, reduced, tillage, average; EU scope visible. This is a provisional connection, not an outcome finding.</w:t>
      </w:r>
    </w:p>
    <w:p>
      <w:pPr>
        <w:pStyle w:val="SourceNote"/>
      </w:pPr>
      <w:r>
        <w:rPr>
          <w:b/>
        </w:rPr>
        <w:t>Available abstract (not full text):</w:t>
      </w:r>
      <w:r>
        <w:t xml:space="preserve"> Abstract Background and aims European wheat production faces the challenge of maintaining yields while reducing environmental impacts from agrochemicals. Organic farming is often considered a sustainable alternative to promote soil health and reduce chemical inputs. This study assessed nutrient status in wheat soils across nine European pedoclimatic zones, comparing conventional and organic systems and evaluating management practices such as crop rotation, tillage and fertilization type. Methods A total of 188 soils were analyzed for macro- and micronutrients, and wheat yield data were evaluated in relation to soil nutrients, climate, wheat type (winter- vs. spring-sown), and management using correlation, random forest, and regression analyses. Results Soils showed excess P, K, Mg, Cu, Fe, Mn, and Zn, but S and B deficiencies. Organic systems increased total N, while conventional farming enhanced nitrate, sulfate, and boron. Wheat yield was primarily driven by temperature, precipitation, wheat type (winter- vs. spring-sown), and farming system, with additional contributions from fertilization and nutrients (particularly exchangeable Ca, Fe, Mn, and Zn). On average, organic yields were 37% significantly lower than conventional, but these differences were smaller in Mediterranean zones due to reduced pest pressure and improved water retention and infiltration. Practices such as c</w:t>
      </w:r>
    </w:p>
    <w:p>
      <w:pPr/>
      <w:r>
        <w:rPr>
          <w:b/>
        </w:rPr>
        <w:t>POSSIBLE 2026:</w:t>
      </w:r>
      <w:r>
        <w:t xml:space="preserve"> A Review of Common Crop Residue Management Practices in Grain Production — https://doi.org/10.3390/agronomy16060625</w:t>
      </w:r>
    </w:p>
    <w:p>
      <w:pPr/>
      <w:r>
        <w:rPr>
          <w:b/>
        </w:rPr>
        <w:t>Shared claim-specific concepts:</w:t>
      </w:r>
      <w:r>
        <w:t xml:space="preserve"> residues, retention, reduced, tillage, approach; EU scope not established. This is a provisional connection, not an outcome finding.</w:t>
      </w:r>
    </w:p>
    <w:p>
      <w:pPr>
        <w:pStyle w:val="SourceNote"/>
      </w:pPr>
      <w:r>
        <w:rPr>
          <w:b/>
        </w:rPr>
        <w:t>Available abstract (not full text):</w:t>
      </w:r>
      <w:r>
        <w:t xml:space="preserve"> Crop residue plays a significant role on soil health, nutrient cycling, and crop yield, making residue management a key consideration in agricultural production. This review aims to synthesize current knowledge on two different aspects of crop residue in grain production systems: common management practices and their effects. A comprehensive literature survey was conducted using the Scopus database, covering worldwide publications from 1990 to 2025. First, this review explores various crop residue management practices, including burning, stubble retention, and different tillage methods (conservation tillage vs. conventional tillage). This section mainly focuses on tillage practices with an emphasis on the environmental, economic, and agronomic consequences of each approach. Then this review paper explores the effects of crop residue on soils and ecosystems, including the role of crop residues in improving soil quality and enhancing soil organic carbon sequestration. The interaction between crop residues and hydrological processes such as water infiltration and runoff is also examined in this section. The relationships between residue management practices and crop growth and yield responses are also critically assessed. This review highlights the shift from conventional, environmentally detrimental practices toward conservation-oriented approaches, especially reduced tillage, no</w:t>
      </w:r>
    </w:p>
    <w:p>
      <w:pPr/>
      <w:r>
        <w:rPr>
          <w:b/>
        </w:rPr>
        <w:t>POSSIBLE 2026:</w:t>
      </w:r>
      <w:r>
        <w:t xml:space="preserve"> Biodegradation of insecticide residue by lactic acid bacteria — https://doi.org/10.1038/s41598-025-34844-0</w:t>
      </w:r>
    </w:p>
    <w:p>
      <w:pPr/>
      <w:r>
        <w:rPr>
          <w:b/>
        </w:rPr>
        <w:t>Shared claim-specific concepts:</w:t>
      </w:r>
      <w:r>
        <w:t xml:space="preserve"> residues, reduced, over; EU scope not established. This is a provisional connection, not an outcome finding.</w:t>
      </w:r>
    </w:p>
    <w:p>
      <w:pPr>
        <w:pStyle w:val="SourceNote"/>
      </w:pPr>
      <w:r>
        <w:rPr>
          <w:b/>
        </w:rPr>
        <w:t>Available abstract (not full text):</w:t>
      </w:r>
      <w:r>
        <w:t xml:space="preserve"> The persistence of insecticide residues on food crops poses a significant risk to human health and the environment, necessitating effective residue mitigation strategies. This study evaluates the potential of lactic acid bacteria (LAB) strains, Lactobacillus pentosus and Lactococcus lactis subsp. lactis, for degrading residues of cyantraniliprole and chlorantraniliprole under laboratory conditions, and further assessed their degradation potential for cyantraniliprole under field conditions. Residue levels were quantified using liquid chromatography-tandem mass spectrometry, allowing precise measurement of degradation rates. In minimal broth, both strains reduced cyantraniliprole residues up to 33.07% and chlorantraniliprole residues by up to 23.44% over 12 days, with Lactobacillus pentosus demonstrating a higher degradation efficiency. Nutrient broth significantly enhanced biodegradation efficiency, with both LAB strains removing more than 98% of cyantraniliprole within 4 days and achieving complete degradation by 10th day. Controlled field evaluation demonstrated the practical efficacy of LAB application, where Lactobacillus pentosus and Lactococcus lactis reduced insecticide residues by up to 40.99 and 34.52% respectively, after 8 h of spraying. Overall, these findings highlight the potential of LAB as a natural, eco-friendly solution for mitigating pesticide residues in food</w:t>
      </w:r>
    </w:p>
    <w:p>
      <w:pPr/>
      <w:r>
        <w:rPr>
          <w:b/>
        </w:rPr>
        <w:t>POSSIBLE 2026:</w:t>
      </w:r>
      <w:r>
        <w:t xml:space="preserve"> Spectral Alert mining for Nontarget Screening of Contaminants and Residues — https://doi.org/10.26434/chemrxiv.15000999/v1</w:t>
      </w:r>
    </w:p>
    <w:p>
      <w:pPr/>
      <w:r>
        <w:rPr>
          <w:b/>
        </w:rPr>
        <w:t>Shared claim-specific concepts:</w:t>
      </w:r>
      <w:r>
        <w:t xml:space="preserve"> residues, approach, resolution; EU scope not established. This is a provisional connection, not an outcome finding.</w:t>
      </w:r>
    </w:p>
    <w:p>
      <w:pPr>
        <w:pStyle w:val="SourceNote"/>
      </w:pPr>
      <w:r>
        <w:rPr>
          <w:b/>
        </w:rPr>
        <w:t>Available abstract (not full text):</w:t>
      </w:r>
      <w:r>
        <w:t xml:space="preserve"> Nontargeted liquid chromatography high resolution tandem mass spectrometry approaches have gained substantial attention to detect unknown or unexpected contaminants in environmental and food safety analysis. With liquid chromatography high resolution tandem mass spectrometry routinely detecting thousands of features, prioritizing contaminant features through nontargeted screening remains a major challenge. Current approaches often trade interpretability for scalability, or vice versa. Using pesticides as a case study, we bridge this gap by applying MS2LDA 2.0 to around 5200 selected consensus mass spectra from public mass spectral libraries, extracting and curating 50 annotated Mass2Motif fragmentation patterns, here termed spectral alerts, that capture diverse pesticide substructures. When benchmarked against manually curated fragmentation patterns, spectral alerts retrieved a larger number of compounds containing the targeted pesticide substructures in MassBank. In tomato and orange samples spiked with a pesticide mixture, spectral alerts prioritized fewer than 1.7% of all detected features (between 5,194 and 7,523). Blank matrices produced at most three prioritized features, indicating a low false-positive rate. Although the current set of spectral alerts does not yet cover the full chemical diversity of pesticides and spectral alerts are no guarantee that all compounds cont</w:t>
      </w:r>
    </w:p>
    <w:p>
      <w:pPr>
        <w:pStyle w:val="Heading2"/>
      </w:pPr>
      <w:r>
        <w:t>549.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2026:</w:t>
      </w:r>
      <w:r>
        <w:t xml:space="preserve"> Embracing Emerging and Disruptive Technologies: A Multidimensional Strategy for Resilience and Innovation — https://doi.org/10.33423/mc9npf70</w:t>
      </w:r>
    </w:p>
    <w:p>
      <w:pPr/>
      <w:r>
        <w:rPr>
          <w:b/>
        </w:rPr>
        <w:t>Shared claim-specific concepts:</w:t>
      </w:r>
      <w:r>
        <w:t xml:space="preserve"> disruptive, contribution, two; EU scope not established. This is a provisional connection, not an outcome finding.</w:t>
      </w:r>
    </w:p>
    <w:p>
      <w:pPr>
        <w:pStyle w:val="SourceNote"/>
      </w:pPr>
      <w:r>
        <w:rPr>
          <w:b/>
        </w:rPr>
        <w:t>Available abstract (not full text):</w:t>
      </w:r>
      <w:r>
        <w:t xml:space="preserve"> This research addresses absorptive capacity in maintaining technological advantage amidst Emerging and Disruptive Technologies (EDTs). While traditional models focus on incremental integration, this study introduces the construct of transformative capability to account for the systemic reconfiguration necessitated by Artificial Intelligence and Big Data as two out of nine EDTs. Utilizing a structured policy research methodology, the study evaluates a purposive sample of 56 NATO policy documents, triangulated with semi-structured stakeholder interviews to identify high-priority catalysts for adoption. Findings identify four interconnected factors—technological, human, organizational, and societal—functioning as a recursive, systemic feedback loop. A distinctive contribution is the identification of the psychological unimaginability of EDTs as a primary barrier to diffusion, necessitating cognitive anchors through robust standardization, ethical governance and social institutionalization. By positioning ethics and societal assimilation as functional prerequisites, this research offers a multidimensional framework for fostering double-loop learning and organizational resilience in 21st-century defense ecosystems.</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pStyle w:val="Heading2"/>
      </w:pPr>
      <w:r>
        <w:t>550.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551.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552.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2026:</w:t>
      </w:r>
      <w:r>
        <w:t xml:space="preserve"> The Role of Sociodemographic Characteristics in Expert Perceptions of the Ecological Impacts of Forest Roads — https://doi.org/10.33904/ejfe.1929934</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This study examined whether experts’ perceptions of the ecological impacts of forest roads differed by age, gender, professional experience, and sector of employment. The research involved 120 participants from civil engineering, forestry engineering, landscape architecture, and urban and regional planning. Data were collected using a structured questionnaire consisting of three sections: sociodemographic characteristics, open-ended questions, and a set of 36 questionnaire statements specifically developed for this to assess expert perceptions of the ecological impacts of roads in natural ecosystems. The data were analysed using frequency analysis, the independent samples t-test, one-way analysis of variance (ANOVA), and post hoc multiple comparison tests. The findings indicated that participants generally had at least a moderate level of knowledge regarding the ecological impacts of forest roads. Significant differences in responses were observed by gender, age, professional experience, and sector of employment. In particular, differences in sociodemographic variables emerged for habitat integrity, fragmentation, stream improvement, road density, ecological design solutions, and wildlife corridors. The finding that most experts demonstrated at least a moderate knowledge suggests that sociodemographic differences in expert evaluations may provide useful input for improving ecol</w:t>
      </w:r>
    </w:p>
    <w:p>
      <w:pPr/>
      <w:r>
        <w:rPr>
          <w:b/>
        </w:rPr>
        <w:t>POSSIBLE 2026:</w:t>
      </w:r>
      <w:r>
        <w:t xml:space="preserve"> Exploring the Soundscape Perception of Streets: A Thematic Analysis of Focus Groups with Experts — https://doi.org/10.3390/su18094369</w:t>
      </w:r>
    </w:p>
    <w:p>
      <w:pPr/>
      <w:r>
        <w:rPr>
          <w:b/>
        </w:rPr>
        <w:t>Shared claim-specific concepts:</w:t>
      </w:r>
      <w:r>
        <w:t xml:space="preserve"> experts, perceptions, four, environmental; EU scope not established. This is a provisional connection, not an outcome finding.</w:t>
      </w:r>
    </w:p>
    <w:p>
      <w:pPr>
        <w:pStyle w:val="SourceNote"/>
      </w:pPr>
      <w:r>
        <w:rPr>
          <w:b/>
        </w:rPr>
        <w:t>Available abstract (not full text):</w:t>
      </w:r>
      <w:r>
        <w:t xml:space="preserve"> Street soundscapes significantly shape communities’ environmental perceptions, behaviour and urban sustainability. Previous research has mainly focused on physical and acoustic aspects, while limited attention has been given to emotional and behavioural dimensions. This study explores how expert participants perceive street soundscapes through personal, physical, behavioural, and emotional dimensions, using international online focus groups with soundscape experts, urban planners, and policymakers (n = 12). Analysis followed a deductive thematic approach establishing four main a priori themes, with additional inductive coding used to refine these themes. The findings reveal that perception is shaped by contextual, cultural, temporal, multisensory, and environmental affordance factors. Notably, silence was found to carry a dilemma—perceived as either safe or unsafe depending on pedestrian density—and religious and cultural soundmarks were identified as evoking place attachment and belonging, areas largely overlooked in existing literature. These soundscapes were associated with emotional responses, including comfort, safety, restoration, and belonging, and with pedestrian behaviour encompassing mobility choices, coping strategies, and social interactions. Furthermore, seven out of ten Healthy Streets metrics were directly referenced by participants, highlighting the close relati</w:t>
      </w:r>
    </w:p>
    <w:p>
      <w:pPr>
        <w:pStyle w:val="Heading2"/>
      </w:pPr>
      <w:r>
        <w:t>553.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2026:</w:t>
      </w:r>
      <w:r>
        <w:t xml:space="preserve"> Outdoor Learning in Europe: A Comparative Analysis of Selected Initiatives for Personal and Social Development — https://doi.org/10.3390/educsci16071158</w:t>
      </w:r>
    </w:p>
    <w:p>
      <w:pPr/>
      <w:r>
        <w:rPr>
          <w:b/>
        </w:rPr>
        <w:t>Shared claim-specific concepts:</w:t>
      </w:r>
      <w:r>
        <w:t xml:space="preserve"> developed, main; EU scope visible. This is a provisional connection, not an outcome finding.</w:t>
      </w:r>
    </w:p>
    <w:p>
      <w:pPr>
        <w:pStyle w:val="SourceNote"/>
      </w:pPr>
      <w:r>
        <w:rPr>
          <w:b/>
        </w:rPr>
        <w:t>Available abstract (not full text):</w:t>
      </w:r>
      <w:r>
        <w:t xml:space="preserve"> Outdoor learning has been used in different European contexts to support personal and social development. However, the ways in which these initiatives are organised and implemented can vary according to the target group, the educational purpose, and the local context. The aim of this study was to comparatively analyze selected Outdoor Learning initiatives for young people and adults in Europe, focusing on their main characteristics and on the forms of development they promote. A qualitative exploratory review was carried out using websites of educational networks, NGOs, training centers, and institutional projects. Seven initiatives were selected from an initial set of 27 cases identified through the search process. The selected initiatives were Venture Trust, Venture Out, Forest School, KOA Aventura, Moc Warmii, Die Seminarschneider, and LIFE Trekking. The results show a diversity of program durations, pedagogical approaches, and participant profiles, but also some common elements, such as experiential learning, reflection, cooperation, and contact with nature. The analysis suggests that Outdoor Learning initiatives may support different forms of personal and social development, although their design and aims are strongly influenced by the context in which they are developed.</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pStyle w:val="Heading2"/>
      </w:pPr>
      <w:r>
        <w:t>554.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2026:</w:t>
      </w:r>
      <w:r>
        <w:t xml:space="preserve"> Comparison of virtual energy sharing schemes for renewable energy communities under European regulations: A mixed-use case study in Italy — https://doi.org/10.1016/j.egyr.2026.109785</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The Renewable Energy Directive (RED II) introduced Renewable Energy Communities (RECs) as a mechanism to empower local actors in the energy transition through collective renewable energy sharing. European Member States have transposed RED II into diverse regulatory frameworks and incentive schemes, leading to different approaches to electricity sharing. This study analyses the techno-economic performance of a mixed-use REC composed of a university campus and a residential district, using City Energy Analyst to simulate six scenarios combining two virtual energy sharing schemes, Virtual Self-Consumption (VSC) and Virtual Net Metering (VNM), and three ownership configurations, ranging from a centralized external producer to a distribution of prosumers. Sensitivity analyses on PV sizing and electricity market prices are also performed. Results show that VSC schemes achieve higher energy performance than static VNM schemes due to more effective matching between generation and demand, while economic outcomes remain comparable across schemes. Compared to the baseline, energy sharing increases self-consumption by up to 35% in VSC schemes and up to 25% in VNM schemes, with revenue increases of up to 20% under both schemes. Configurations involving non-residential prosumers improve self-consumption and enable higher PV penetration without a proportional loss in economic viability. At th</w:t>
      </w:r>
    </w:p>
    <w:p>
      <w:pPr/>
      <w:r>
        <w:rPr>
          <w:b/>
        </w:rPr>
        <w:t>POSSIBLE 2026:</w:t>
      </w:r>
      <w:r>
        <w:t xml:space="preserve"> Assessment of Bottom Trawl Impacts on the Status of Seabed Communities in European Seas — https://doi.org/10.1111/faf.70054</w:t>
      </w:r>
    </w:p>
    <w:p>
      <w:pPr/>
      <w:r>
        <w:rPr>
          <w:b/>
        </w:rPr>
        <w:t>Shared claim-specific concepts:</w:t>
      </w:r>
      <w:r>
        <w:t xml:space="preserve"> objectives, community, use, provides, needed, sustainable; EU scope visible. This is a provisional connection, not an outcome finding.</w:t>
      </w:r>
    </w:p>
    <w:p>
      <w:pPr>
        <w:pStyle w:val="SourceNote"/>
      </w:pPr>
      <w:r>
        <w:rPr>
          <w:b/>
        </w:rPr>
        <w:t>Available abstract (not full text):</w:t>
      </w:r>
      <w:r>
        <w:t xml:space="preserve"> ABSTRACT Bottom trawling affects seabed habitats, but its large‐scale impacts remain poorly quantified. Assessment of trawling impacts is essential to support monitoring and achieving sustainability objectives under international conventions, sustainable development goals, and seafood certification programs. We present a Europe‐wide quantitative assessment of bottom trawling impacts, accounting for regional seabed‐community sensitivity drivers, across the Baltic, Atlantic, Mediterranean and Black Sea continental shelves. Using two risk‐based indicators of seabed status—Relative Benthic Status determined as benthic community biomass relative to seabed fauna carrying capacity (RBS tot ) and RBS sen (biomass of the 10% most sensitive fauna relative to carrying capacity)—we found substantial regional and habitat differences. The Black, Baltic and Aegean‐Levantine Seas showed low trawling intensity and high seabed status across habitats. In contrast, the Western Mediterranean, Ionian and Central Mediterranean and Adriatic Seas were the most severely impacted. Trawling affected the sensitive species biomass fraction more strongly than the total community biomass. RBS tot was in good condition (here chosen as RBS &gt; 75% for epifauna) for over 79% of habitat‐ecoregion combinations. In contrast, RBS sen met this threshold in only 46% of these. A strong correlation emerged between the mea</w:t>
      </w:r>
    </w:p>
    <w:p>
      <w:pPr>
        <w:pStyle w:val="Heading2"/>
      </w:pPr>
      <w:r>
        <w:t>555.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2026:</w:t>
      </w:r>
      <w:r>
        <w:t xml:space="preserve"> The drivers and the barriers of incoming remittance flows in Europe: Analysis at the regional level — https://doi.org/10.12775/bgss-2026-0011</w:t>
      </w:r>
    </w:p>
    <w:p>
      <w:pPr/>
      <w:r>
        <w:rPr>
          <w:b/>
        </w:rPr>
        <w:t>Shared claim-specific concepts:</w:t>
      </w:r>
      <w:r>
        <w:t xml:space="preserve"> corresponding, regional, demographic, findings, not, regions; EU scope visible. This is a provisional connection, not an outcome finding.</w:t>
      </w:r>
    </w:p>
    <w:p>
      <w:pPr>
        <w:pStyle w:val="SourceNote"/>
      </w:pPr>
      <w:r>
        <w:rPr>
          <w:b/>
        </w:rPr>
        <w:t>Available abstract (not full text):</w:t>
      </w:r>
      <w:r>
        <w:t xml:space="preserve"> The paper compiles a Poisson Pseudo-Maximum Likelihood econometric model aiming at detecting and assessing the drivers and the barriers of incoming remittance flows in Europe. The analysis focuses on 297 NUTS 2 level regions and covers the period 2010–2018. For the needs of the analysis, the paper compiles a dataset with interregional remittance flows “regionalising” the corresponding country-level data. The findings of the paper offer substantial insight into the roles of economic, demographic, geographical and institutional factors, not only enriching the discourse in economic integration theory but also presenting practical implications for policymakers engaged in regional economic planning and integration strategies.</w:t>
      </w:r>
    </w:p>
    <w:p>
      <w:pPr/>
      <w:r>
        <w:rPr>
          <w:b/>
        </w:rPr>
        <w:t>POSSIBLE 2026:</w:t>
      </w:r>
      <w:r>
        <w:t xml:space="preserve"> Nowcasting maps of F2-layer basic maximum usable frequency and corresponding skip distances over the European region — https://doi.org/10.1016/j.asr.2026.09.053</w:t>
      </w:r>
    </w:p>
    <w:p>
      <w:pPr/>
      <w:r>
        <w:rPr>
          <w:b/>
        </w:rPr>
        <w:t>Shared claim-specific concepts:</w:t>
      </w:r>
      <w:r>
        <w:t xml:space="preserve"> calculate, corresponding, not; EU scope visible. This is a provisional connection, not an outcome finding.</w:t>
      </w:r>
    </w:p>
    <w:p>
      <w:pPr>
        <w:pStyle w:val="SourceNote"/>
      </w:pPr>
      <w:r>
        <w:rPr>
          <w:b/>
        </w:rPr>
        <w:t>Available abstract (not full text):</w:t>
      </w:r>
      <w:r>
        <w:t xml:space="preserve"> This work presents the IRI&amp;LKW new UP procedure, which generates nowcasting maps of the F2-layer basic maximum usable frequency (MUF) and corresponding skip distances over Europe. IRI&amp;LKW new UP is a four-step procedure based on: (1) deriving two effective values of the 12-month running mean of the sunspot number ( R 12) according to autoscaled fo F2 and M (3000)F2 ionosonde measurements; (2) using these two values of R 12 as input for the International Reference Ionosphere (IRI) model to calculate the ordinary critical frequencies fo E and fo F2 of the E and F2 layers, respectively, and the obliquity factor M (3000)F2; (3) feeding the Lockwood algorithm with these values of fo E, fo F2, and M (3000)F2 to compute a discrete grid of MUF values; and (4) mapping these grids of values to generate nowcasting maps of MUF and corresponding skip distances. The maps cover the European sector from 9°W to 45°E in longitude and from 34°N to 65°N in latitude, with a 1°×1° spatial resolution, with 15-minute time resolution. They are centered on six selected transmitting points: Stockholm (18.1°E, 59.3°N), Warsaw (21.1°E, 52.2°N), Pruhonice (14.6°E, 50.0°N), Paris (2.3°E, 48.8°N), Rome (12.5°E, 41.9°N), and Athens (23.7°E, 37.9°N). The internal consistency of the IRI&amp;LKW new UP procedure and its sensitivity to storm-time departures from climatology are assessed by comparing MUF maps retrospec</w:t>
      </w:r>
    </w:p>
    <w:p>
      <w:pPr/>
      <w:r>
        <w:rPr>
          <w:b/>
        </w:rPr>
        <w:t>POSSIBLE 2026:</w:t>
      </w:r>
      <w:r>
        <w:t xml:space="preserve"> The effects of family caregiving on depression outcomes among older adults in Europe — https://doi.org/10.82308/55794</w:t>
      </w:r>
    </w:p>
    <w:p>
      <w:pPr/>
      <w:r>
        <w:rPr>
          <w:b/>
        </w:rPr>
        <w:t>Shared claim-specific concepts:</w:t>
      </w:r>
      <w:r>
        <w:t xml:space="preserve"> estimation, not; EU scope visible. This is a provisional connection, not an outcome finding.</w:t>
      </w:r>
    </w:p>
    <w:p>
      <w:pPr>
        <w:pStyle w:val="SourceNote"/>
      </w:pPr>
      <w:r>
        <w:rPr>
          <w:b/>
        </w:rPr>
        <w:t>Available abstract (not full text):</w:t>
      </w:r>
      <w:r>
        <w:t xml:space="preserve"> BackgroundWith adults aged 60 and over projected to comprise 22% of the global population by 2050, the reliance on unpaid family caregiving is increasing, as most care work for older adults is done by family members. Existing studies estimating the mental health consequences of caregiving often apply traditional regression adjustment approaches; however, this approach is likely biased when a confounder is influenced by prior caregiving status. This project evaluates the effect of caregiving on depression using g-methods to account for time-varying confounding and further examines the effects of paid family leave (PFL) policies in different European countries on the depression and quality of life measures using a difference-in-differences (DiD) approach. Objectives• Estimate the causal effect of caregiving on probable depression using an inverse probability weighted (IPW) marginal structural model (MSM).• Assess the cumulative effect of caregiving on depression and simulate the effect of an unconditional cash transfer policy using the parametric g-formula.• Evaluate the impact of national paid family leave (PFL) policies on caregivers’ depression and quality of life outcomes using a DiD approach.MethodsAll analyses used harmonized data from 8 waves (2004–2022) of the Survey of Health, Ageing and Retirement in Europe (SHARE) of adults aged 50 or above. Caregiving exposure was cat</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pStyle w:val="Heading2"/>
      </w:pPr>
      <w:r>
        <w:t>556.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2026:</w:t>
      </w:r>
      <w:r>
        <w:t xml:space="preserve"> The Inoperability of Investment Treaties within Europe: CJEU Jurisprudence and Its Impact on Investment Arbitration — https://openalex.org/W7113066800</w:t>
      </w:r>
    </w:p>
    <w:p>
      <w:pPr/>
      <w:r>
        <w:rPr>
          <w:b/>
        </w:rPr>
        <w:t>Shared claim-specific concepts:</w:t>
      </w:r>
      <w:r>
        <w:t xml:space="preserve"> presents, union, context; EU scope visible. This is a provisional connection, not an outcome finding.</w:t>
      </w:r>
    </w:p>
    <w:p>
      <w:pPr>
        <w:pStyle w:val="SourceNote"/>
      </w:pPr>
      <w:r>
        <w:rPr>
          <w:b/>
        </w:rPr>
        <w:t>Available abstract (not full text):</w:t>
      </w:r>
      <w:r>
        <w:t xml:space="preserve"> Starting with Van Gend en Loos, the Court of Justice of the European (hereinafter "CJEU") has played an important role in ensuring that the European legal order is consistent with international law. 3 However, some CJEU decisions potentially contradict EU Member States' obligations under investment treaties.Beginning with the landmark ruling in the Achmea case, the much-discussed Komstroy line of decisions further demonstrates the incompatibility between the European Union legal order and the obligations that Member States have undertaken in certain international treaties.4 This article argues that the jurisprudence of the CJEU had a reverse effect on the application of the competence-competence and arbitrability principles within the EU in the context of arbitral jurisdiction.Specifically, when matters involving European Union law are at stake, the principles are applied more restrictively than in the United States or other jurisdictions globally.As a result, arbitral tribunals are effectively deprived of the authority to determine their jurisdiction when interpreting or applying EU law.In such cases, the answer to whether arbitral tribunals may assert jurisdiction becomes, by default, negative.Moreover, it decreased the scope of matters that are arbitrable.As discussed in this article, all these developments arising from recent CJEU judgments further exacerbate the legitimacy</w:t>
      </w:r>
    </w:p>
    <w:p>
      <w:pPr/>
      <w:r>
        <w:rPr>
          <w:b/>
        </w:rPr>
        <w:t>POSSIBLE 2026:</w:t>
      </w:r>
      <w:r>
        <w:t xml:space="preserve"> Internal Audit Function and Investment Efficiency in Nigerian Manufacturing Companies — https://doi.org/10.67862/nahj.2026.9qpm39t7</w:t>
      </w:r>
    </w:p>
    <w:p>
      <w:pPr/>
      <w:r>
        <w:rPr>
          <w:b/>
        </w:rPr>
        <w:t>Shared claim-specific concepts:</w:t>
      </w:r>
      <w:r>
        <w:t xml:space="preserve"> presents, efficiency, context; EU scope not established. This is a provisional connection, not an outcome finding.</w:t>
      </w:r>
    </w:p>
    <w:p>
      <w:pPr>
        <w:pStyle w:val="SourceNote"/>
      </w:pPr>
      <w:r>
        <w:rPr>
          <w:b/>
        </w:rPr>
        <w:t>Available abstract (not full text):</w:t>
      </w:r>
      <w:r>
        <w:t xml:space="preserve"> This study examined the relationship between Internal Audit Function (risk management, internal control, governance) and Investment Efficiency in Nigerian manufacturing companies. Globally, investment efficiency is recognized as vital in the financial success and sustainability of businesses across various industries. Despite this recognized importance, there is scant research specifically examining its determinants. While internal audit is widely acknowledged as a critical function within organizations, its specific role in influencing investment efficiency remains largely unexplored, particularly in the context of Nigerian manufacturing companies. This knowledge gap presents a significant challenge for manufacturing companies seeking to enhance investment decision-making processes and sustainable growth within the sector, hence this research. The study employed a cross-sectional field survey research design and primary data was used. Data was collected through the administration of copies of questionnaire to staff of selected companies. Population of the study comprised 1,959 staff of the 4 manufacturing companies examined - two in the southern and the other two in the northern part of the country. Slovin’s formula was used to determine a sample size of 332. Multiple Linear Regression was applied. Result revealed that there is significant relationship between risk management,</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pStyle w:val="Heading2"/>
      </w:pPr>
      <w:r>
        <w:t>557.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558.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pollution, increase, population;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r>
        <w:rPr>
          <w:b/>
        </w:rPr>
        <w:t>POSSIBLE 2026:</w:t>
      </w:r>
      <w:r>
        <w:t xml:space="preserve"> Environmental courts, industrial pollution, and grain production: the reach of judicial environmental enforcement in Chinese cities — https://doi.org/10.3389/fsufs.2026.1939331</w:t>
      </w:r>
    </w:p>
    <w:p>
      <w:pPr/>
      <w:r>
        <w:rPr>
          <w:b/>
        </w:rPr>
        <w:t>Shared claim-specific concepts:</w:t>
      </w:r>
      <w:r>
        <w:t xml:space="preserve"> pollution, cities, expected; EU scope not established. This is a provisional connection, not an outcome finding.</w:t>
      </w:r>
    </w:p>
    <w:p>
      <w:pPr>
        <w:pStyle w:val="SourceNote"/>
      </w:pPr>
      <w:r>
        <w:rPr>
          <w:b/>
        </w:rPr>
        <w:t>Available abstract (not full text):</w:t>
      </w:r>
      <w:r>
        <w:t xml:space="preserve"> Judicial environmental enforcement operates through litigation, therefore the entitlements it protects are only binding when a discharge can be traced to an identified source within the jurisdiction that adjudicates it. This delineation logic implies that specialized environmental courts reduce pollution selectively, and that their reach stops short of sectors they do not adjudicate. The second implication is important for food systems, because increasing environmental governance in agrarian economies is widely expected to cost local food production. We test both using the staggered establishment of environmental courts in Chinese prefecture-level cities during 2003–2018, utilizing a common sample of 4,168 city-year data from 285 cities, 109 of which had a court. Two-way fixed-effects and Callaway–Sant’Anna estimates are shown on identical samples, together with a balanced panel, event-time paths, adoption-hazard and trend diagnostics, and HonestDiD sensitivity. Both estimators include industrial wastewater density, which is a point-source discharge that occurs within municipal boundaries. Sulfur dioxide, which disperses across jurisdictions, is only considered in pooled estimate, and the formal contrast between the two responses is negative in every cohort-aware specification. Sensitivity analysis limits how far these conclusions travel: the wastewater sign holds under trend a</w:t>
      </w:r>
    </w:p>
    <w:p>
      <w:pPr/>
      <w:r>
        <w:rPr>
          <w:b/>
        </w:rPr>
        <w:t>POSSIBLE 2026:</w:t>
      </w:r>
      <w:r>
        <w:t xml:space="preserve"> Prioritizing light-vehicle electrification cities through real-world pollution-based GIS assessment — https://doi.org/10.1016/j.trd.2026.105242</w:t>
      </w:r>
    </w:p>
    <w:p>
      <w:pPr/>
      <w:r>
        <w:rPr>
          <w:b/>
        </w:rPr>
        <w:t>Shared claim-specific concepts:</w:t>
      </w:r>
      <w:r>
        <w:t xml:space="preserve"> pollution, cities, strategies; EU scope visible. This is a provisional connection, not an outcome finding.</w:t>
      </w:r>
    </w:p>
    <w:p>
      <w:pPr>
        <w:pStyle w:val="SourceNote"/>
      </w:pPr>
      <w:r>
        <w:rPr>
          <w:b/>
        </w:rPr>
        <w:t>Available abstract (not full text):</w:t>
      </w:r>
      <w:r>
        <w:t xml:space="preserve"> • Geo-based simulation of traffic patterns in a densely populated region. • Road-level estimation of pollutant emissions using graph-based methods. • Calculation of a traffic-weighted mobility index with municipal resolution. • Multi-criteria evaluation of localized environmental impact indicators. Achieving decarbonization targets requires major reductions in fossil-fuel use. Electrifying light-duty vehicles offers substantial environmental benefits, yet quantifying these gains is challenging due to heterogeneous traffic patterns and pollution levels. This study introduces a GIS-based method that maps pollutant emissions and traffic volumes onto the road network to produce municipal-level mobility-impact indexes. Daily travel routines derived from mobility surveys are combined with real pollution maps to compute segment-level emissions, which are then aggregated for spatial comparison and policy prioritisation. Applied to Lombardy, Italy, the method shows that although Milan and other dense cities benefit markedly, numerous peri-urban and semi-rural municipalities also show high potential due to large intermunicipal commuting flows. Overall, 13% of municipalities are classified as highest-priority areas, accounting for nearly a quarter of regional traffic-related emissions. The results reveal non-linear urbanisation-benefit relationships and underscore the need to include less</w:t>
      </w:r>
    </w:p>
    <w:p>
      <w:pPr/>
      <w:r>
        <w:rPr>
          <w:b/>
        </w:rPr>
        <w:t>POSSIBLE 2026:</w:t>
      </w:r>
      <w:r>
        <w:t xml:space="preserve"> Fostering energy transition and transport fluidity in European port cities — https://doi.org/10.4324/9781003639589-3</w:t>
      </w:r>
    </w:p>
    <w:p>
      <w:pPr/>
      <w:r>
        <w:rPr>
          <w:b/>
        </w:rPr>
        <w:t>Shared claim-specific concepts:</w:t>
      </w:r>
      <w:r>
        <w:t xml:space="preserve"> pollution, energy, cities;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pStyle w:val="Heading2"/>
      </w:pPr>
      <w:r>
        <w:t>559.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2026:</w:t>
      </w:r>
      <w:r>
        <w:t xml:space="preserve"> Monetary standardization in the European Union — https://doi.org/10.47772/ijriss.2026.10100071</w:t>
      </w:r>
    </w:p>
    <w:p>
      <w:pPr/>
      <w:r>
        <w:rPr>
          <w:b/>
        </w:rPr>
        <w:t>Shared claim-specific concepts:</w:t>
      </w:r>
      <w:r>
        <w:t xml:space="preserve"> union, role, promoting; EU scope visible. This is a provisional connection, not an outcome finding.</w:t>
      </w:r>
    </w:p>
    <w:p>
      <w:pPr>
        <w:pStyle w:val="SourceNote"/>
      </w:pPr>
      <w:r>
        <w:rPr>
          <w:b/>
        </w:rPr>
        <w:t>Available abstract (not full text):</w:t>
      </w:r>
      <w:r>
        <w:t xml:space="preserve"> This study investigates the design and production of Euro banknotes and coins, focusing on their role in shaping European identity, enhancing security, and promoting sustainability. The aim is to explore how integrating advanced security features with culturally rich narratives can transform the Euro into a symbol of unity and environmental responsibility. The research employs a mixed-methods approach, combining a comprehensive literature review, case studies of successful currency designs from various regions, and qualitative data gathered through surveys and interviews with stakeholders, including central bankers, designers, and the public. Findings indicate that the current design elements of Euro currency significantly influence public perceptions of European identity, with a strong preference for incorporating cultural and historical motifs. Additionally, the study reveals that advanced security features can enhance the durability and trustworthiness of the Euro, while environmentally sustainable materials can be adopted to reduce the ecological footprint of currency production. Overall, the conclusions suggest that a reimagined Euro, which harmonizes design, security, and sustainability, can serve not only as a medium of exchange but also as a powerful vehicle for fostering a shared European identity. This approach has the potential to enhance public trust in the currency</w:t>
      </w:r>
    </w:p>
    <w:p>
      <w:pPr/>
      <w:r>
        <w:rPr>
          <w:b/>
        </w:rPr>
        <w:t>POSSIBLE 2026:</w:t>
      </w:r>
      <w:r>
        <w:t xml:space="preserve"> role of economic development and quality of governance in enhancing digitalization in the European Union — https://doi.org/10.61089/abej.2026.4.208</w:t>
      </w:r>
    </w:p>
    <w:p>
      <w:pPr/>
      <w:r>
        <w:rPr>
          <w:b/>
        </w:rPr>
        <w:t>Shared claim-specific concepts:</w:t>
      </w:r>
      <w:r>
        <w:t xml:space="preserve"> union, role, strategies; EU scope visible. This is a provisional connection, not an outcome finding.</w:t>
      </w:r>
    </w:p>
    <w:p>
      <w:pPr>
        <w:pStyle w:val="SourceNote"/>
      </w:pPr>
      <w:r>
        <w:rPr>
          <w:b/>
        </w:rPr>
        <w:t>Available abstract (not full text):</w:t>
      </w:r>
      <w:r>
        <w:t xml:space="preserve"> This study addresses the underrepresentation of empirical research on female entrepreneurship in informal urban settlements in the Western Cape, South Africa. The objective of this research is to explore the entrepreneurial challenges and opportunities encountered by women managing businesses in the Masiphumelele informal settlement in Cape Town and to establish a context-specific multi-pillar empowerment framework that enhances the viability of their businesses. The research adopted a qualitative, interpretivist research design that entailed carrying out semi-structured interviews with 17 female entrepreneurs recruited through purposive and convenience sampling. The data were analysed using a hybrid inductive–deductive thematic analysis supported by QSR NVivo 12 Pro. Three interconnected themes emerged: entrepreneurial challenges, including financial exclusion, inadequate business space, digital literacy deficits, family responsibility, crime, and load-shedding; opportunities for business sustainability, encompassing new equipment, mentorship, digital platforms, and tourism access; and strategies for overcoming challenges, including diversification, social media marketing, and peer networking. Financial constraints are identified as the most pervasive barrier, cited by 15 of 17 participants. The study demonstrates that these barriers operate through a compounding dynamic in wh</w:t>
      </w:r>
    </w:p>
    <w:p>
      <w:pPr>
        <w:pStyle w:val="Heading2"/>
      </w:pPr>
      <w:r>
        <w:t>560.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2025:</w:t>
      </w:r>
      <w:r>
        <w:t xml:space="preserve"> A functionally graded Green-Naghdi (type-III) thermoelastic medium with varying properties along two directions — https://doi.org/10.1007/s00161-025-01395-8</w:t>
      </w:r>
    </w:p>
    <w:p>
      <w:pPr/>
      <w:r>
        <w:rPr>
          <w:b/>
        </w:rPr>
        <w:t>Shared claim-specific concepts:</w:t>
      </w:r>
      <w:r>
        <w:t xml:space="preserve"> varying, directions, between; EU scope not established. This is a provisional connection, not an outcome finding.</w:t>
      </w:r>
    </w:p>
    <w:p>
      <w:pPr>
        <w:pStyle w:val="SourceNote"/>
      </w:pPr>
      <w:r>
        <w:rPr>
          <w:b/>
        </w:rPr>
        <w:t>Available abstract (not full text):</w:t>
      </w:r>
      <w:r>
        <w:t xml:space="preserve"> Abstract This study examines the two-dimensional deformation of a functionally graded Green Naghdi (type-III) thermoelastic half-space under hydrostatic initial stress. The material properties of the medium are assumed to vary along two directions. Such type of problem has not been attempted earlier. Using the normal mode technique, analytical expressions for displacement components, temperature distribution, and force stress are derived. The numerical evaluation of these field variables reveals the impact of initial stress and material inhomogeneity on thermoelastic behavior. Graphical representations illustrate the variations in displacement and stress fields, emphasizing the intricate interplay between mechanical and thermal responses. These findings provide valuable insights for stress-strain analysis and the design of advanced engineering materials in thermoelastic applications.</w:t>
      </w:r>
    </w:p>
    <w:p>
      <w:pPr/>
      <w:r>
        <w:rPr>
          <w:b/>
        </w:rPr>
        <w:t>POSSIBLE 2025:</w:t>
      </w:r>
      <w:r>
        <w:t xml:space="preserve"> Challenges and Future Directions — https://doi.org/10.1002/9781394279401.ch17</w:t>
      </w:r>
    </w:p>
    <w:p>
      <w:pPr/>
      <w:r>
        <w:rPr>
          <w:b/>
        </w:rPr>
        <w:t>Shared claim-specific concepts:</w:t>
      </w:r>
      <w:r>
        <w:t xml:space="preserve"> directions, within, discussion, need, solutions; EU scope not established. This is a provisional connection, not an outcome finding.</w:t>
      </w:r>
    </w:p>
    <w:p>
      <w:pPr>
        <w:pStyle w:val="SourceNote"/>
      </w:pPr>
      <w:r>
        <w:rPr>
          <w:b/>
        </w:rPr>
        <w:t>Available abstract (not full text):</w:t>
      </w:r>
      <w:r>
        <w:t xml:space="preserve"> Embedding Internet of Things (IoT) technologies within smart grid systems signals a significant capability for energy management and distribution efficiency, ensuring better utility operations. At the same time, this transition brings a whole new set of challenges in security, privacy, scalability, and standardization, all of which will need to be addressed with expert technical solutions to maximize the potential benefits of transactive IoT systems. This chapter provides a closer look at security and privacy issues highlighted by the decentralized aspect of transactive systems. It discusses the critical role of the rigorous cybersecurity framework in secure data exchange and end-user privacy. These systems can scale effectively without sacrificing performance or security as the sprawl of IoT devices continues on a larger scale, and the problems faced by the lack of standardized protocols often inhibit seamless integration across different platforms and geographies. In addition, this chapter explores several ongoing trends, such as encrypted transaction support by blockchain technology and intelligent energy distribution utilizing artificial intelligence (AI), which can eliminate the existing drawbacks, reduce the current limitations, and expedite the potential technological advancement into smart grid systems. This leads to the discussion and thus sheds light on potential stra</w:t>
      </w:r>
    </w:p>
    <w:p>
      <w:pPr>
        <w:pStyle w:val="Heading2"/>
      </w:pPr>
      <w:r>
        <w:t>561.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2025:</w:t>
      </w:r>
      <w:r>
        <w:t xml:space="preserve"> Business Ethics in Europe: What Can We Learn from Each Other? — https://doi.org/10.5465/amproc.2025.21213symposium</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The proposed panel symposium focuses on business ethics Europe and aims (1) to identify the commonalities and particularities of business ethics in European countries and (2) to investigate “what we can learn from each other?” Reporters from European countries are invited to participate in-person. The conversation is structured in line with the Global Business Ethics Study 2022-2024 framework that was developed in consultation with approximately 100 experts of business ethics around the world and makes the country-reports comparable with each other. Given the limitation of this overview, only a few features will be selected in the panel discussion by each presenter. The framework distinguishes three areas of business ethics activities: teaching and research in academia, and training in business enterprises. The “horizon of business ethics” includes 13 themes (to which reporters could add further themes relevant for their own countries): Business and Human Rights / Business and Sustainability / Business and Just Energy Transition / Business and Wealth Creation / Corporate Governance / Digital Transformation / Corruption / Whistleblowing / Conflict and Terrorism / Religion and Spirituality / Diversity / Micro, Small and Medium Enterprises (MSME) / Leadership and Ethics Management. Each reporter had to prioritize these themes on the scale of “very important” / “important” / “neutr</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r>
        <w:rPr>
          <w:b/>
        </w:rPr>
        <w:t>POSSIBLE 2023:</w:t>
      </w:r>
      <w:r>
        <w:t xml:space="preserve"> A person‐centred approach to enhance the long‐term health and wellbeing of people living with HIV in Europe — https://doi.org/10.1002/jia2.26117</w:t>
      </w:r>
    </w:p>
    <w:p>
      <w:pPr/>
      <w:r>
        <w:rPr>
          <w:b/>
        </w:rPr>
        <w:t>Shared claim-specific concepts:</w:t>
      </w:r>
      <w:r>
        <w:t xml:space="preserve"> ways, union, able, long-term, targets; EU scope visible. This is a provisional connection, not an outcome finding.</w:t>
      </w:r>
    </w:p>
    <w:p>
      <w:pPr>
        <w:pStyle w:val="SourceNote"/>
      </w:pPr>
      <w:r>
        <w:rPr>
          <w:b/>
        </w:rPr>
        <w:t>Available abstract (not full text):</w:t>
      </w:r>
      <w:r>
        <w:t xml:space="preserve">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pPr>
        <w:pStyle w:val="Heading2"/>
      </w:pPr>
      <w:r>
        <w:t>562.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2026:</w:t>
      </w:r>
      <w:r>
        <w:t xml:space="preserve"> Who Belongs the Border? Narratives and Counter-Narratives of Migration in Southern European Border Societies — https://doi.org/10.35662/unine-thesis-3258</w:t>
      </w:r>
    </w:p>
    <w:p>
      <w:pPr/>
      <w:r>
        <w:rPr>
          <w:b/>
        </w:rPr>
        <w:t>Shared claim-specific concepts:</w:t>
      </w:r>
      <w:r>
        <w:t xml:space="preserve"> societies, fully, use; EU scope visible. This is a provisional connection, not an outcome finding.</w:t>
      </w:r>
    </w:p>
    <w:p>
      <w:pPr>
        <w:pStyle w:val="SourceNote"/>
      </w:pPr>
      <w:r>
        <w:rPr>
          <w:b/>
        </w:rPr>
        <w:t>Available abstract (not full text):</w:t>
      </w:r>
      <w:r>
        <w:t xml:space="preserve"> I will write my acknowledgements in the language of each person I want to mention.In some cases, this is the language I have used throughout my experience with them, and which I therefore prefer to use.In other cases, it is the language these people understand best, since I want them to fully understand what I've written about them.Un ringraziamento speciale va al mio supervisore di tesi, Matteo Gianni, per la sua costante fiducia e il suo supporto in questo percorso faticoso.Si tratta di una fiducia riposta in me da Matteo, nel selezionarmi come parte di questo progetto nccr, presente dall'inizio alla fine e fondamentale per la continuazione di questa esperienza, soprattutto nei suoi momenti più duri.Matteo ha dato la possibilità a una studentessa interdisciplinare (sappiamo che è una parola che piace usare in accademia, molto più nel discorso che nella pratica), studentessa che non definirei eccellente secondo rigidi standard accademici e non propriamente esperta di teoria politica.Matteo ha preso questo rischio e lo ringrazio per la sua apertura e curiosità.Ricorderò per sempre ciò che ha fatto per me in questi anni, dalla mia selezione a giugno 2022 fino ad oggi.E spero di poter avere l'onore di lavorare ancora con lui in futuro.En segundo lugar, y no en términos de importancia ni de influencia en mi trabajo, quiero agradecer a mi compañera y mentora, que se ha convertido e</w:t>
      </w:r>
    </w:p>
    <w:p>
      <w:pPr>
        <w:pStyle w:val="Heading2"/>
      </w:pPr>
      <w:r>
        <w:t>563.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Evaluating Alpha-1 Antitrypsin Deficiency testing across Europe to ensure diagnostic accuracy: an EARCO multicentre project — https://doi.org/10.1186/s12931-026-03796-y</w:t>
      </w:r>
    </w:p>
    <w:p>
      <w:pPr/>
      <w:r>
        <w:rPr>
          <w:b/>
        </w:rPr>
        <w:t>Shared claim-specific concepts:</w:t>
      </w:r>
      <w:r>
        <w:t xml:space="preserve"> background, concentrations, demonstrated; EU scope visible. This is a provisional connection, not an outcome finding.</w:t>
      </w:r>
    </w:p>
    <w:p>
      <w:pPr>
        <w:pStyle w:val="SourceNote"/>
      </w:pPr>
      <w:r>
        <w:rPr>
          <w:b/>
        </w:rPr>
        <w:t>Available abstract (not full text):</w:t>
      </w:r>
      <w:r>
        <w:t xml:space="preserve"> BACKGROUND: Alpha-1 Antitrypsin Deficiency (AATD) is a rare, underdiagnosed genetic disorder caused by pathogenic variants of the SERPINA1 gene, which can lead to reduced levels and/or dysfunctional forms of the Alpha-1 Antitrypsin (AAT) protein. Accurate AATD diagnosis is critical due to its implications for pulmonary and hepatic health. However, diagnostic practices vary across laboratories, particularly in the detection and reporting of rare variants. This study aimed to evaluate the consistency and reliability of AATD diagnostic testing across European laboratories through a non-commercial external quality assessment (EQA)-like initiative. METHODS: Seven European laboratories participated in six assessment rounds between 2019 and 2021. Each round involved blinded analysis of serum and dried blood spot (DBS) samples using local standard operating procedures. Tests included AAT and C-reactive protein quantification, isoelectric focusing for AAT phenotyping, and genotyping/sequencing for common and rare SERPINA1 variants. Interrater agreement was assessed using Fleiss' kappa statistic. Allele error rates were calculated for each variant and Kruskal-Wallis tests were used to compare AAT concentrations across laboratories. RESULTS: [p.P393S]) was inconsistent, with error rates ranging from 0.14 to 0.29. Sequencing was more effective than phenotyping or simple genotyping for rare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pStyle w:val="Heading2"/>
      </w:pPr>
      <w:r>
        <w:t>564.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565.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2026:</w:t>
      </w:r>
      <w:r>
        <w:t xml:space="preserve"> Driving the circular economy: How artificial intelligence could empower transportation and logistics companies to lead the transition — https://doi.org/10.1016/j.clscn.2026.100300</w:t>
      </w:r>
    </w:p>
    <w:p>
      <w:pPr/>
      <w:r>
        <w:rPr>
          <w:b/>
        </w:rPr>
        <w:t>Shared claim-specific concepts:</w:t>
      </w:r>
      <w:r>
        <w:t xml:space="preserve"> driving, potential, current; EU scope not established. This is a provisional connection, not an outcome finding.</w:t>
      </w:r>
    </w:p>
    <w:p>
      <w:pPr>
        <w:pStyle w:val="SourceNote"/>
      </w:pPr>
      <w:r>
        <w:rPr>
          <w:b/>
        </w:rPr>
        <w:t>Available abstract (not full text):</w:t>
      </w:r>
      <w:r>
        <w:t xml:space="preserve"> Artificial Intelligence (AI) has great potential to contribute to the operational, environmental, and social performance of supply chains. The purpose of this study is to examine the implications of AI adoption and implementation for the supply chains of logistics-intensive companies, with the aim of stimulating discussion on the future of transportation and logistics. A systematic review of the literature, following the PRISMA protocol, was conducted to identify AI applications in supply chains. A distinction was made between logistics-intensive companies for which transportation and logistics are a supporting function, and transportation and logistics companies for which this is their main business model. We extrapolated from the existing literature to identify opportunities for digital transformation for transportation and logistics companies. Of the 244 studies retained for analysis, the majority were review studies or focused on developing Machine Learning algorithms and models. The few articles documenting AI applications in supply chains focused on digitalization, neglecting opportunities for digital transformation. The study argues that the adoption of AI has the potential to negatively impact the current business model of transportation and logistics companies by (1) reducing the need for transportation and warehousing activities, and (2) increasing competition from ot</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566.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567.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index, also, effect;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pStyle w:val="Heading2"/>
      </w:pPr>
      <w:r>
        <w:t>568.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2026:</w:t>
      </w:r>
      <w:r>
        <w:t xml:space="preserve"> The Shadow of Crime: The Effect of Victimization on Perceived Safety and Subjective Well-Being in Europe (2002–2023) — https://doi.org/10.1515/peps-2026-0027</w:t>
      </w:r>
    </w:p>
    <w:p>
      <w:pPr/>
      <w:r>
        <w:rPr>
          <w:b/>
        </w:rPr>
        <w:t>Shared claim-specific concepts:</w:t>
      </w:r>
      <w:r>
        <w:t xml:space="preserve"> two, indicate, data, between; EU scope visible. This is a provisional connection, not an outcome finding.</w:t>
      </w:r>
    </w:p>
    <w:p>
      <w:pPr>
        <w:pStyle w:val="SourceNote"/>
      </w:pPr>
      <w:r>
        <w:rPr>
          <w:b/>
        </w:rPr>
        <w:t>Available abstract (not full text):</w:t>
      </w:r>
      <w:r>
        <w:t xml:space="preserve"> Abstract This research provides evidence of the multidimensional costs of crime victimization in Europe. Using data from 11 rounds of the European Social Survey (ESS) collected between 2002 and 2023, the study aims to estimate the effect of experienced victimization on two distinct domains of human perception: perceived safety and subjective well-being. The results indicate that crime victimization leads to a significant and enduring reduction in all explored metrics. Furthermore, gender-disaggregated analysis through interaction models reveals a gender-specific impact on perceived safety, which is 47 % larger for women than for men. Finally, the analysis identifies a significant temporal evolution of the consequences of victimization: the subjective well-being penalty associated with being a victim nearly doubled between 2002 and 2023. These findings challenge current policy paradigms that prioritize raw crime reduction over victim recovery and subjective security management.</w:t>
      </w:r>
    </w:p>
    <w:p>
      <w:pPr>
        <w:pStyle w:val="Heading2"/>
      </w:pPr>
      <w:r>
        <w:t>569.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570.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2026:</w:t>
      </w:r>
      <w:r>
        <w:t xml:space="preserve"> Less is More: Controlled Visual Evidence Routing and Redundancy Compression for Key Information Extraction — https://doi.org/10.18653/v1/2026.magmar-main.10</w:t>
      </w:r>
    </w:p>
    <w:p>
      <w:pPr/>
      <w:r>
        <w:rPr>
          <w:b/>
        </w:rPr>
        <w:t>Shared claim-specific concepts:</w:t>
      </w:r>
      <w:r>
        <w:t xml:space="preserve"> key, less, transport; EU scope not established. This is a provisional connection, not an outcome finding.</w:t>
      </w:r>
    </w:p>
    <w:p>
      <w:pPr>
        <w:pStyle w:val="SourceNote"/>
      </w:pPr>
      <w:r>
        <w:rPr>
          <w:b/>
        </w:rPr>
        <w:t>Available abstract (not full text):</w:t>
      </w:r>
      <w:r>
        <w:t xml:space="preserve"> Key Information Extraction (KIE) in visuallyrich documents is inherently token-centric, yet prevailing multimodal encoders often fuse dense visual patches with text tokens indiscriminately, which can introduce low-density visual noise, intensify modality competition, and cause robustness collapse under distribution shifts.We propose OTCR, a lightweight and architecture-agnostic framework that turns vision from a competitor into a selective supporter for extraction.OTCR learns sparse, interpretable cross-modal coupling via optimal transport to route local visual evidence to the most relevant text tokens, applies token-level gating to control injection strength, and further suppresses spurious correlations through a variational information bottleneck.Experiments on FUNSD, CORD, and SROIE show consistent gains when OTCR is plugged into LayoutLMv3 and GeoLayoutLM, and ablations verify the complementary contributions of coupling, gating, and bottlenecking.Under distribution shifts from Do-GOOD(He et al., 2023a) and EC-FUNSD (Zhang et al., 2024), OTCR markedly mitigates performance degradation, indicating that controlled visual evidence can effectively compensate when text/layout shortcuts become unreliable.</w:t>
      </w:r>
    </w:p>
    <w:p>
      <w:pPr/>
      <w:r>
        <w:rPr>
          <w:b/>
        </w:rPr>
        <w:t>POSSIBLE 2026:</w:t>
      </w:r>
      <w:r>
        <w:t xml:space="preserve"> A Decade of Research on the Inventory of Problems-29 (IOP-29): Key Findings and Implications for Clinical and Forensic Assessment — https://doi.org/10.1007/s40501-026-00396-x</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Abstract Purpose of Review This review examines the evidence accumulated over the past decade on the Inventory of Problems-29 (IOP-29) in order to provide an updated appraisal of its scientific status and clinical and forensic role. Particular attention is given to classification accuracy, comparative validity, cut scores, cross-cultural applicability, and related extensions. Recent Findings The IOP-29 literature now includes both simulation and criterion-group studies, independent replications, quantitative reviews, cross-cultural investigations, and comparative validity studies. Overall, findings across different symptom domains, research designs, countries, and language versions indicate that the IOP-29 discriminates credible from noncredible symptom presentations with very large mean effect sizes. In addition, updated pooled estimates showed that the standard cutoff of ≥ 0.50 yielded sensitivity and specificity estimates of 0.84 and 0.90, respectively. Summary The IOP-29 should no longer be viewed primarily as a new or emerging symptom validity test. Rather, the evidence reviewed here supports its use as a brief, psychometrically sound measure in clinical, forensic, psychological, and psychiatric assessment. Future research should now focus less on whether the IOP-29 works and more on how, when, and under what conditions it is most effectively used within a multimethod asse</w:t>
      </w:r>
    </w:p>
    <w:p>
      <w:pPr/>
      <w:r>
        <w:rPr>
          <w:b/>
        </w:rPr>
        <w:t>POSSIBLE 2026:</w:t>
      </w:r>
      <w:r>
        <w:t xml:space="preserve"> Does auditor−client geographic proximity influence key audit matters disclosures? — https://doi.org/10.1108/arj-08-2025-0284</w:t>
      </w:r>
    </w:p>
    <w:p>
      <w:pPr/>
      <w:r>
        <w:rPr>
          <w:b/>
        </w:rPr>
        <w:t>Shared claim-specific concepts:</w:t>
      </w:r>
      <w:r>
        <w:t xml:space="preserve"> key, findings, reported, rely, less; EU scope not established. This is a provisional connection, not an outcome finding.</w:t>
      </w:r>
    </w:p>
    <w:p>
      <w:pPr>
        <w:pStyle w:val="SourceNote"/>
      </w:pPr>
      <w:r>
        <w:rPr>
          <w:b/>
        </w:rPr>
        <w:t>Available abstract (not full text):</w:t>
      </w:r>
      <w:r>
        <w:t xml:space="preserve"> Purpose This study investigates whether auditor−client geographic proximity (ACGP) affects the key audit matters (KAMs) disclosures in the context of an emerging economy. Design/methodology/approach ACGP is measured using physical distance (kilometers) and travel time (minutes) between head offices, following prior studies, while KAMs are measured based on the quantity and words to explain KAMs disclosures. Data from 465 firm-year observations for the period 2018–2021 are collected and analyzed using panel regression and the results are explained in line with the communication theory. Findings The authors document a significant and negative association between ACGP, and both the number and the extent of KAMs reported. These results are robust to alternative measures of KAMs and ACGP. Geographic proximity between auditors and clients facilitates enhanced communication and provides auditors with an informational advantage, which can reduce perceived client risk and, in turn, lead to fewer and less extensive KAM disclosures. This negative association is particularly pronounced for smaller and lower-risk firms, likely because auditors of these firms face fewer complexities and challenges in assessing risk, allowing them to rely more on proximity-driven information advantages. Practical implications The findings have important implications for boards and audit committees, regulators</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pStyle w:val="Heading2"/>
      </w:pPr>
      <w:r>
        <w:t>571.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2026:</w:t>
      </w:r>
      <w:r>
        <w:t xml:space="preserve"> scClim: An interdisciplinary project for assessing hail risk and impacts across Europe in a changing climate — https://doi.org/10.5194/egusphere-egu26-20960</w:t>
      </w:r>
    </w:p>
    <w:p>
      <w:pPr/>
      <w:r>
        <w:rPr>
          <w:b/>
        </w:rPr>
        <w:t>Shared claim-specific concepts:</w:t>
      </w:r>
      <w:r>
        <w:t xml:space="preserve"> unique, modelling, framework, analyses, climate; EU scope visible. This is a provisional connection, not an outcome finding.</w:t>
      </w:r>
    </w:p>
    <w:p>
      <w:pPr>
        <w:pStyle w:val="SourceNote"/>
      </w:pPr>
      <w:r>
        <w:rPr>
          <w:b/>
        </w:rPr>
        <w:t>Available abstract (not full text):</w:t>
      </w:r>
      <w:r>
        <w:t xml:space="preserve"> Hail is the costliest weather-related hazard in Switzerland and a major driver of convective storm losses across Europe, yet large uncertainties remain about how hail and its impacts will evolve in a warming climate. Stakeholders, decision-makers, and public authorities require actionable information on hail risk to strengthen risk management and climate adaptation. This need motivated the Swiss research initiative scClim, which integrates expertise from multiple disciplines to advance the understanding of hail risk and its impacts in a changing climate across Europe. Over four years, scClim brought together research institutions, insurers, and public agencies to develop an integrated framework combining a unique hail observation network, open-source impact modelling, convection-permitting climate simulations, and a real-time interactive demonstrator platform developed with stakeholders. The platform provides hindcasts, forecasts, and impact estimates for vehicles, buildings, and crops using the CLIMADA risk-modelling framework. The climate simulations, generating 11-year hail climatologies for both present-day conditions and a +3 °C warming scenario, indicate increasing hail frequencies in northeastern Europe and decreasing frequencies in southwestern Europe. Hailstorm track analyses further reveal larger maximum hail sizes, more extensive hail swaths, and intensified precipit</w:t>
      </w:r>
    </w:p>
    <w:p>
      <w:pPr/>
      <w:r>
        <w:rPr>
          <w:b/>
        </w:rPr>
        <w:t>POSSIBLE 2026:</w:t>
      </w:r>
      <w:r>
        <w:t xml:space="preserve"> The FinTech effect: a comparative analysis of bank profitability in Europe and Asia — https://doi.org/10.1108/fdar-10-2025-0036</w:t>
      </w:r>
    </w:p>
    <w:p>
      <w:pPr/>
      <w:r>
        <w:rPr>
          <w:b/>
        </w:rPr>
        <w:t>Shared claim-specific concepts:</w:t>
      </w:r>
      <w:r>
        <w:t xml:space="preserve"> unique, same, infrastructure; EU scope visible. This is a provisional connection, not an outcome finding.</w:t>
      </w:r>
    </w:p>
    <w:p>
      <w:pPr>
        <w:pStyle w:val="SourceNote"/>
      </w:pPr>
      <w:r>
        <w:rPr>
          <w:b/>
        </w:rPr>
        <w:t>Available abstract (not full text):</w:t>
      </w:r>
      <w:r>
        <w:t xml:space="preserve"> Purpose This study investigates the divergent impact of financial technology (FinTech) on the profitability of incumbent commercial banks in Europe and Asia. It resolves contradictory findings in existing literature by demonstrating that FinTech's effect is context-contingent—moderated by regulatory stringency, customer entrenchment, and capital depth—rather than universally disruptive or complementary. Design/methodology/approach We analyze a unique panel dataset of 16 Global Systemically Important Banks (G-SIBs) and national champions across Europe and Asia from 2013 to 2023. To address endogeneity and the constraints of a small sample size (N = 16), we employ a parsimonious Dynamic Panel IV (Anderson-Hsiao) estimator alongside a static First-Difference model. Robustness is tested using Return on Assets (ROA). Findings The results reveal a stark regional divergence. In mature European markets, FinTech development shows no statistically significant impact on bank profitability (p = 0.7765), supporting the “Incumbent Resilience” hypothesis. Stringent frameworks like General Data Protection Regulation (GDPR) and PSD2 function as a “regulatory moat,” enabling European banks to co-opt innovation through superior capital resources and strategic acquisitions. Conversely, in dynamic Asian markets, FinTech exerts a highly significant negative impact on profitability (β = −0.1005, p = </w:t>
      </w:r>
    </w:p>
    <w:p>
      <w:pPr/>
      <w:r>
        <w:rPr>
          <w:b/>
        </w:rPr>
        <w:t>POSSIBLE 2026:</w:t>
      </w:r>
      <w:r>
        <w:t xml:space="preserve"> Towards a new model of asthma care in pharmacy: Assessing feasibility and enabling conditions — https://doi.org/10.82348/our-archive.00238</w:t>
      </w:r>
    </w:p>
    <w:p>
      <w:pPr/>
      <w:r>
        <w:rPr>
          <w:b/>
        </w:rPr>
        <w:t>Shared claim-specific concepts:</w:t>
      </w:r>
      <w:r>
        <w:t xml:space="preserve"> unique, framework, feasibility, three, available; EU scope not established. This is a provisional connection, not an outcome finding.</w:t>
      </w:r>
    </w:p>
    <w:p>
      <w:pPr>
        <w:pStyle w:val="SourceNote"/>
      </w:pPr>
      <w:r>
        <w:rPr>
          <w:b/>
        </w:rPr>
        <w:t>Available abstract (not full text):</w:t>
      </w:r>
      <w:r>
        <w:t xml:space="preserve"> BackgroundAsthma remains a major global public health challenge, affecting over 300 million individuals and contributing to significant morbidity, healthcare utilization, and avoidable mortality. Despite the availability of effective treatments, asthma control remains suboptimal for many patients due to a range of factors including poor adherence, environmental exposures, disparities in care access, and the heterogeneous nature of the disease. New Zealand has a high prevalence of asthma and one of the highest hospital admission rates for asthma among OECD countries. However, the impact on New Zealand Europeans is less so than on other ethnic groups, especially Māori and Pasifika, reflecting broad inequities in healthcare. AimThe aim of this research was to assess the feasibility of a new model of care in pharmacy for patients with asthma through a multifaceted approach that incorporates stakeholder engagement and patient-centred interventions. The overall research was guided by the findings from each study described in the individual chapters. Key objectives included the codesign of the model of care to implementation and assessment of its feasibility. The impact of the pharmacist-led intervention on medication adherence and symptom monitoring was secondary. By addressing biomedical and social determinants of health together with the engagement of the patient and their primary </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pStyle w:val="Heading2"/>
      </w:pPr>
      <w:r>
        <w:t>572.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573.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2026:</w:t>
      </w:r>
      <w:r>
        <w:t xml:space="preserve"> Development of biobanking infrastructure in Armenia: opportunities and challenges — https://doi.org/10.3389/fpubh.2025.1749588</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Biobanking has become a cornerstone of biomedical research and precision medicine, enabling population studies, biomarker discovery, and translational research. However, while high-income countries operate mature biobanking systems, middle-income and transitional economies encounter distinct barriers to establishing sustainable and internationally compatible infrastructures. This mini review examines the development of biobanking in Armenia as a representative middle-income case. It highlights key opportunities, such as strong diaspora scientific networks, a growing biotechnology sector, increasing national interest in precision medicine, and Armenia's strategic geographic position between Europe and Asia. At the same time, significant challenges persist, including limited funding, regulatory and ethical gaps, infrastructure constraints, shortages in specialized technical personnel, and socio-cultural barriers related to sample donation and data sharing. The review outlines strategic approaches adopted in Armenia, including international collaboration, capacity-building initiatives, and alignment with global best practices. Lessons from Armenia's experience may guide other middle-income and post-Soviet countries in developing effective and resilient biobanking systems.</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pStyle w:val="Heading2"/>
      </w:pPr>
      <w:r>
        <w:t>574.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2026:</w:t>
      </w:r>
      <w:r>
        <w:t xml:space="preserve"> Building anticipatory capacity for transformative resilience: Lessons from UK and EU applying strategic foresight in grand societal challenge-oriented regional policy — https://doi.org/10.1016/j.techsoc.2026.103453</w:t>
      </w:r>
    </w:p>
    <w:p>
      <w:pPr/>
      <w:r>
        <w:rPr>
          <w:b/>
        </w:rPr>
        <w:t>Shared claim-specific concepts:</w:t>
      </w:r>
      <w:r>
        <w:t xml:space="preserve"> strategic, foresight, goals; EU scope visible. This is a provisional connection, not an outcome finding.</w:t>
      </w:r>
    </w:p>
    <w:p>
      <w:pPr>
        <w:pStyle w:val="SourceNote"/>
      </w:pPr>
      <w:r>
        <w:rPr>
          <w:b/>
        </w:rPr>
        <w:t>Available abstract (not full text):</w:t>
      </w:r>
      <w:r>
        <w:t xml:space="preserve"> ABSTRACT Grand Societal Challenges (GSCs) require regional policymakers to develop new forms of anticipatory capacity. This is defined as the ability to navigate uncertainty, align diverse stakeholders and direct development towards long-term societal goals. This study argues that, when implemented throughout the entire policy cycle, strategic foresight is a vital tool for building such capacity and positioning regions for transformative resilience. Using an abductive, qualitative comparative case study design, the research examines three regional foresight processes in the Helsinki-Uusimaa region (Finland), Scotland (UK) and the Basque Country (Spain). The analysis is structured around three integrated dimensions: shared place-based understanding, anticipatory capacity, and reflexivity and monitoring. Rather than introducing new foresight components, the primary contribution lies in the integrated operationalisation of these established dimensions across the full policy cycle within GSC-oriented regional policy contexts. The findings suggest that all three regions use foresight to identify crisis-induced opportunities and align their assets with development priorities driven by challenges. However, their positions differ along the reorientation–transformation continuum. Helsinki-Uusimaa and Scotland primarily demonstrate reorientation, redirecting existing innovation system as</w:t>
      </w:r>
    </w:p>
    <w:p>
      <w:pPr/>
      <w:r>
        <w:rPr>
          <w:b/>
        </w:rPr>
        <w:t>POSSIBLE 2026:</w:t>
      </w:r>
      <w:r>
        <w:t xml:space="preserve"> Finnish pharmaceutical sector in the shifting geopolitics : European Union’s role in managing strategic dependencies — https://openalex.org/W7220772580</w:t>
      </w:r>
    </w:p>
    <w:p>
      <w:pPr/>
      <w:r>
        <w:rPr>
          <w:b/>
        </w:rPr>
        <w:t>Shared claim-specific concepts:</w:t>
      </w:r>
      <w:r>
        <w:t xml:space="preserve"> strategic, possible, responses; EU scope visible. This is a provisional connection, not an outcome finding.</w:t>
      </w:r>
    </w:p>
    <w:p>
      <w:pPr>
        <w:pStyle w:val="SourceNote"/>
      </w:pPr>
      <w:r>
        <w:rPr>
          <w:b/>
        </w:rPr>
        <w:t>Available abstract (not full text):</w:t>
      </w:r>
      <w:r>
        <w:t xml:space="preserve"> The main object of this research is to provide an understanding of the EU’s intermediate role of managing Finland’s strategic dependencies in pharmaceuticals, and how it reflects on the national economic security and security of supply. EU’s risk mitigating role is assessed in the light of stressed transatlantic relations followed by the tariff wars of early 2025 and China’s involvement in the active pharmaceutical ingredients’ (API) production as well as the trade war with the U.S. First, Finland’s position in the pharmaceutical supply chains is examined through Global Production Network (GPN) and network embeddedness theories. This provides a background on the structures behind the dependencies and power dynamics. After that, the nature of dependencies and possible interdependencies, as well as possibilities for weaponization are examined. Then these findings are framed into the political economy framework, and the vulnerabilities are observed through the process of securitization, linking the vulnerabilities to economic security and security of supply. Lastly, the EU level mechanisms are applied to the phenomenon. The literature review shows that political economy framework’s explanation of both the socio-economic and political factors stemming inside and outside the observed economy affect the industry performance and market outcome of the GPN. The internal socio-economic a</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pStyle w:val="Heading2"/>
      </w:pPr>
      <w:r>
        <w:t>575.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2026:</w:t>
      </w:r>
      <w:r>
        <w:t xml:space="preserve"> Autochthonous transmission of dengue in Europe, with special attention to the Spanish context — https://doi.org/10.1017/s095026882610123x</w:t>
      </w:r>
    </w:p>
    <w:p>
      <w:pPr/>
      <w:r>
        <w:rPr>
          <w:b/>
        </w:rPr>
        <w:t>Shared claim-specific concepts:</w:t>
      </w:r>
      <w:r>
        <w:t xml:space="preserve"> presents, different, mobility, climate; EU scope visible. This is a provisional connection, not an outcome finding.</w:t>
      </w:r>
    </w:p>
    <w:p>
      <w:pPr>
        <w:pStyle w:val="SourceNote"/>
      </w:pPr>
      <w:r>
        <w:rPr>
          <w:b/>
        </w:rPr>
        <w:t>Available abstract (not full text):</w:t>
      </w:r>
      <w:r>
        <w:t xml:space="preserve"> Abstract Autochthonous transmission of dengue in southern Europe has emerged as a growing public health concern, especially in regions such as Spain, due to the expansion of mosquito vector species, such as Aedes albopictus and Aedes aegypti , introduced into these regions. This article presents an overview of the situation based on the analysis of the different reports published by international and national health agencies, together with key scientific studies on autochthonous transmission of dengue in Europe and Spain. Through this work, the factors considered to be contributing or hypothesized drivers of the spread of the virus on the European continent, such as climate change, human mobility, and the proliferation of mosquito vectors, are described. It explores the cases of autochthonous transmission documented in several European countries and Spain. In addition, the surveillance protocols implemented by Spanish health authorities and the health responses to outbreaks in Spain are also examined. Finally, the risk of future transmission in Spain is assessed, and strategies are proposed to strengthen epidemiological surveillance, improve preparedness for possible outbreaks, and optimize vector-control policies in the context of global change.</w:t>
      </w:r>
    </w:p>
    <w:p>
      <w:pPr/>
      <w:r>
        <w:rPr>
          <w:b/>
        </w:rPr>
        <w:t>POSSIBLE 2026:</w:t>
      </w:r>
      <w:r>
        <w:t xml:space="preserve"> Practices and Policies in the Sustainable Climate Transition of VOD. Avenues for European Union - Latin America cooperation — https://doi.org/10.5281/zenodo.20408754</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This publication presents key insights from the StreamSCAPES project, exploring the sustainable climate transition (SCT) within the European Video-on-Demand (VOD) ecosystem. Presented at the Cannes Film Market on May 13, 2026, the brief combines policy mapping across nine European nations with empirical data from five industry workshops and a series of expert interviews. By analysing sustainability challenges across production, distribution, and consumption, the text identifies critical regulatory gaps, outlines three urgent policy needs for European stakeholders (knowledge exchange, harmonisation, and addressing sectoral asymmetries), and proposes three strategic avenues to strengthen EU-Latin America cooperation in greening the digital infrastructure.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pStyle w:val="Heading2"/>
      </w:pPr>
      <w:r>
        <w:t>576.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2025:</w:t>
      </w:r>
      <w:r>
        <w:t xml:space="preserve"> Environmental Institutional Determinants of Climate Behavior Among Taiwan’s Public Officials — https://doi.org/10.3390/cli13110219</w:t>
      </w:r>
    </w:p>
    <w:p>
      <w:pPr/>
      <w:r>
        <w:rPr>
          <w:b/>
        </w:rPr>
        <w:t>Shared claim-specific concepts:</w:t>
      </w:r>
      <w:r>
        <w:t xml:space="preserve"> officials, literacy; EU scope not established. This is a provisional connection, not an outcome finding.</w:t>
      </w:r>
    </w:p>
    <w:p>
      <w:pPr>
        <w:pStyle w:val="SourceNote"/>
      </w:pPr>
      <w:r>
        <w:rPr>
          <w:b/>
        </w:rPr>
        <w:t>Available abstract (not full text):</w:t>
      </w:r>
      <w:r>
        <w:t xml:space="preserve"> This study investigates how climate change literacy (CCL) and institutional contexts shape the climate-related behaviors of Taiwan’s public officials. Drawing on a 2024 national survey of 1,940 civil servants, we apply hierarchical and comparative regression analyses to examine the relative influence of knowledge, affective dispositions, and organizational supports. Results show that solution-oriented knowledge exerts greater behavioral influence than factual awareness. At the same time, affective resources—particularly self-efficacy and environmental identity—are the strongest and most consistent drivers of engagement. Institutional factors further condition these relationships: central officials’ behaviors are shaped by departmental mandates and bureaucratic constraints, whereas local officials rely more on supervisor support and prior project involvement. These findings integrate literacy research with institutional perspectives, demonstrating that effective climate governance requires both individual agency and enabling organizational contexts. Policy implications include strengthening leadership training, creating experiential learning opportunities, and streamlining administrative structures across governance levels to accelerate climate action.</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pStyle w:val="Heading2"/>
      </w:pPr>
      <w:r>
        <w:t>577.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578.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579.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2026:</w:t>
      </w:r>
      <w:r>
        <w:t xml:space="preserve"> Transition to the Green Economy. A Comparative Analysis of the European Program Life in Romania and Spain on the Greenhouse Gas Emissions — https://doi.org/10.25115/h29ty930</w:t>
      </w:r>
    </w:p>
    <w:p>
      <w:pPr/>
      <w:r>
        <w:rPr>
          <w:b/>
        </w:rPr>
        <w:t>Shared claim-specific concepts:</w:t>
      </w:r>
      <w:r>
        <w:t xml:space="preserve"> continue, two, transition, spain, between, green; EU scope visible. This is a provisional connection, not an outcome finding.</w:t>
      </w:r>
    </w:p>
    <w:p>
      <w:pPr>
        <w:pStyle w:val="SourceNote"/>
      </w:pPr>
      <w:r>
        <w:rPr>
          <w:b/>
        </w:rPr>
        <w:t>Available abstract (not full text):</w:t>
      </w:r>
      <w:r>
        <w:t xml:space="preserve"> Rising greenhouse gas emissions have led to extreme weather events, which have become increasingly frequent in recent years. These have serious consequences for people's lives and the global economy. In 2023, the European Union was the fourth largest emitter of greenhouse gases in the world. It is against this background that the Union is proposing a European Green Deal, aiming for climate neutrality, resource efficiency and economic competitiveness by 2050. This paper studies the impact of the European LIFE program which is one of the funding mechanisms of the Green Deal on the reduction of greenhouse gas emissions, focusing on the case study of Romania and Spain. The main aim is to determine whether LIFE funding contributes significantly to emission reductions by using econometric modeling to analyze various factors influencing emissions in the two selected countries, taking into account their socio-economic differences. The results of such a comparison between an economically developed country in Western Europe and an emerging economy in Eastern Europe may provide valuable insights into the impact of the EU's efforts to transition to a green economy, as well as the factors that continue to influence emissions in these distinct economies.</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Contribution to an Ecological Worldview: Adaptation and validation of the New Ecological Paradigm Scale to the European Portuguese language — https://doi.org/10.1016/j.erap.2023.100964</w:t>
      </w:r>
    </w:p>
    <w:p>
      <w:pPr/>
      <w:r>
        <w:rPr>
          <w:b/>
        </w:rPr>
        <w:t>Shared claim-specific concepts:</w:t>
      </w:r>
      <w:r>
        <w:t xml:space="preserve"> two, ecological, between; EU scope visible. This is a provisional connection, not an outcome finding.</w:t>
      </w:r>
    </w:p>
    <w:p>
      <w:pPr>
        <w:pStyle w:val="SourceNote"/>
      </w:pPr>
      <w:r>
        <w:rPr>
          <w:b/>
        </w:rPr>
        <w:t>Available abstract (not full text):</w:t>
      </w:r>
      <w:r>
        <w:t xml:space="preserve"> The growing need for societies to adopt a more ecological and sustainable mindset highlights the importance of instruments such as the 15-item New Ecological Paradigm Scale (NEP Scale). The scale measures the individuals’ endorsement of an ecological worldview, contrasting with the perspective of human dominance and exemptionalism. This study aimed to validate the European Portuguese version of the NEP Scale using a cross-validation approach. The total sample, consisting of 511 participants (56.4% women; aged between 18-73 years old), was split into two halves, with the first half used to perform an exploratory factor analysis (EFA) to refine the scale, and the second half to perform a confirmatory factor analysis (CFA). The EFA revealed a 14- item two-factor latent structure, which was subsequently confirmed through CFA (CFI = 0.98; TLI = 0.97; RMSEA = 0.04; SRMR = 0.06). Internal consistency was assessed using Cronbach's alpha (α) and McDonald's omega (ωs), with factor 1 (Ecocentrism; α = .88; ωs = .87), and factor 2 (Anthropocentrism; α = .80; ωs = .81) showing strong internal consistency. Significant moderate correlations between both NEP Scale dimensions and the Ecologically Conscious Consumer Behavior (ECCB) scale (r1 = .383; r2 = .313) provided convergent evidence for construct validity. The correlation between NEP dimensions was .70, indicating an acceptable discriminan</w:t>
      </w:r>
    </w:p>
    <w:p>
      <w:pPr/>
      <w:r>
        <w:rPr>
          <w:b/>
        </w:rPr>
        <w:t>POSSIBLE 2025:</w:t>
      </w:r>
      <w:r>
        <w:t xml:space="preserve"> The health-economic burden of hip and knee periprosthetic joint infections in Europe — https://doi.org/10.1302/2633-1462.63.bjo-2024-0225.r1</w:t>
      </w:r>
    </w:p>
    <w:p>
      <w:pPr/>
      <w:r>
        <w:rPr>
          <w:b/>
        </w:rPr>
        <w:t>Shared claim-specific concepts:</w:t>
      </w:r>
      <w:r>
        <w:t xml:space="preserve"> based, calculation, evaluate; EU scope visible. This is a provisional connection, not an outcome finding.</w:t>
      </w:r>
    </w:p>
    <w:p>
      <w:pPr>
        <w:pStyle w:val="SourceNote"/>
      </w:pPr>
      <w:r>
        <w:rPr>
          <w:b/>
        </w:rPr>
        <w:t>Available abstract (not full text):</w:t>
      </w:r>
      <w:r>
        <w:t xml:space="preserve"> Aims: Periprosthetic joint infections (PJIs) pose significant challenges to patients and healthcare systems worldwide. The aim of this study was to estimate the health-economic burden of reimbursement payment in Europe for PJIs following primary hip and knee arthroplasty. Methods: The calculation was based on health-economic modelling using data on primary hip and knee arthroplasties for the year 2019 from the Statistical Office of the European Union (Eurostat) and published infection rates to estimate the total number of hip and knee PJIs in 30 European countries. Revision procedures were stratified into: 1) debridement, antibiotics, and implant retention (DAIR); 2) one-stage exchange; and 3) two-stage revision procedures. The cases were then multiplied by the respective healthcare system reimbursement payments. Payment data were acquired from a survey of 13 countries (Austria, Croatia, France, Germany, Italy, Lithuania, Netherlands, Norway, Portugal, Slovenia, Switzerland, Turkey, and the UK) and extrapolated for the remaining countries. Results: In 2019, a total of 2,048,778 primary total joint replacements were performed (total hip arthroplasty (THA) = 1,147,316 and total knee arthroplasty (TKA) = 901,462), with an estimated 20,416 cases of PJIs (11,131 hip and 9,285 knee) in Europe. This results in an estimated total reimbursement burden of €346,262,026 for European health</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pStyle w:val="Heading2"/>
      </w:pPr>
      <w:r>
        <w:t>580. Assessing future sustainability and resilience of farming systems with a participatory method: A case study on extensive sheep farming in Huesca, Spain</w:t>
      </w:r>
    </w:p>
    <w:p>
      <w:pPr>
        <w:pStyle w:val="SourceNote"/>
      </w:pPr>
      <w:r>
        <w:rPr>
          <w:b/>
        </w:rPr>
        <w:t>Original source (2021):</w:t>
      </w:r>
      <w:r>
        <w:t xml:space="preserve"> https://doi.org/10.1016/j.ecolind.2021.108236</w:t>
      </w:r>
    </w:p>
    <w:p>
      <w:pPr/>
      <w:r>
        <w:t>Original wording (abstract; indexed_source_text_not_full_document_verified): The methodology includes an assessment of current performance (Step 1), identification of critical thresholds whose exceedance can lead to large and permanent system change (Step 2), impact assessment when critical thresholds are exceeded (Step 3), identification of desired alternative systems and their expected improved performance of sustainability and resilience (Step 4), identification of strategies to realize those alternative systems (Step 5), and an assessment on the compatibility of alternative systems with the developments of exogenous factors as projected in different future scenarios (Step 6). Although the high-tech extensive system seems most compatible with a future in which sustainable food production is very important, the semi-intensive system seems a less risky bet as it has on average the best compatibility with multiple future scenarios.</w:t>
      </w:r>
    </w:p>
    <w:p>
      <w:pPr/>
      <w:r>
        <w:rPr>
          <w:b/>
        </w:rPr>
        <w:t>POSSIBLE 2026:</w:t>
      </w:r>
      <w:r>
        <w:t xml:space="preserve"> WHO/Euro HIS assessment methodology — https://doi.org/10.1093/eurpub/ckag169.370</w:t>
      </w:r>
    </w:p>
    <w:p>
      <w:pPr/>
      <w:r>
        <w:rPr>
          <w:b/>
        </w:rPr>
        <w:t>Shared claim-specific concepts:</w:t>
      </w:r>
      <w:r>
        <w:t xml:space="preserve"> methodology, includes, assessment, performance, system, systems; EU scope visible. This is a provisional connection, not an outcome finding.</w:t>
      </w:r>
    </w:p>
    <w:p>
      <w:pPr>
        <w:pStyle w:val="SourceNote"/>
      </w:pPr>
      <w:r>
        <w:rPr>
          <w:b/>
        </w:rPr>
        <w:t>Available abstract (not full text):</w:t>
      </w:r>
      <w:r>
        <w:t xml:space="preserve"> Abstract WHO’s ‘Support tool to strengthen health information systems: Guidance for health information system assessment and strategy development’ was first published in 2015 and updated in 2021 and 2024. At the time of writing, it has been applied almost 40 times in 26 Member States of the WHO European Region. The tool has two main parts: guidance for performing an HIS assessment and guidance for the subsequent stepwise development of an HIS strategy. The assessment methodology aims to achieve a good balance between data collection and actual data use and reflects the growing importance of electronic health records and other digital solutions. It comprises a core module, which provides an overall assessment of the performance of the entire national HIS, and several add-on modules, which provide support for a more in-depth assessment of specific HIS functions. The core module covers five domains: data collection; analysis; health reporting; knowledge translation; and governance and resources. Data for the assessment is collected by means of a combination of desk review and semi-structured key informant interviews. Data gathering is supported by an item sheet, which includes for each domain a set of main questions, which are subdivided into more detailed probing questions. For each probing question, a description is given of what the situation would be like in a fully matured HI</w:t>
      </w:r>
    </w:p>
    <w:p>
      <w:pPr/>
      <w:r>
        <w:rPr>
          <w:b/>
        </w:rPr>
        <w:t>POSSIBLE 2026:</w:t>
      </w:r>
      <w:r>
        <w:t xml:space="preserve"> Cross-border healthcare system function, performance and cooperation in Europe: a scoping review protocol — https://doi.org/10.1136/bmjopen-2026-117613</w:t>
      </w:r>
    </w:p>
    <w:p>
      <w:pPr/>
      <w:r>
        <w:rPr>
          <w:b/>
        </w:rPr>
        <w:t>Shared claim-specific concepts:</w:t>
      </w:r>
      <w:r>
        <w:t xml:space="preserve"> methodology, assessment, performance, system; EU scope visible. This is a provisional connection, not an outcome finding.</w:t>
      </w:r>
    </w:p>
    <w:p>
      <w:pPr>
        <w:pStyle w:val="SourceNote"/>
      </w:pPr>
      <w:r>
        <w:rPr>
          <w:b/>
        </w:rPr>
        <w:t>Available abstract (not full text):</w:t>
      </w:r>
      <w:r>
        <w:t xml:space="preserve"> INTRODUCTION: Cross-border collaboration in healthcare has become increasingly important in the context of European integration, particularly in border regions where institutional and health system interactions are most pronounced. These regions offer opportunities for joint healthcare provision, patient and workforce mobility and shared use of resources. However, healthcare governance largely remains a national responsibility, introducing administrative, legal and institutional barriers to coordinated care. This review will examine the structures and mechanisms in place for cooperation and will map the available evidence relevant to the functions of cross-border healthcare in Europe using the Health System Performance Assessment framework. METHODS AND ANALYSIS: This scoping review will follow the Joanna Briggs Institute methodology and the Preferred Reporting Items for Systematic Reviews and Meta-Analyses extension for Scoping Reviews. Eligibility will be determined using the Population-Concept-Context approach. A three-step search strategy will include an initial limited search, comprehensive searches across six databases (PubMed, Web of Science, Medline, Embase, Global Health, Scopus) and grey literature searching. Two reviewers will independently screen studies via Covidence. Data will be extracted using a standardised form and synthesised descriptively. AI tools can assist</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 Methodological Approach to Address Economic Vulnerability to Wildfires in Europe — https://doi.org/10.3390/fire8100379</w:t>
      </w:r>
    </w:p>
    <w:p>
      <w:pPr/>
      <w:r>
        <w:rPr>
          <w:b/>
        </w:rPr>
        <w:t>Shared claim-specific concepts:</w:t>
      </w:r>
      <w:r>
        <w:t xml:space="preserve"> assessment, step, critical, resilience; EU scope visible. This is a provisional connection, not an outcome finding.</w:t>
      </w:r>
    </w:p>
    <w:p>
      <w:pPr>
        <w:pStyle w:val="SourceNote"/>
      </w:pPr>
      <w:r>
        <w:rPr>
          <w:b/>
        </w:rPr>
        <w:t>Available abstract (not full text):</w:t>
      </w:r>
      <w:r>
        <w:t xml:space="preserve"> The assessment of the economic vulnerability of natural disasters is a necessary step in the evaluation of any risks. This study proposes the approach implemented under the H2020 FirEurisk project to value the economic damage of wildfires on a European scale. Economic damage is assessed as the net value change in natural (agricultural and forestry resources and their ecosystem services) and manufactured assets under simulated fire intensity, taking into consideration the time necessary for natural capital to recover to the pre-damaged conditions. We show minimum, maximum, and average damage for European countries and map the critical areas. Damages to provisioning-ecosystem services are more pronounced in Central Europe because of the lower resilience of ecosystems compared to the Mediterranean, suggesting that mitigation measures (such as managing vegetation to reduce fuel; improving access to fire services; and engaging communities through education, agriculture, and forest management participation) must be enforced. We are confident that the approach proposed may stimulate further research to test the goodness of the estimates proposed and suggest where it is more appropriate to invest in fire prevention.</w:t>
      </w:r>
    </w:p>
    <w:p>
      <w:pPr/>
      <w:r>
        <w:rPr>
          <w:b/>
        </w:rPr>
        <w:t>POSSIBLE 2025:</w:t>
      </w:r>
      <w:r>
        <w:t xml:space="preserve"> ESG Performance and Economic Growth in Europe — https://doi.org/10.1002/sd.70141</w:t>
      </w:r>
    </w:p>
    <w:p>
      <w:pPr/>
      <w:r>
        <w:rPr>
          <w:b/>
        </w:rPr>
        <w:t>Shared claim-specific concepts:</w:t>
      </w:r>
      <w:r>
        <w:t xml:space="preserve"> performance, large, alternative; EU scope visible. This is a provisional connection, not an outcome finding.</w:t>
      </w:r>
    </w:p>
    <w:p>
      <w:pPr>
        <w:pStyle w:val="SourceNote"/>
      </w:pPr>
      <w:r>
        <w:rPr>
          <w:b/>
        </w:rPr>
        <w:t>Available abstract (not full text):</w:t>
      </w:r>
      <w:r>
        <w:t xml:space="preserve"> ABSTRACT This study evaluates environmental, social, and governance (ESG) performance at the country level as well as the relationship between this factor and economic growth by reference to a large sample of European countries over the period 2011–2020. As the measurement of ESG performance is an emerging concept, we consider a range of indicators that can be used to evaluate this factor on the basis of alternative methodologies, thus allowing us to check the robustness of the results. This approach reveals that countries that joined the European Union (EU) in 2004 or later exhibited lower levels of ESG performance than did countries in Western Europe; however, the decisive factors in this context are social and governance issues rather than environmental issues. These indications are robust across various settings. Further results reveal the existence of Granger causality between ESG performance and economic growth; however, ESG performance is revealed to impact economic growth only in the middle to long term.</w:t>
      </w:r>
    </w:p>
    <w:p>
      <w:pPr/>
      <w:r>
        <w:rPr>
          <w:b/>
        </w:rPr>
        <w:t>POSSIBLE 2024:</w:t>
      </w:r>
      <w:r>
        <w:t xml:space="preserve"> Multi-hazard risk assessment methodology for European coastal cities — https://openalex.org/W7152947666</w:t>
      </w:r>
    </w:p>
    <w:p>
      <w:pPr/>
      <w:r>
        <w:rPr>
          <w:b/>
        </w:rPr>
        <w:t>Shared claim-specific concepts:</w:t>
      </w:r>
      <w:r>
        <w:t xml:space="preserve"> methodology, includes, assessment, critical, resilience; EU scope visible. This is a provisional connection, not an outcome finding.</w:t>
      </w:r>
    </w:p>
    <w:p>
      <w:pPr>
        <w:pStyle w:val="SourceNote"/>
      </w:pPr>
      <w:r>
        <w:rPr>
          <w:b/>
        </w:rPr>
        <w:t>Available abstract (not full text):</w:t>
      </w:r>
      <w:r>
        <w:t xml:space="preserve"> The focus of this thesis is on the risk assessment of multiple climate-related hazards in European coastal cities, a crucial issue given the intensifying impacts of climate change. European coastal cities are particularly vulnerable to a variety of climate-related hazards, such as sea-level rise, coastal erosion, and extreme weather events, which are becoming more frequent and severe due to global warming. Despite the pressing nature of these risks, there has been a notable lack of comprehensive tools to evaluate and compare the risks faced by different cities. This research addresses that gap by developing a novel index-based methodology for climate risk assessment that is specifically tailored to European coastal cities. One of the key features of the methodology developed in this thesis is its universality within the context of European coastal cities. Unlike other approaches that may be limited to specific types of hazards or localized contexts, this methodology encompasses a wide range of climate-related hazards, making it applicable to diverse coastal environments across Europe. This broad scope allows for a systematic and homogenized analysis of climate risks, which in turn facilitates direct comparisons between cities. Such comparative analysis is essential for informing policy decisions related to resource distribution and climate risk management. By identifying which </w:t>
      </w:r>
    </w:p>
    <w:p>
      <w:pPr/>
      <w:r>
        <w:rPr>
          <w:b/>
        </w:rPr>
        <w:t>POSSIBLE 2024:</w:t>
      </w:r>
      <w:r>
        <w:t xml:space="preserve"> ELSMOR – towards European Licensing of Small Modular Reactors: Methodology recommendations for light-water small modular reactors safety assessment — https://doi.org/10.12688/openreseurope.16360.2</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•Methodological standpoints: safety goals, safety requirements, safety principles (defence-in-depth implementation);•Main safety functions of reactivity control, decay heat removal and confinement management;•Se</w:t>
      </w:r>
    </w:p>
    <w:p>
      <w:pPr/>
      <w:r>
        <w:rPr>
          <w:b/>
        </w:rPr>
        <w:t>POSSIBLE 2024:</w:t>
      </w:r>
      <w:r>
        <w:t xml:space="preserve"> Towards harmonising energy performance certificate indicators in Europe — https://doi.org/10.1016/j.jobe.2024.110323</w:t>
      </w:r>
    </w:p>
    <w:p>
      <w:pPr/>
      <w:r>
        <w:rPr>
          <w:b/>
        </w:rPr>
        <w:t>Shared claim-specific concepts:</w:t>
      </w:r>
      <w:r>
        <w:t xml:space="preserve"> methodology, performance, sustainability; EU scope visible. This is a provisional connection, not an outcome finding.</w:t>
      </w:r>
    </w:p>
    <w:p>
      <w:pPr>
        <w:pStyle w:val="SourceNote"/>
      </w:pPr>
      <w:r>
        <w:rPr>
          <w:b/>
        </w:rPr>
        <w:t>Available abstract (not full text):</w:t>
      </w:r>
      <w:r>
        <w:t xml:space="preserve">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pPr/>
      <w:r>
        <w:rPr>
          <w:b/>
        </w:rPr>
        <w:t>POSSIBLE 2023:</w:t>
      </w:r>
      <w:r>
        <w:t xml:space="preserve"> Assessment of ecological capacity for urban planning and improving resilience in the European framework — https://doi.org/10.18172/cig.5638</w:t>
      </w:r>
    </w:p>
    <w:p>
      <w:pPr/>
      <w:r>
        <w:rPr>
          <w:b/>
        </w:rPr>
        <w:t>Shared claim-specific concepts:</w:t>
      </w:r>
      <w:r>
        <w:t xml:space="preserve"> methodology, assessment, current, identification, systems, resilience; EU scope visible. This is a provisional connection, not an outcome finding.</w:t>
      </w:r>
    </w:p>
    <w:p>
      <w:pPr>
        <w:pStyle w:val="SourceNote"/>
      </w:pPr>
      <w:r>
        <w:rPr>
          <w:b/>
        </w:rPr>
        <w:t>Available abstract (not full text):</w:t>
      </w:r>
      <w:r>
        <w:t xml:space="preserve"> The basic idea underlying this research is that urban planning is one of the main causes of environmental degradation. Despite its relevance in impacting ecosystems, the current methodological assessments across Europe still fail to include spatial planning as a relevant factor. This paper aims to formulate an innovative methodology for the evaluation of ecosystems for protecting land at risk of degradation. This methodology is exemplified by the case of Spanish spatial planning applied in the Community of Madrid, being also capable to be employed in other European State Members after a cartographic adaptation. The proposed methodology specifically implements a European approach to the scale of regional and local spatial planning based on the “Mapping and Assessment of Ecosystems and their Services” (MAES) project. Among the main results, four outcomes stand out. The first is the novelty to provide a methodology capable of dealing with natural values at regional and municipal levels based on a spatial-planning-based scale (1:20,000). The second result regards the incorporation of new attributes tied to existing ecosystems during the drafting of spatial plans, thus improving the quality of the information to make better decisions in terms of environmental protection. The third result is the more accurate environment assessment due to the inclusion of a new element of direct pres</w:t>
      </w:r>
    </w:p>
    <w:p>
      <w:pPr/>
      <w:r>
        <w:rPr>
          <w:b/>
        </w:rPr>
        <w:t>POSSIBLE 2023:</w:t>
      </w:r>
      <w:r>
        <w:t xml:space="preserve"> Investigating the relationship between energy assessor training and assessment methodology in standardised energy assessments in Europe — https://doi.org/10.26868/25222708.2023.1480</w:t>
      </w:r>
    </w:p>
    <w:p>
      <w:pPr/>
      <w:r>
        <w:rPr>
          <w:b/>
        </w:rPr>
        <w:t>Shared claim-specific concepts:</w:t>
      </w:r>
      <w:r>
        <w:t xml:space="preserve"> methodology, assessment, performance; EU scope visible. This is a provisional connection, not an outcome finding.</w:t>
      </w:r>
    </w:p>
    <w:p>
      <w:pPr>
        <w:pStyle w:val="SourceNote"/>
      </w:pPr>
      <w:r>
        <w:rPr>
          <w:b/>
        </w:rPr>
        <w:t>Available abstract (not full text):</w:t>
      </w:r>
      <w:r>
        <w:t xml:space="preserve"> The relationship between assessor and assessment is symbiotic; training and support of assessors must reflect the designed assessment process, but new assessment processes can only be designed within the confines of the known skillsets (or projected future skillsets) of that assessor population. This paper reviews Energy Performance Certificate (EPC) methodologies in a number of target European countries and discusses the role of building simulation in each one. Furthermore, by reflecting on the different training and education background of energy assessors, the difficulties in introducing more comprehensive forms of building modelling into these methodologies are described. This questions the use of new EPC metrics and performance indicators (such as the proposed Smart Readiness Indicator and Operational Energy Ratings) within some countries, whilst also limiting new forms of building simulation being integrated into existing building energy compliance methodologies. The conclusions note recommendations that are generalisable across European countries, as well as those that will only be suitable for certain countries, or clusters of countries.</w:t>
      </w:r>
    </w:p>
    <w:p>
      <w:pPr/>
      <w:r>
        <w:rPr>
          <w:b/>
        </w:rPr>
        <w:t>POSSIBLE 2023:</w:t>
      </w:r>
      <w:r>
        <w:t xml:space="preserve"> ELSMOR – towards European Licensing of Small Modular Reactors: Methodology recommendations for light-water small modular reactors safety assessment — https://doi.org/10.12688/openreseurope.16360.1</w:t>
      </w:r>
    </w:p>
    <w:p>
      <w:pPr/>
      <w:r>
        <w:rPr>
          <w:b/>
        </w:rPr>
        <w:t>Shared claim-specific concepts:</w:t>
      </w:r>
      <w:r>
        <w:t xml:space="preserve"> methodology, includes, assessment, systems; EU scope visible. This is a provisional connection, not an outcome finding.</w:t>
      </w:r>
    </w:p>
    <w:p>
      <w:pPr>
        <w:pStyle w:val="SourceNote"/>
      </w:pPr>
      <w:r>
        <w:rPr>
          <w:b/>
        </w:rPr>
        <w:t>Available abstract (not full text):</w:t>
      </w:r>
      <w:r>
        <w:t xml:space="preserve"> Decarbonization of energy production is key in today’s societies and nuclear energy holds an essential place in this prospect. Besides heavy-duty electricity production, other industrial and communal needs could be served by integrating novel nuclear energy production systems, among which are low-power nuclear devices, like small modular reactors (SMRs). The ELSMOR (towards European Licensing of Small Modular Reactors) European project addresses this topic as an answer to the Horizon 2020 Euratom NFRP-2018-3 call. The consortium includes 15 partners from eight European countries, involving research institutes, major European nuclear companies and technical support organizations. The 3.5-year project, launched in September 2019, investigates selected safety features of light-water (LW) SMRs with focus on licensing aspects. Providing a comprehensive compliance framework that regulators can adopt and operate, the licensing process of such SMRs could be optimized, helping their deployment. In this prospect, as a result of ELSMOR’s work, this article gives an overview of the specific issues that LW-SMRs may bring about in the different domains of nuclear safety, in terms of: • Methodological standpoints: safety goals, safety requirements, safety principles (defence-in-depth implementation); • Main safety functions of reactivity control, decay heat removal and confinement management;</w:t>
      </w:r>
    </w:p>
    <w:p>
      <w:pPr/>
      <w:r>
        <w:rPr>
          <w:b/>
        </w:rPr>
        <w:t>POSSIBLE 2023:</w:t>
      </w:r>
      <w:r>
        <w:t xml:space="preserve"> Sustainable board governance and environmental performance: European evidence — https://doi.org/10.1002/bse.3654</w:t>
      </w:r>
    </w:p>
    <w:p>
      <w:pPr/>
      <w:r>
        <w:rPr>
          <w:b/>
        </w:rPr>
        <w:t>Shared claim-specific concepts:</w:t>
      </w:r>
      <w:r>
        <w:t xml:space="preserve"> includes, performance, critical, sustainability; EU scope visible. This is a provisional connection, not an outcome finding.</w:t>
      </w:r>
    </w:p>
    <w:p>
      <w:pPr>
        <w:pStyle w:val="SourceNote"/>
      </w:pPr>
      <w:r>
        <w:rPr>
          <w:b/>
        </w:rPr>
        <w:t>Available abstract (not full text):</w:t>
      </w:r>
      <w:r>
        <w:t xml:space="preserve">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pPr>
        <w:pStyle w:val="Heading2"/>
      </w:pPr>
      <w:r>
        <w:t>581.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2026:</w:t>
      </w:r>
      <w:r>
        <w:t xml:space="preserve"> Asset prices and durable spending in Central and Eastern Europe — https://doi.org/10.1007/s10663-026-09676-4</w:t>
      </w:r>
    </w:p>
    <w:p>
      <w:pPr/>
      <w:r>
        <w:rPr>
          <w:b/>
        </w:rPr>
        <w:t>Shared claim-specific concepts:</w:t>
      </w:r>
      <w:r>
        <w:t xml:space="preserve"> further, lower, consumption; EU scope visible. This is a provisional connection, not an outcome finding.</w:t>
      </w:r>
    </w:p>
    <w:p>
      <w:pPr>
        <w:pStyle w:val="SourceNote"/>
      </w:pPr>
      <w:r>
        <w:rPr>
          <w:b/>
        </w:rPr>
        <w:t>Available abstract (not full text):</w:t>
      </w:r>
      <w:r>
        <w:t xml:space="preserve"> Abstract This paper analyses the effect of asset price changes on durable consumption in 11 Central and Eastern European economies from the European Union from 2000Q1 to 2023Q2. Using the method of moments quantile regression for panel data, we find that declines in house prices lead to decreases in durable consumption spending, which are more pronounced among lower-spending households who also show greater sensitivity to stock price declines than higher-spending ones. In contrast, higher-spending households react more prominently to house price increases, underscoring the asymmetric nature of wealth effects. Additionally, monetary and fiscal indicators, such as rising interest rates and public debt, are associated with reduced consumer confidence, further dampening consumption across all durable spending levels. Wealth inequality constrains durable spending, especially in the lower quantiles, while an ageing population slightly boosts consumption in lower expenditure quantiles, reflecting a more cautious approach to spending. These findings highlight the importance of targeted policy measures to stabilise consumption, address wealth inequality, and mitigate the financial vulnerabilities of households at the lower end of the durable spending distribution.</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pStyle w:val="Heading2"/>
      </w:pPr>
      <w:r>
        <w:t>582.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2026:</w:t>
      </w:r>
      <w:r>
        <w:t xml:space="preserve"> Global and Regional Burden of Crohn’s Disease (1990-2023): A Global Burden of Disease Study Analysis — https://doi.org/10.7759/cureus.113724</w:t>
      </w:r>
    </w:p>
    <w:p>
      <w:pPr/>
      <w:r>
        <w:rPr>
          <w:b/>
        </w:rPr>
        <w:t>Shared claim-specific concepts:</w:t>
      </w:r>
      <w:r>
        <w:t xml:space="preserve"> data, burden, disease, gbd, between, conclusion; EU scope not established. This is a provisional connection, not an outcome finding.</w:t>
      </w:r>
    </w:p>
    <w:p>
      <w:pPr>
        <w:pStyle w:val="SourceNote"/>
      </w:pPr>
      <w:r>
        <w:rPr>
          <w:b/>
        </w:rPr>
        <w:t>Available abstract (not full text):</w:t>
      </w:r>
      <w:r>
        <w:t xml:space="preserve"> BACKGROUND: Crohn's disease (CD) is an inflammatory bowel disease (IBD) that has evolved into a global health concern, with a rising cumulative burden that makes periodic, up-to-date quantification essential for health-system planning. In recent decades, its incidence has stabilized in early-industrialized regions while rising rapidly in newly industrialized ones, resulting in an increasing cumulative disease burden in high-income regions. This epidemiological transition necessitates precise burden estimation to inform strategic health policies. METHODS: The study was conducted using openly available modeled estimates from the Global Burden of Disease (GBD) 2023 study, in an independent effort to analyze the regional and global burden of CD from 1990 to 2023. This analysis was conducted in accordance with the Guidelines for Accurate and Transparent Health Estimates Reporting. Main outcome measures were disability-adjusted life years (DALYs), years of life lost (YLLs), and years lived with disability (YLDs), expressed as absolute values and age-standardized rates per 100,000 people across 21 GBD regions. The contributions of population growth and age-standardized rate change to the observed DALY were examined after being separated using a two-component decomposition, in addition to the temporal patterns across the whole period. YLLs and YLDs were calculated for each year, and fo</w:t>
      </w:r>
    </w:p>
    <w:p>
      <w:pPr/>
      <w:r>
        <w:rPr>
          <w:b/>
        </w:rPr>
        <w:t>POSSIBLE 2026:</w:t>
      </w:r>
      <w:r>
        <w:t xml:space="preserve"> Nonfatal Burden of Disease and Risk-Attributable Burden in Romania, 1990 to 2023: A Secondary Analysis of Global Burden of Disease 2023 Estimates — https://doi.org/10.3390/healthcare14183035</w:t>
      </w:r>
    </w:p>
    <w:p>
      <w:pPr/>
      <w:r>
        <w:rPr>
          <w:b/>
        </w:rPr>
        <w:t>Shared claim-specific concepts:</w:t>
      </w:r>
      <w:r>
        <w:t xml:space="preserve"> burden, disease, gbd, between; EU scope visible. This is a provisional connection, not an outcome finding.</w:t>
      </w:r>
    </w:p>
    <w:p>
      <w:pPr>
        <w:pStyle w:val="SourceNote"/>
      </w:pPr>
      <w:r>
        <w:rPr>
          <w:b/>
        </w:rPr>
        <w:t>Available abstract (not full text):</w:t>
      </w:r>
      <w:r>
        <w:t xml:space="preserve"> Background/Objectives: We assessed changes in nonfatal disease burden and risk attribution in Romania between 1990 and 2023. Methods: We analysed Global Burden of Disease (GBD) 2023 estimates of years lived with disability (YLDs), related nonfatal measures and risk attribution for 199 causes and 61 risks, with seventeen comparator locations. Results: The age-standardised YLD rate changed by −4.1% (95% uncertainty interval [UI] −10.1 to 1.3), and total YLDs by −3.9% (95% UI −9.2 to 0.7). Both intervals included zero. The crude rate rose by 17.0%. The population size and age structure components of the decomposition were approximately −552,000 and +545,000 YLDs; their uncertainty was not estimated. Healthy life expectancy increased by 5.2 years. Its difference from life expectancy rose from 9.2 to 10.2 years, without an uncertainty interval for this derived change. Low-back pain remained the leading level 3 cause. Anxiety disorders increased by 41.7% (95% UI 4.5 to 101.8) and ranked second by point estimate; rank uncertainty was not estimated. The joint risk-attributable fraction fell from 31.2% to 28.3%. Conclusions: Romania had more disability per inhabitant and a larger share at older ages in 2023. Musculoskeletal disorders remained the main source of nonfatal burden, while anxiety disorders and diabetes increased.</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data, burden, disease, between, countries, union;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data, burden, disease, gbd, countries, conclusion;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2026:</w:t>
      </w:r>
      <w:r>
        <w:t xml:space="preserve"> Post-Treatment Lyme Disease Syndrome in Six European Countries Using Data from the Burden of Lyme Disease (BOLD) Study — https://doi.org/10.3390/pathogens15080809</w:t>
      </w:r>
    </w:p>
    <w:p>
      <w:pPr/>
      <w:r>
        <w:rPr>
          <w:b/>
        </w:rPr>
        <w:t>Shared claim-specific concepts:</w:t>
      </w:r>
      <w:r>
        <w:t xml:space="preserve"> data, burden, disease, countries; EU scope visible. This is a provisional connection, not an outcome finding.</w:t>
      </w:r>
    </w:p>
    <w:p>
      <w:pPr>
        <w:pStyle w:val="SourceNote"/>
      </w:pPr>
      <w:r>
        <w:rPr>
          <w:b/>
        </w:rPr>
        <w:t>Available abstract (not full text):</w:t>
      </w:r>
      <w:r>
        <w:t xml:space="preserve"> Up to 10% of patients with Lyme borreliosis (LB) will experience symptoms that fulfill the Infectious Disease Society of America (IDSA) criteria of post-treatment Lyme disease syndrome (PTLDS). This study assesses PTLDS in the Burden of Lyme Disease (BOLD) study through clinical assessment ("PTLDS Assessed by Clinicians") and by post hoc evaluation of patient-reported outcomes, including the 36-Item Short Form Health Survey, Fatigue Severity Scale, and Cognitive Failures Questionnaire ("PTLDS Assessed by Questionnaire"). Among 242 LB cases who completed antibiotic treatment and had objective manifestations stabilized or resolved, 99 (40.9%) reported ≥1 symptom of fatigue, musculoskeletal pain, or cognitive impairment 10 months after diagnosis. Fifteen (6.2%) cases met the PTLDS criteria assessed by either clinicians or predefined questionnaire severity thresholds; four (1.7%) met both. PTLDS cases assessed by questionnaires and LB cases with persistent symptoms both reported greater symptom severity and poorer physical functioning than PTLDS cases assessed by clinicians. These exploratory findings suggest that clinician- and questionnaire-based assessments may identify partially different subsets of patients with PTLDS and either method could underestimate the proportion of patients with PTLDS.</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data, countries, united, bayesian;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Improving Europe-wide windstorm damage modeling using insurance loss data — https://doi.org/10.5194/egusphere-2026-3099</w:t>
      </w:r>
    </w:p>
    <w:p>
      <w:pPr/>
      <w:r>
        <w:rPr>
          <w:b/>
        </w:rPr>
        <w:t>Shared claim-specific concepts:</w:t>
      </w:r>
      <w:r>
        <w:t xml:space="preserve"> data, between, countries;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pStyle w:val="Heading2"/>
      </w:pPr>
      <w:r>
        <w:t>583.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2026:</w:t>
      </w:r>
      <w:r>
        <w:t xml:space="preserve"> Navigating the talk at sea: Expanding conversational sequences in maritime communication — https://doi.org/10.17398/2340-2784.51.203</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This article makes the case for the expanded conversational sequences observable in a specific type of professional, radio-mediated communication -- interaction of vessel traffic services (VTS). Within the theoretical framework developed by Schegloff (2007) and Kendrick et al. (2020), we examined patterns of sequential expansion in VTS interaction via Very High Frequency (VHF) radio at a major port located in China. Using the method of Conversation Analysis to analyze the authentic, audio-recorded language data, we illustrated how functional motivations for sequential expansion in informal, ordinary conversations can be mobilized into the mechanisms of routinized maritime communication. We argue that 1) expansions happening at different sequential positions perform specific communicative functions to execute institutional practices in VTS interaction; and 2) that communicative meanings constructed via expanded sequences in VTS interaction have important procedural consequences and demonstrate distinct institutional adaptations to the core properties of human interactive language use. The findings not only build on the main lines of development in the application of conversation analysis to interaction in contextualized, specialized discourse, but also bring to light the limitations of stipulated communication protocols in safety-critical, high-stake talk.</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2025:</w:t>
      </w:r>
      <w:r>
        <w:t xml:space="preserve"> An Overview of Critical Success Factors for Digital Shipping Corridors: A Roadmap for Maritime Logistics Modernization — https://doi.org/10.3390/su17125537</w:t>
      </w:r>
    </w:p>
    <w:p>
      <w:pPr/>
      <w:r>
        <w:rPr>
          <w:b/>
        </w:rPr>
        <w:t>Shared claim-specific concepts:</w:t>
      </w:r>
      <w:r>
        <w:t xml:space="preserve"> maritime, enabling, conditions, sustainable; EU scope not established. This is a provisional connection, not an outcome finding.</w:t>
      </w:r>
    </w:p>
    <w:p>
      <w:pPr>
        <w:pStyle w:val="SourceNote"/>
      </w:pPr>
      <w:r>
        <w:rPr>
          <w:b/>
        </w:rPr>
        <w:t>Available abstract (not full text):</w:t>
      </w:r>
      <w:r>
        <w:t xml:space="preserve"> Digital Shipping Corridors (DSCs) are gaining traction as integrated models for increasing transparency, efficiency, and sustainability in maritime logistics. Yet, the enabling conditions for their effective implementation remain insufficiently explored. This study employs a qualitative thematic review approach, analyzing the academic literature, global policy documents, and selected case studies to identify and synthesize the critical success factors for DSC development. The analysis reveals seven interdependent factors: technological infrastructure, economic feasibility, regulatory frameworks, logistical efficiency, logistical security, stakeholder collaboration, and environmental sustainability. These factors are not independent but interact dynamically, requiring coordinated development across technical, institutional, and environmental domains. This study proposes a dynamic interaction framework that illustrates how progress in one area (e.g., digital infrastructure) depends on readiness in others (e.g., governance and cross-sector collaboration). The outcomes contribute both conceptually and practically. The framework offers a system-level understanding of DSC implementation and identifies key leverage points for intervention. The findings provide strategic guidance for policymakers, port authorities, and supply chain stakeholders pursuing digitally enabled sustainable ma</w:t>
      </w:r>
    </w:p>
    <w:p>
      <w:pPr/>
      <w:r>
        <w:rPr>
          <w:b/>
        </w:rPr>
        <w:t>POSSIBLE 2025:</w:t>
      </w:r>
      <w:r>
        <w:t xml:space="preserve"> Assessing the Impact of Climate Change on the Sustainability of the Maritime Environment's Fragmentation — https://doi.org/10.7176/jlpg/146-06</w:t>
      </w:r>
    </w:p>
    <w:p>
      <w:pPr/>
      <w:r>
        <w:rPr>
          <w:b/>
        </w:rPr>
        <w:t>Shared claim-specific concepts:</w:t>
      </w:r>
      <w:r>
        <w:t xml:space="preserve"> maritime, sustainable; EU scope not established. This is a provisional connection, not an outcome finding.</w:t>
      </w:r>
    </w:p>
    <w:p>
      <w:pPr>
        <w:pStyle w:val="SourceNote"/>
      </w:pPr>
      <w:r>
        <w:rPr>
          <w:b/>
        </w:rPr>
        <w:t>Available abstract (not full text):</w:t>
      </w:r>
      <w:r>
        <w:t xml:space="preserve"> The maritime environment is facing unprecedented environmental and security challenges. Sustainable maritime environmental development remains a pivotal issue in addressing marine environmental protection challenges. This is due to multifaceted activities being carried out within the marine environment. The current study investigated the fragmentation of the existing legislations and policies on maritime environment sustainability, which has significantly contributed to their inefficiency. To achieve that, the study employs a qualitative analysis of legal texts, case studies, and policy reviews surrounding the various provisions of the UNCLOS and its relationship to the SDG-14 while paying attention to the implementation at national and regional levels, especially in developing countries. It was discovered that the majority of current reports appear to demonstrate how slowly the sustainable development goals are being met. Communities that depend on the marine environment for their livelihoods are seriously in danger in developing nations along the coast. This study discovered that many developing nations face significant obstacles in fully implementing UNCLOS provisions due to limited financial, technological, and human resources. The challenges in monitoring vast ocean territories and enforcing compliance, particularly concerning illegal activities like overfishing and marine</w:t>
      </w:r>
    </w:p>
    <w:p>
      <w:pPr/>
      <w:r>
        <w:rPr>
          <w:b/>
        </w:rPr>
        <w:t>POSSIBLE 2024:</w:t>
      </w:r>
      <w:r>
        <w:t xml:space="preserve"> The Maritime Smuggling Project: Challenges Within Collaborative Maritime Policing in The Netherlands — https://doi.org/10.17645/oas.8446</w:t>
      </w:r>
    </w:p>
    <w:p>
      <w:pPr/>
      <w:r>
        <w:rPr>
          <w:b/>
        </w:rPr>
        <w:t>Shared claim-specific concepts:</w:t>
      </w:r>
      <w:r>
        <w:t xml:space="preserve"> maritime, enabling, sectors; EU scope visible. This is a provisional connection, not an outcome finding.</w:t>
      </w:r>
    </w:p>
    <w:p>
      <w:pPr>
        <w:pStyle w:val="SourceNote"/>
      </w:pPr>
      <w:r>
        <w:rPr>
          <w:b/>
        </w:rPr>
        <w:t>Available abstract (not full text):</w:t>
      </w:r>
      <w:r>
        <w:t xml:space="preserve"> The Netherlands hosts a significant drug industry involving global crime groups targeting local professionals, such as fishers for drug smuggling, real estate agents for money laundering, and harbor masters for marina access. To raise awareness of potential criminal involvement, various government organizations collaborate within an Organized Crime Field Lab. This approach shifts the focus from repressively apprehending criminals to protecting legal businesses and professionals by enabling the public to inform, detect, and report smuggling activities, and by helping relevant sectors identify and regulate activities that facilitate organized crime. This article examines how maritime policing professionals experience the process, outcomes, and challenges within the Maritime Smuggling Project (MSP) and its contribution to building a more resilient society against criminal involvement. Based on 34 interviews, hybrid observations, and an online questionnaire with MSP participants, the study suggests that maritime criminal justice relies on the idea that a resilient community is less likely to engage in or facilitate criminal maritime activities. However, it also indicates that collaboration in itself is not enough to create an impact on policing. Findings reveal that innovations in criminal justice need open‐ended, long‐term, impact‐focused responses from projects like the MSP, alon</w:t>
      </w:r>
    </w:p>
    <w:p>
      <w:pPr>
        <w:pStyle w:val="Heading2"/>
      </w:pPr>
      <w:r>
        <w:t>584.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2026:</w:t>
      </w:r>
      <w:r>
        <w:t xml:space="preserve"> Study of asymptotes in upper secondary mathematics education: A praxeological analysis of textbooks in Croatia — https://doi.org/10.29333/iejme/18924</w:t>
      </w:r>
    </w:p>
    <w:p>
      <w:pPr/>
      <w:r>
        <w:rPr>
          <w:b/>
        </w:rPr>
        <w:t>Shared claim-specific concepts:</w:t>
      </w:r>
      <w:r>
        <w:t xml:space="preserve"> croatia, acknowledging, framework; EU scope visible. This is a provisional connection, not an outcome finding.</w:t>
      </w:r>
    </w:p>
    <w:p>
      <w:pPr>
        <w:pStyle w:val="SourceNote"/>
      </w:pPr>
      <w:r>
        <w:rPr>
          <w:b/>
        </w:rPr>
        <w:t>Available abstract (not full text):</w:t>
      </w:r>
      <w:r>
        <w:t xml:space="preserve"> The notion of the asymptote is part of the upper secondary and university mathematics curriculum. Acknowledging the existing literature on student issues with asymptotes and the influential role of textbooks in mathematics education, we examined the knowledge of asymptotes provided in upper secondary mathematics textbooks in Croatia. Within the framework of the Anthropological Theory of the Didactic, we constructed a reference model for the study of asymptotes and conducted a systematic and detailed textbook analysis, focusing on praxeological organisation, ostensive manifestations, and the process of study. The analysis revealed that textbooks fail to connect knowledge and representations of asymptotes across different contexts, to organise the process of study in a mathematically and pedagogically coherent manner, and to address recognised student issues related to asymptotes. This study contributes to the research on asymptotes and textbook analysis, and proposes a reference model based on exploration using different representations, analogous work, and the construction of a generalised discourse.</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2025:</w:t>
      </w:r>
      <w:r>
        <w:t xml:space="preserve"> Assessing Sustainable Development Performance and Alternative Concepts in a Group of Developed Countries in Europe — https://doi.org/10.35784/preko.6666</w:t>
      </w:r>
    </w:p>
    <w:p>
      <w:pPr/>
      <w:r>
        <w:rPr>
          <w:b/>
        </w:rPr>
        <w:t>Shared claim-specific concepts:</w:t>
      </w:r>
      <w:r>
        <w:t xml:space="preserve"> alternative, developed; EU scope visible. This is a provisional connection, not an outcome finding.</w:t>
      </w:r>
    </w:p>
    <w:p>
      <w:pPr>
        <w:pStyle w:val="SourceNote"/>
      </w:pPr>
      <w:r>
        <w:rPr>
          <w:b/>
        </w:rPr>
        <w:t>Available abstract (not full text):</w:t>
      </w:r>
      <w:r>
        <w:t xml:space="preserve"> This study evaluates the progress of 31 countries, including EU member states, Norway, Iceland, Switzerland, and the United Kingdom (UK), towards the United Nations (UN) 2030 Agenda for Sustainable Development (SD) and its 17 Sustainable Development Goals (SDGs) over the period 2012–2020. The analysis employs indicators from the EU SDG indicator set, which monitors progress towards the SDGs within the EU context. The objective is to identify which sustainability concepts these countries gravitate towards as they advance towards the SDGs and specific indicators within the EU SDG set. The study assesses progress and alignment with the overarching concept of sustainable development as well as with more focused practical approaches, such as green economy/growth and circular economy, and more complex alternative concepts like degrowth and compassionate economy. The biclustering method is applied to uncover relationships between countries and indicators, resulting in clusters that combine five groups of countries with ten groups of indicators. These clusters exhibit varying degrees of progress across sustainable development, green economy/growth, circular economy, compassionate economy, and degrowth based on the indicator values. Norway, Switzerland, the Netherlands, and Sweden are identified as the top performers in overall sustainability. Notably, Switzerland and Norway show the gr</w:t>
      </w:r>
    </w:p>
    <w:p>
      <w:pPr>
        <w:pStyle w:val="Heading2"/>
      </w:pPr>
      <w:r>
        <w:t>585.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586.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587.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European Expert Opinion Statement on Paediatric Organ Donation Stresses Best Practice in Parent Communication — https://doi.org/10.1111/apa.70479</w:t>
      </w:r>
    </w:p>
    <w:p>
      <w:pPr/>
      <w:r>
        <w:rPr>
          <w:b/>
        </w:rPr>
        <w:t>Shared claim-specific concepts:</w:t>
      </w:r>
      <w:r>
        <w:t xml:space="preserve"> likely, addressing, line; EU scope visible. This is a provisional connection, not an outcome finding.</w:t>
      </w:r>
    </w:p>
    <w:p>
      <w:pPr>
        <w:pStyle w:val="SourceNote"/>
      </w:pPr>
      <w:r>
        <w:rPr>
          <w:b/>
        </w:rPr>
        <w:t>Available abstract (not full text):</w:t>
      </w:r>
      <w:r>
        <w:t xml:space="preserve"> This paper provides a European expert opinion statement on paediatric organ donation, with a specific focus on best practice and communication with the parents of potential donors. Paediatric deceased organ donation is an incredibly altruistic gift that represents the best of humanity. Many children on transplant waiting lists cannot receive an organ from living or deceased adults, due to their need for small organs. For example, a child weighing 10 kg can only receive a heart from a deceased child. In Europe, it is usually the parents who decide to donate the organs of their dying or dead child. It is extremely rare for a child to have the capacity to do so before the withdrawal of life-sustaining therapy (WLST), in advance of circulatory determination of death. Given the mortality rates on paediatric waiting lists, parents should be supported to make positive decisions. This includes health professionals addressing issues that may inadvertently prevent or deter any decision to donate [1]. In our opinion, European paediatric, emergency department and intensive care unit (ICU) teams should facilitate organ donation. It is vital that they collaborate with specialist organ donation teams throughout the admission of a potential child donor. This process should start with early notification during the initial care of a child with a severe brain injury, especially if death by neurol</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2025:</w:t>
      </w:r>
      <w:r>
        <w:t xml:space="preserve"> A Possible Way to Enhance European Competitiveness — https://doi.org/10.34190/ecie.20.1.3930</w:t>
      </w:r>
    </w:p>
    <w:p>
      <w:pPr/>
      <w:r>
        <w:rPr>
          <w:b/>
        </w:rPr>
        <w:t>Shared claim-specific concepts:</w:t>
      </w:r>
      <w:r>
        <w:t xml:space="preserve"> possible, hungarian, international;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588.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589.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2026:</w:t>
      </w:r>
      <w:r>
        <w:t xml:space="preserve"> Externalisation within the migration policy of the European Union — https://doi.org/10.15170/pjiel.2025.2.2</w:t>
      </w:r>
    </w:p>
    <w:p>
      <w:pPr/>
      <w:r>
        <w:rPr>
          <w:b/>
        </w:rPr>
        <w:t>Shared claim-specific concepts:</w:t>
      </w:r>
      <w:r>
        <w:t xml:space="preserve"> union, analyse, between; EU scope visible. This is a provisional connection, not an outcome finding.</w:t>
      </w:r>
    </w:p>
    <w:p>
      <w:pPr>
        <w:pStyle w:val="SourceNote"/>
      </w:pPr>
      <w:r>
        <w:rPr>
          <w:b/>
        </w:rPr>
        <w:t>Available abstract (not full text):</w:t>
      </w:r>
      <w:r>
        <w:t xml:space="preserve"> The externalisation of the migration policy within the European Union is a new approach of blocking migrants from the possibility of activating the safeguards of the European human rights. Despite having several case studies and mal-practices of the externalisation globally (e.g. the practice of the USA or Australia), the EU is uncovering its own approach – with its own flaws. This article offers to present the existing externalisation agreements between the EU and its partner countries, shows improper procedures and gives recommendations in order to be more humane towards persons arriving to Europe. The methodology of the paper is to analyse the text of the partnerships, then analyse their execution. Problematic practices and procedures are highlighted. In the recommendationspart, the author attempts to give solutions to these issues.</w:t>
      </w:r>
    </w:p>
    <w:p>
      <w:pPr/>
      <w:r>
        <w:rPr>
          <w:b/>
        </w:rPr>
        <w:t>POSSIBLE 2026:</w:t>
      </w:r>
      <w:r>
        <w:t xml:space="preserve"> The European Union and Latin America : normative encounters — https://doi.org/10.82444/warw.33769111</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current doctoral research looks at how norm entrepreneur and norm interpreter interact, highlighting the limitations of previous research in recognising the agency of the norm interpreter and the complex interactions between the two actors. Normative encounters is coined as a central concept for understanding how the EU as norm entrepreneur creates normative dialogues with its interlocutors, in this case Latin American regional organisations. Two dynamics are proposed to show how normative encounters happen or are prevented from doing so. On one side, an analysis is made of cases in which the norm entrepreneur attempts to diffuse its norms to the norm interpreter that localises the norms which are then incorporated (or not) in concrete policies through policy entrepreneurship. On the other side, an equally important dynamic starts with the norm interpreter that creates new norms though norm subsidiarity, diffuses this new normative content and creates a need for the initial norm entrepreneur to adapt its normative approach and to make it visible to the norm interpreter through concrete policies. By using concepts from both International Relations and public policy studies, the thesis questions and updates the way of looking at the European Union as a normative actor. It also explores the link between norms and policies by analysing the European Union cooperation for develop</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Comparing the Foreign Policy Identities of the United States of America and the European Union in Climate Communications and National Narratives — https://doi.org/10.35784/preko.8643</w:t>
      </w:r>
    </w:p>
    <w:p>
      <w:pPr/>
      <w:r>
        <w:rPr>
          <w:b/>
        </w:rPr>
        <w:t>Shared claim-specific concepts:</w:t>
      </w:r>
      <w:r>
        <w:t xml:space="preserve"> union, including, between; EU scope visible. This is a provisional connection, not an outcome finding.</w:t>
      </w:r>
    </w:p>
    <w:p>
      <w:pPr>
        <w:pStyle w:val="SourceNote"/>
      </w:pPr>
      <w:r>
        <w:rPr>
          <w:b/>
        </w:rPr>
        <w:t>Available abstract (not full text):</w:t>
      </w:r>
      <w:r>
        <w:t xml:space="preserve"> The aim of the study was to determine the specifics of the formation and transformation of the foreign policy positions of the United States of America (USA) and the European Union (EU) based on a comprehensive analysis of the climate communications and public diplomacy in the global context. Using the methods of discourse analysis, content analysis, and comparative analysis, the author studied materials for the period 2015-2023, including international agreements, national strategies, and policy documents. On this basis, the dominant narratives, rhetorical strategies, and value orientations that shaped the unique international positions of the United States as a technological leader and the EU as a normative force were identified. The study results revealed significant differences in strategic approaches: The US focused on technological innovations, competitive advantages, and economic opportunities, while the EU emphasised the values of multilateral cooperation, collective responsibility, and inclusive dialogue. It was found that the transformation of public narratives and communication strategies correlated with changes in political administrations in the US and institutional reforms in the EU, which was reflected in the change in rhetoric, priorities, and mechanisms for implementing climate policy. The study demonstrated a significant evolution of the approaches of both act</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first, greenhouse, gas, emissions, including, transport;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pStyle w:val="Heading2"/>
      </w:pPr>
      <w:r>
        <w:t>590.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2026:</w:t>
      </w:r>
      <w:r>
        <w:t xml:space="preserve"> Translation and Validation of the Khasi version of European Organisation for Research and Treatment of Cancer Core Quality of Life Questionnaire (EORTC QLQ-C-30) and Oesophageal Cancer module (EORTC QLQ-OES-18) — https://doi.org/10.25259/ijpc_192_2025</w:t>
      </w:r>
    </w:p>
    <w:p>
      <w:pPr/>
      <w:r>
        <w:rPr>
          <w:b/>
        </w:rPr>
        <w:t>Shared claim-specific concepts:</w:t>
      </w:r>
      <w:r>
        <w:t xml:space="preserve"> materials, methods, questionnaire, health, process; EU scope visible. This is a provisional connection, not an outcome finding.</w:t>
      </w:r>
    </w:p>
    <w:p>
      <w:pPr>
        <w:pStyle w:val="SourceNote"/>
      </w:pPr>
      <w:r>
        <w:rPr>
          <w:b/>
        </w:rPr>
        <w:t>Available abstract (not full text):</w:t>
      </w:r>
      <w:r>
        <w:t xml:space="preserve"> Objectives: Oesophageal cancer (OC) is characterised by poor prognosis, a significant reduction in Quality of Life (QoL) and requirement for morbid therapy. The highest age-adjusted rate of OC incidence in India was seen in the East Khasi Hills district of Meghalaya, being 10 times the national average. This study aimed to develop and validate Khasi translations of the European Organisation for Research and Treatment of Cancer Core Quality of Life questionnaire (EORTC QLQ-C-30) Version 3.0 and EORTC QLQ-OES-18 questionnaires for use in the Khasi-speaking population of Meghalaya. Materials and Methods: This study was conducted as a part of a hospital-based cross-sectional study to develop and validate a Khasi-translated version of the QLQ-C-30 and QLQ-OES-18 questionnaires. The questionnaire was translated into the local (Khasi) language and validated (two-phase process: Two forward translations, two backward translations, followed by pilot testing). Reliability assessment was done using Cronbach's alpha. The construct validity and the correlation of each scale of the QLQ-C30 and QLQ-OES18 were evaluated using Spearman's correlation coefficient (r). Results: Cronbach's alpha was satisfactory (&gt;0.70) for all the scales of QLQ-C-30 and QLQ-OES-18. Convergent validity was moderate to high (r = 0.541 to 0.995) (Global health domain convergent validity r = 0.983-0.995), whereas discr</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pStyle w:val="Heading2"/>
      </w:pPr>
      <w:r>
        <w:t>591.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2026:</w:t>
      </w:r>
      <w:r>
        <w:t xml:space="preserve"> Life expectancy nexus mortality in 14 selected SADC countries with trend analysis — https://doi.org/10.1007/s44257-026-00088-z</w:t>
      </w:r>
    </w:p>
    <w:p>
      <w:pPr/>
      <w:r>
        <w:rPr>
          <w:b/>
        </w:rPr>
        <w:t>Shared claim-specific concepts:</w:t>
      </w:r>
      <w:r>
        <w:t xml:space="preserve"> mortality, between, high, life, expectancy, over; EU scope not established. This is a provisional connection, not an outcome finding.</w:t>
      </w:r>
    </w:p>
    <w:p>
      <w:pPr>
        <w:pStyle w:val="SourceNote"/>
      </w:pPr>
      <w:r>
        <w:rPr>
          <w:b/>
        </w:rPr>
        <w:t>Available abstract (not full text):</w:t>
      </w:r>
      <w:r>
        <w:t xml:space="preserve"> Abstract Background This study provides a plethora of dimensional analysis of the relationship between life expectancy (LE) and various mortality-related indicators across 14 selected Southern African Development Community (SADC) countries over a 13-year historical period. Objective The objective of the study is to analyze the historical impacts of health and economic indicators on life expectancy from 2010 to 2022 and to forecast regional development trends up to 2027. Method The study covers 14 specific nations: Angola, Botswana, Comoros, the Democratic Republic of Congo (DRC), Eswatini, Lesotho, Madagascar, Malawi, Mauritius, Mozambique, Namibia, South Africa, Zambia, and Zimbabwe. Methodologically, a dynamic panel Generalized Method of Moments (GMM) and a machine learning Random Forest model were deployed using Python and R (version 4.5.3) for data analysis and predictive modelling. Results The correlation analysis identified infant mortality (IM), under-5 mortality and HIV prevalence (HIVP) as the most significant negative predictors oscillating between − 0.72 and − 0.90 of life expectancy, GDP per capita serves as a critical positive predictor. Key findings reveal a general upward trend in life expectancy across the SADC region over the 13-year historical period, although a notable dip occurred around 2021, likely due to the impact of the COVID-19 pandemic. The random for</w:t>
      </w:r>
    </w:p>
    <w:p>
      <w:pPr>
        <w:pStyle w:val="Heading2"/>
      </w:pPr>
      <w:r>
        <w:t>592.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2026:</w:t>
      </w:r>
      <w:r>
        <w:t xml:space="preserve"> European Cross-Border Heritage Projects : Borderless Memories, Shared Destinations — https://doi.org/10.13137/2611-2914/38713</w:t>
      </w:r>
    </w:p>
    <w:p>
      <w:pPr/>
      <w:r>
        <w:rPr>
          <w:b/>
        </w:rPr>
        <w:t>Shared claim-specific concepts:</w:t>
      </w:r>
      <w:r>
        <w:t xml:space="preserve"> article, author, presents, significant, role; EU scope visible. This is a provisional connection, not an outcome finding.</w:t>
      </w:r>
    </w:p>
    <w:p>
      <w:pPr>
        <w:pStyle w:val="SourceNote"/>
      </w:pPr>
      <w:r>
        <w:rPr>
          <w:b/>
        </w:rPr>
        <w:t>Available abstract (not full text):</w:t>
      </w:r>
      <w:r>
        <w:t xml:space="preserve"> This article explores the role of memory tourism in European borderlands, with particular attention to processes of cultural valorisation and cross-border cooperation in contexts shaped by the legacy of the world wars. Following a brief theoretical framework based on key concepts from the sociology of memory and border studies, this article presents a selection of significant European projects in which wartime heritage has been transformed into sustainable and participatory tourist itineraries. In these cases, national memories and divergent narratives have become opportunities for dialogue and development. In response to these challenges – such as the risk of sensationalism, exclusion of minority memories, and divisive governance – the author proposes an “Ethical Code for Memory Tourism” based on principles such as respect for historical dignity, narrative inclusion, engagement of local communities, civic education, sustainability, cross-border cooperation, and impact monitoring.</w:t>
      </w:r>
    </w:p>
    <w:p>
      <w:pPr/>
      <w:r>
        <w:rPr>
          <w:b/>
        </w:rPr>
        <w:t>POSSIBLE 2026:</w:t>
      </w:r>
      <w:r>
        <w:t xml:space="preserve"> EXTENSION OF THE EUROPEAN PUBLIC PROSECUTOR'S OFFICE'S COMPETENCE TO ENVIRONMENTAL CRIME: IS THE CURRENT MODEL SUFFICIENT? — https://doi.org/10.33542/sic2026-2-04</w:t>
      </w:r>
    </w:p>
    <w:p>
      <w:pPr/>
      <w:r>
        <w:rPr>
          <w:b/>
        </w:rPr>
        <w:t>Shared claim-specific concepts:</w:t>
      </w:r>
      <w:r>
        <w:t xml:space="preserve"> article, author, presents, union; EU scope visible. This is a provisional connection, not an outcome finding.</w:t>
      </w:r>
    </w:p>
    <w:p>
      <w:pPr>
        <w:pStyle w:val="SourceNote"/>
      </w:pPr>
      <w:r>
        <w:rPr>
          <w:b/>
        </w:rPr>
        <w:t>Available abstract (not full text):</w:t>
      </w:r>
      <w:r>
        <w:t xml:space="preserve"> The article addresses the issue of extending the competence of the European Public Prosecutor’s Office to environmental crime within the context of the fragmented system of criminal law enforcement in the European Union. It is based on an analysis of environmental crime as a specific form of cross-border criminality that exceeds the capacity of individual Member States to respond effectively. The author examines the current competence framework of the European Public Prosecutor’s Office, identifies its limitations and assesses its ability to respond to emerging forms of criminality. Attention is also given to the problems of fragmented enforcement and conflicts of jurisdiction. On the basis of this analysis, the article presents models for the possible extension of the EPPO’s competence and evaluates their implications, including from a national perspective with a focus on the Slovak Republic. The article concludes with de lege ferenda proposals aimed at enhancing the effectiveness and coherence of environmental criminal law enforcement at the level of the European Union.</w:t>
      </w:r>
    </w:p>
    <w:p>
      <w:pPr/>
      <w:r>
        <w:rPr>
          <w:b/>
        </w:rPr>
        <w:t>POSSIBLE 2026:</w:t>
      </w:r>
      <w:r>
        <w:t xml:space="preserve"> Party-Political Model of European Union in the Context of Transition to Strategic Autonomy — https://doi.org/10.20542/0131-2227-2026-70-6-29-41</w:t>
      </w:r>
    </w:p>
    <w:p>
      <w:pPr/>
      <w:r>
        <w:rPr>
          <w:b/>
        </w:rPr>
        <w:t>Shared claim-specific concepts:</w:t>
      </w:r>
      <w:r>
        <w:t xml:space="preserve"> article, author, presents, aspects, union, increase; EU scope visible. This is a provisional connection, not an outcome finding.</w:t>
      </w:r>
    </w:p>
    <w:p>
      <w:pPr>
        <w:pStyle w:val="SourceNote"/>
      </w:pPr>
      <w:r>
        <w:rPr>
          <w:b/>
        </w:rPr>
        <w:t>Available abstract (not full text):</w:t>
      </w:r>
      <w:r>
        <w:t xml:space="preserve"> The article analyzes the main aspects of the European Union’s transition to strategic autonomy and the impact of the results of its party-political model renewal, following the European election in 2024, on this process. The author pays special attention to the issue of improving interaction between the EU’s leading political institutions the European Council, the European Parliament and the European Commission, – on the one hand, and European civil society, on the other hand, which will increase the degree of these institutions’ legitimacy and involve representatives of civil society in the decision-making process at the Union level, including in the problem of its strategic autonomy. However, the solution to this problem is impossible without strengthening the pan-European socio-political space, and radically reforming the existing party-political model at the EU level, since European parties are key communicators between authorities and citizens. The article presents some thoughts on how the regulations of the European Parliament and the Council should be reformed in order to provide European parties with more opportunities to improve their interaction with civil society institutions at the EU level, including by increasing their funding. The results of the transformation of the leading European parties’ programmatic positions on the eve and during these elections are consid</w:t>
      </w:r>
    </w:p>
    <w:p>
      <w:pPr/>
      <w:r>
        <w:rPr>
          <w:b/>
        </w:rPr>
        <w:t>POSSIBLE 2026:</w:t>
      </w:r>
      <w:r>
        <w:t xml:space="preserve"> Invisible Contributors Task Authors at the IOI and EGOI — https://doi.org/10.15388/ioi.2026.06</w:t>
      </w:r>
    </w:p>
    <w:p>
      <w:pPr/>
      <w:r>
        <w:rPr>
          <w:b/>
        </w:rPr>
        <w:t>Shared claim-specific concepts:</w:t>
      </w:r>
      <w:r>
        <w:t xml:space="preserve"> article, author, presents, over; EU scope visible. This is a provisional connection, not an outcome finding.</w:t>
      </w:r>
    </w:p>
    <w:p>
      <w:pPr>
        <w:pStyle w:val="SourceNote"/>
      </w:pPr>
      <w:r>
        <w:rPr>
          <w:b/>
        </w:rPr>
        <w:t>Available abstract (not full text):</w:t>
      </w:r>
      <w:r>
        <w:t xml:space="preserve"> This article presents what is believed to be the first comprehensive catalogue of task authors for both the International Olympiad in Informatics (IOI) and the European Girls’ Olympiad in Informatics (EGOI). The IOI catalogue identifies authors for 183 of 207 tasks across 37 editions; the EGOI catalogue covers all 40 tasks across 5 editions. An analysis of the contestant-to-author pipeline reveals that 66 of the 135 known IOI task authors (49%) were themselves IOI contestants, with this proportion increasing over time since the first such author appeared in 2001. A gender analysis reveals that, across both competitions, only nine distinct women have ever authored a task: six appear at the IOI and four at the EGOI, with Monika Steinová the sole overlap. IOI 1995 in the Netherlands holds the record for the highest female authorship share ever at either competition, at 33%. The data is offered as a resource for the community and as an invitation to fill the remaining gaps.</w:t>
      </w:r>
    </w:p>
    <w:p>
      <w:pPr>
        <w:pStyle w:val="Heading2"/>
      </w:pPr>
      <w:r>
        <w:t>593.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2026:</w:t>
      </w:r>
      <w:r>
        <w:t xml:space="preserve"> Operational Decision-Making for Sustainable Food Transportation: A Preliminary Local Area Energy Planning Framework for Decarbonising Freight Systems in Lincolnshire, UK — https://doi.org/10.3390/futuretransp6020075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The transition to net-zero energy systems requires operationally grounded decision-making frameworks that integrate technology performance, infrastructure readiness, and policy constraints at local scale. Food transportation represents a high-emission and operationally critical component of regional energy and supply chain systems, particularly in food-producing regions. This study proposes a preliminary Local Area Energy Planning (LAEP) framework to support operational decision-making for the decarbonisation of food transportation, using Lincolnshire, UK, as a case study. The framework evaluates alternative freight transport technologies—battery electric vehicles (BEVs), hydrogen fuel cell electric vehicles (HFCEVs), battery electric road systems (BERS), and conventional internal combustion engine vehicles—across energy efficiency, CO2 emissions, infrastructure requirements, and cost implications. Secondary data from national statistics, regional planning documents, and peer-reviewed literature are analysed using comparative quantitative and qualitative assessment methods. Results indicate that BEVs currently offer the most energy-efficient and cost-effective solution for short-haul and last-mile food logistics, achieving overall efficiencies of approximately 77–82% with zero tailpipe emissions. HFCEVs and BERS present potential long-term operational advantages for heavy-duty </w:t>
      </w:r>
    </w:p>
    <w:p>
      <w:pPr/>
      <w:r>
        <w:rPr>
          <w:b/>
        </w:rPr>
        <w:t>POSSIBLE 2026:</w:t>
      </w:r>
      <w:r>
        <w:t xml:space="preserve"> Improving the environmental performance of electric vehicles as the grid decarbonises: Design interventions to reduce embodied emissions and in-use energy losses of switched reluctance motors — https://doi.org/10.1016/j.ecmx.2026.101829</w:t>
      </w:r>
    </w:p>
    <w:p>
      <w:pPr/>
      <w:r>
        <w:rPr>
          <w:b/>
        </w:rPr>
        <w:t>Shared claim-specific concepts:</w:t>
      </w:r>
      <w:r>
        <w:t xml:space="preserve"> investigate; EU scope visible. This is a provisional connection, not an outcome finding.</w:t>
      </w:r>
    </w:p>
    <w:p>
      <w:pPr>
        <w:pStyle w:val="SourceNote"/>
      </w:pPr>
      <w:r>
        <w:rPr>
          <w:b/>
        </w:rPr>
        <w:t>Available abstract (not full text):</w:t>
      </w:r>
      <w:r>
        <w:t xml:space="preserve"> The transport sector is rapidly electrifying, so demand for electric motors is predicted to rise, while emissions associated with vehicle use will decline in-line with grid decarbonisation. This motivates attention towards the embodied emissions of the motors, together with critical raw material and recyclability concerns associated with permanent magnets and copper. This study investigates design interventions to a magnet-free, copper-free, automotive switched reluctance motor (SRM), aiming to improve its environmental performance, while exploring the balance between emissions phases as the grid decarbonises. For the first time, a “Morphological Analysis” approach is used to systematically investigate possible combinations of these motor design interventions. Significant potential savings are identified in both embodied emissions and in-use energy losses, improving environmental performance beyond permanent magnet motors reported in literature. Changes to individual components could reduce embodied emissions by 33%, and in-use losses by 44%. Combining interventions through the morphological method, embodied emissions could be reduced by 80%, and in-use losses by 68%. Total emissions depend on grid carbon. In the UK today, lifetime emissions are minimised by reducing in-use losses. In Sweden, with its largely decarbonised grid, lifetime emissions are minimised by reducing embod</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pStyle w:val="Heading2"/>
      </w:pPr>
      <w:r>
        <w:t>594.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2026:</w:t>
      </w:r>
      <w:r>
        <w:t xml:space="preserve"> CHANGES IN THE EUROPEAN IDEOLOGICAL SPACE IN UKRAINIAN AND EUROPEAN ACADEMIC DISCOURSE — https://doi.org/10.17721/2308-135x.2026.82.33-42</w:t>
      </w:r>
    </w:p>
    <w:p>
      <w:pPr/>
      <w:r>
        <w:rPr>
          <w:b/>
        </w:rPr>
        <w:t>Shared claim-specific concepts:</w:t>
      </w:r>
      <w:r>
        <w:t xml:space="preserve"> main, goal, why; EU scope visible. This is a provisional connection, not an outcome finding.</w:t>
      </w:r>
    </w:p>
    <w:p>
      <w:pPr>
        <w:pStyle w:val="SourceNote"/>
      </w:pPr>
      <w:r>
        <w:rPr>
          <w:b/>
        </w:rPr>
        <w:t>Available abstract (not full text):</w:t>
      </w:r>
      <w:r>
        <w:t xml:space="preserve"> Goal. The article aims to summarise recent academic research on changes in electoral behaviour and ideological orientations in European Union countries. It compares Western and Ukrainian research agendas and highlights the importance of spatial differences in voting. Methods. The paper is an analytical literature review drawing on political science, sociology, political economy, and political geography. A comparative approach is used to identify key topics and typical explanations of electoral change. The reviewed studies are grouped by the main drivers they emphasise: institutional, economic, socio-cultural, or place-based factors. The spatial dimension is discussed through research on regional differences, the urban–rural divide, local decline, and uneven development. Results. The review indicates that mainstream centre-left and centre-right parties have been losing support, while populist and Eurosceptic parties - especially on the right - have gained strength in many EU countries. Political science accounts often link these trends to party-system changes, coalition patterns, new political conflicts, and the impact of European integration. Economic approaches focus more on crises, inequality, expectations, and subjective well-being, often stressing the role of political trust. Socio-cultural research highlights education, generational change, migration, and value conflicts a</w:t>
      </w:r>
    </w:p>
    <w:p>
      <w:pPr/>
      <w:r>
        <w:rPr>
          <w:b/>
        </w:rPr>
        <w:t>POSSIBLE 2026:</w:t>
      </w:r>
      <w:r>
        <w:t xml:space="preserve"> Institutional Change and Path Dependence in the European Energy Transition under the Goal of Carbon Neutrality — https://doi.org/10.54254/2754-1169/2026.ld32020</w:t>
      </w:r>
    </w:p>
    <w:p>
      <w:pPr/>
      <w:r>
        <w:rPr>
          <w:b/>
        </w:rPr>
        <w:t>Shared claim-specific concepts:</w:t>
      </w:r>
      <w:r>
        <w:t xml:space="preserve"> main, goal, achieve, strategic; EU scope visible. This is a provisional connection, not an outcome finding.</w:t>
      </w:r>
    </w:p>
    <w:p>
      <w:pPr>
        <w:pStyle w:val="SourceNote"/>
      </w:pPr>
      <w:r>
        <w:rPr>
          <w:b/>
        </w:rPr>
        <w:t>Available abstract (not full text):</w:t>
      </w:r>
      <w:r>
        <w:t xml:space="preserve"> Against the backdrop of intensifying global climate change and frequent climate-related disasters, carbon neutrality has become a common goal worldwide. The European Green Deal, initiated by the European Union (EU), sets forth a strategic objective to achieve carbon neutrality by 2050. It seeks to change the energy system through three key strategies: promoting renewable energy, increasing energy efficiency, and ramping up investment in green technologies. However, the energy crisis sparked by the Russia-Ukraine conflict, along with slow progress in renewable energy adoption, has highlighted the institutional obstacles and path-dependent issues within Europe's energy transition. The differing energy policies of member states, technical challenges, and political dependencies have all hindered the EU's progress toward its carbon neutrality goals. Thus, identifying effective approaches to break through these constraints has become the linchpin for advancing the green transition. Based on a review of policy documents issued by the EU and its member states, along with relevant academic literature, this paper analyzes the institutional changes and path-dependent issues encountered during the implementation of the European Green Deal, drawing on EU energy statistics. The results reveal that legal frameworks, capital allocation mechanisms, and social mobilization are the key drivers of</w:t>
      </w:r>
    </w:p>
    <w:p>
      <w:pPr>
        <w:pStyle w:val="Heading2"/>
      </w:pPr>
      <w:r>
        <w:t>595.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2026:</w:t>
      </w:r>
      <w:r>
        <w:t xml:space="preserve"> German Election Study, 1994 (Politbarometer West) — https://doi.org/10.3886/icpsr34716</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West surveys for 1994. Interviews were conducted with German citizens living in areas that were part of the former West Germany. Questions focused on a wide range of political issues, including respondents' opinions of German political parties and politicians, both before and after the German Federal Parliamentary election of 1994. A few topics were covered in all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 preference for voting by absentee ballot versus voting in the polling station. - certainty and time of personal vote decision. - attitude toward a one-party government of CDU/CSU (Christlich Demokratischen Union Deutschlands or Democratic Chris</w:t>
      </w:r>
    </w:p>
    <w:p>
      <w:pPr/>
      <w:r>
        <w:rPr>
          <w:b/>
        </w:rPr>
        <w:t>POSSIBLE 2026:</w:t>
      </w:r>
      <w:r>
        <w:t xml:space="preserve"> Analyzing hobby-gardeners' purchase intentions for peat-reduced potting soils in Germany, UK and USA – An extended theory of planned behavior approach — https://doi.org/10.1016/j.clrc.2026.100507</w:t>
      </w:r>
    </w:p>
    <w:p>
      <w:pPr/>
      <w:r>
        <w:rPr>
          <w:b/>
        </w:rPr>
        <w:t>Shared claim-specific concepts:</w:t>
      </w:r>
      <w:r>
        <w:t xml:space="preserve"> germany, greenhouse; EU scope visible. This is a provisional connection, not an outcome finding.</w:t>
      </w:r>
    </w:p>
    <w:p>
      <w:pPr>
        <w:pStyle w:val="SourceNote"/>
      </w:pPr>
      <w:r>
        <w:rPr>
          <w:b/>
        </w:rPr>
        <w:t>Available abstract (not full text):</w:t>
      </w:r>
      <w:r>
        <w:t xml:space="preserve"> Peat is an important raw material for high-quality potting soils in horticulture. Since this use is associated with the release of greenhouse gases, governments, especially in Europe, are striving to reduce the proportion of peat in potting soils. As consumer reactions are hardly analyzed in this field, we investigate the purchase intention for peat-reduced potting soils in Germany, the UK, and the US using an extended framework of the theory of planned behavior (TPB). The results show a limited power of the classical TPB model parameters in explaining the differences between the three analyzed countries. Concerning the extended framework, variables related to the situation at the point of sale show the strongest influence on the purchase intention. Based on these results, we derive recommendations for marketing activities for peat-reduced potting soils to increase gardeners’ interest in such products.</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2025:</w:t>
      </w:r>
      <w:r>
        <w:t xml:space="preserve"> Solar energy on all suitable roof areas? Homeowners’ acceptance of government subsidies and smart energy services in Germany — https://doi.org/10.1186/s13705-025-00547-7</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Abstract Background Photovoltaic (PV) systems are nowadays a central pillar in the expansion of renewable energy in Germany. Nevertheless, further significant growth in renewable energy will be needed in the future to meet the national emission reduction targets set by the German government. Homeowners play a crucial role in the expansion of PV capacity. In a discrete choice experiment, we empirically examine the impact of a large number of dimensions on homeowners’ PV adoption, including attributes that have received less attention in the literature so far, such as the included (smart energy) services, government subsidies, and forms of financing. Results Our results show that increasing levels of smart energy services for PV systems increase respondents’ valuation of smart energy services, while increasing the access rights of the contractual partner has a negative impact on the valuation. The latter negative effect is mitigated by an element of co-determination. Furthermore, our results point to the importance of government subsidies as a measure to increase PV adoption. Participants preferred one-time (or continuous) payments over continuous (or one-time) payments when government grants amounted to 40% (or 10%) of the investment cost; they were indifferent between both forms when subsidies amounted to 20% of the investment cost. Homeowners clearly preferred loan financing t</w:t>
      </w:r>
    </w:p>
    <w:p>
      <w:pPr/>
      <w:r>
        <w:rPr>
          <w:b/>
        </w:rPr>
        <w:t>POSSIBLE 2025:</w:t>
      </w:r>
      <w:r>
        <w:t xml:space="preserve"> Europe at the End of the Fifteenth Century — https://doi.org/10.4324/9781003607526-2</w:t>
      </w:r>
    </w:p>
    <w:p>
      <w:pPr/>
      <w:r>
        <w:rPr>
          <w:b/>
        </w:rPr>
        <w:t>Shared claim-specific concepts:</w:t>
      </w:r>
      <w:r>
        <w:t xml:space="preserve"> government, even, before, all, germany; EU scope visible. This is a provisional connection, not an outcome finding.</w:t>
      </w:r>
    </w:p>
    <w:p>
      <w:pPr>
        <w:pStyle w:val="SourceNote"/>
      </w:pPr>
      <w:r>
        <w:rPr>
          <w:b/>
        </w:rPr>
        <w:t>Available abstract (not full text):</w:t>
      </w:r>
      <w:r>
        <w:t xml:space="preserve"> T HE sixteenth century has one well-marked characteristic. At the beginning secular interests entirely dominated its politics. The ambitions of princes and the rivalries of states at first claim all our attention. The Papacy was important, but chiefly because it was itself an independent and secular power, with special skill in diplomatic finesse. International politics were governed by the motives —they cannot be called principles—which were later to be known as the Balance of Power. The princes fought for power and territory; the armies fought for pay. It seemed in the highest degree unlikely that before the century had run half its course men would begin to fight for creeds, moral codes, and systems of church government; and that the armies would contain elements in which could be discerned something of the crusading spirit. It would be untrue to say that religion at any time controlled the politics of the century; there were to the end strong secular motives in the policies of Austria, Spain, and even of the Papacy, as there were in the action of the Huguenots of France, the Dutch insurgents against Philip of Spain, and in the risings of the Anabaptists of Germany. But the emergence of religious and ecclesiastical motives along with, or to the exclusion of, political and dynastic motives is the most striking change that came over Europe during the century. We will begin by </w:t>
      </w:r>
    </w:p>
    <w:p>
      <w:pPr>
        <w:pStyle w:val="Heading2"/>
      </w:pPr>
      <w:r>
        <w:t>596.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2026:</w:t>
      </w:r>
      <w:r>
        <w:t xml:space="preserve"> European Energy Performance of Buildings Directive and Cultural Heritage — https://openalex.org/W7126308985</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2024:</w:t>
      </w:r>
      <w:r>
        <w:t xml:space="preserve"> Worst‐case equilibria in first‐price auctions — https://doi.org/10.3982/te4555</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usual analysis of bidding in first‐price auctions assumes that bidders know the distribution of valuations. We analyze first‐price auctions in which bidders do not know the precise distribution of their competitors' valuations, but only the mean of the distribution. We propose a novel equilibrium solution concept based on worst‐case reasoning. We find an essentially unique and efficient worst‐case equilibrium of the first‐price auction that has appealing properties from both the bidders' and the seller's point of view.</w:t>
      </w:r>
    </w:p>
    <w:p>
      <w:pPr>
        <w:pStyle w:val="Heading2"/>
      </w:pPr>
      <w:r>
        <w:t>597.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2026:</w:t>
      </w:r>
      <w:r>
        <w:t xml:space="preserve"> When ideology meets geopolitics: party positions towards Russia in EU member states — https://openalex.org/W7165091424</w:t>
      </w:r>
    </w:p>
    <w:p>
      <w:pPr/>
      <w:r>
        <w:rPr>
          <w:b/>
        </w:rPr>
        <w:t>Shared claim-specific concepts:</w:t>
      </w:r>
      <w:r>
        <w:t xml:space="preserve"> following, positions, within, energy, conditions; EU scope visible. This is a provisional connection, not an outcome finding.</w:t>
      </w:r>
    </w:p>
    <w:p>
      <w:pPr>
        <w:pStyle w:val="SourceNote"/>
      </w:pPr>
      <w:r>
        <w:rPr>
          <w:b/>
        </w:rPr>
        <w:t>Available abstract (not full text):</w:t>
      </w:r>
      <w:r>
        <w:t xml:space="preserve"> Russia’s full-scale invasion of Ukraine transformed the European Union’s relationship with Russia into a central issue of foreign and security policy. Although the EU and its member states moved broadly toward containment, disagreement over how European countries should approach Russia has persisted within national party systems. This thesis examines whether parties’ preferred strategic approaches toward Russia are structured by party-level ideology, country-level geopolitical vulnerability, and their interaction. Party preferences are conceptualized along an engagement-containment spectrum, ranging from cooperation with Russia to countering Russian aggression. The study uses the 2024 Chapel Hill Expert Survey and analyses 236 parties across 26 EU member states through multilevel linear models. The findings show that most variation occurs within countries, although country-level differences remain meaningful. At the party level, position on European integration is the strongest and most robust predictor: the more Eurosceptic parties are relative to their domestic competitors, the more likely they are to prefer a more engagement-oriented approach toward Russia. At the country level, geographical exposure to Russia is associated with a more containment-oriented baseline, especially in countries bordering Russia. Distance to Russia also conditions ideological structuring: the diff</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2025:</w:t>
      </w:r>
      <w:r>
        <w:t xml:space="preserve"> First insights into soil fauna mapping across Europe using data from multiple data sources for three different taxa — https://doi.org/10.1016/j.apsoil.2025.106588</w:t>
      </w:r>
    </w:p>
    <w:p>
      <w:pPr/>
      <w:r>
        <w:rPr>
          <w:b/>
        </w:rPr>
        <w:t>Shared claim-specific concepts:</w:t>
      </w:r>
      <w:r>
        <w:t xml:space="preserve"> sources, eastern, evolution, need; EU scope visible. This is a provisional connection, not an outcome finding.</w:t>
      </w:r>
    </w:p>
    <w:p>
      <w:pPr>
        <w:pStyle w:val="SourceNote"/>
      </w:pPr>
      <w:r>
        <w:rPr>
          <w:b/>
        </w:rPr>
        <w:t>Available abstract (not full text):</w:t>
      </w:r>
      <w:r>
        <w:t xml:space="preserve"> Soil fauna is one of the most important components of the soil ecosystem. It is highly diverse and abundant, supporting essential ecosystem services. However, its use in management decisions has been limited by now. This is partly a result of missing data and knowledge for large-scale mapping and application. In this study, our objective was to shed light on these aspects by mapping the spatial distribution of representative groups of macro- and mesofauna. Specifically, we used publicly available data for Earthworms, Millipedes, and Springtails and mapped their abundance, richness, and diversity across Europe. We applied machine learning techniques to understand the spatial configuration of these soil fauna taxa as influenced by topography, climate, vegetation, land use, and soil properties. Springtail abundance ranged from 1000 to 15,000 individuals per m 2 , while rarefied species richness ranged from 2 to 7 species per sample, with higher values in mountainous regions compared to plains. Earthworm abundance ranged from 20 to 300 individuals per m 2 , while richness ranged from 2 to 6 species, with higher values in Scandinavia compared to central and eastern Europe. Millipede abundance ranged from 20 to 400 individuals per m 2 , while species richness ranged from 1 to 6 species, with the highest values in central Europe and the lowest in northern Europe. Although the three ta</w:t>
      </w:r>
    </w:p>
    <w:p>
      <w:pPr/>
      <w:r>
        <w:rPr>
          <w:b/>
        </w:rPr>
        <w:t>POSSIBLE 2025:</w:t>
      </w:r>
      <w:r>
        <w:t xml:space="preserve"> Enemy Behind the Gates? Predicted Climate Change and Land‐Use Intensification Likely Speed Up C4 Grass Invasions in Europe — https://doi.org/10.1111/jvs.70023</w:t>
      </w:r>
    </w:p>
    <w:p>
      <w:pPr/>
      <w:r>
        <w:rPr>
          <w:b/>
        </w:rPr>
        <w:t>Shared claim-specific concepts:</w:t>
      </w:r>
      <w:r>
        <w:t xml:space="preserve"> predicted, aim, identify; EU scope visible. This is a provisional connection, not an outcome finding.</w:t>
      </w:r>
    </w:p>
    <w:p>
      <w:pPr>
        <w:pStyle w:val="SourceNote"/>
      </w:pPr>
      <w:r>
        <w:rPr>
          <w:b/>
        </w:rPr>
        <w:t>Available abstract (not full text):</w:t>
      </w:r>
      <w:r>
        <w:t xml:space="preserve"> ABSTRACT Aims Climate change is expected to bolster opportunities for alien species' establishment and spread. In Europe, alien C4 grass species have the potential to benefit from a changing climate, being better adapted to higher temperatures and heat stress. Our aim was to compile an up‐to‐date inventory of alien C4 grass species in Europe, to find information about their distribution and country‐ and region‐wise statuses, to identify the most widespread and high‐risk species, and the most invaded habitat types, and to draw the temporal trends of their European establishment. Location Europe. Methods We used the standard systematic literature review methodology to identify relevant publications and online plant distribution databases to get an up‐to‐date list of alien C4 grass species in Europe. We aimed also to gather information on (1) their current country‐ and region‐wise distribution; (2) alien status in each country (casual, naturalised, invasive); (3) the most widespread and high‐risk species; (4) native climatic zones and habitat preferences of each species in European countries; and (5) temporal distribution patterns of the identified species. Results We detected 133 alien C4 grass species across Europe, with the highest number of species in western European countries (103 species) and the lowest in northern Europe (69 species), with considerable overlap amongst regi</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pStyle w:val="Heading2"/>
      </w:pPr>
      <w:r>
        <w:t>598.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2026:</w:t>
      </w:r>
      <w:r>
        <w:t xml:space="preserve"> IMACLIM-China-MORE: A hybrid model for analyzing greenhouse gases neutrality pathways — https://doi.org/10.26599/ecm.2026.9400032</w:t>
      </w:r>
    </w:p>
    <w:p>
      <w:pPr/>
      <w:r>
        <w:rPr>
          <w:b/>
        </w:rPr>
        <w:t>Shared claim-specific concepts:</w:t>
      </w:r>
      <w:r>
        <w:t xml:space="preserve"> analyzing, pathways; EU scope not established. This is a provisional connection, not an outcome finding.</w:t>
      </w:r>
    </w:p>
    <w:p>
      <w:pPr>
        <w:pStyle w:val="SourceNote"/>
      </w:pPr>
      <w:r>
        <w:rPr>
          <w:b/>
        </w:rPr>
        <w:t>Available abstract (not full text):</w:t>
      </w:r>
      <w:r>
        <w:t xml:space="preserve"> Designing effective carbon-neutrality policy for China requires models that capture interactions between technology-oriented energy transitions and economy-wide responses. However, most assessments use either bottom-up energy models or top-down computable general equilibrium (CGE) models in isolation, which limits pathway insights. We develop IMACLIM–China-MORE, an iteratively coupled hybrid model that links the TIMES-based China-MORE 2.0 energy-system optimization model with IMACLIM-CHN, a single-region, 18-sector CGE model. The two models exchange prices, energy-service demands, activity levels, and abatement schedules under harmonized accounts, and the coverage extends from CO2 to methane, nitrous oxide, and fluorinated gases. We apply the framework to three scenarios: Current Policies, CO2 Neutrality, and Greenhouse Gas (GHG) Neutrality. Under CO2 Neutrality, the power and industrial sectors deliver the largest near-term reductions, but about 1.5 GtCO2e non-CO2 emissions remain in 2060. Under GHG Neutrality, net-zero CO2 is achieved by around 2055 and non-CO2 emissions fall to about 0.8 GtCO2e in 2060, which would need to be offset by carbon-removal options. The additional macroeconomic costs of moving from CO2 to GHG neutrality are moderate overall, although the agriculture and food sectors face relatively larger impacts, and investment in the energy system increases by ab</w:t>
      </w:r>
    </w:p>
    <w:p>
      <w:pPr/>
      <w:r>
        <w:rPr>
          <w:b/>
        </w:rPr>
        <w:t>POSSIBLE 2026:</w:t>
      </w:r>
      <w:r>
        <w:t xml:space="preserve"> Cognitive Symbiosis at a Crossroads: Artificial Intelligence Between the Nootransition and Consumption Simulacra — https://doi.org/10.37930/2782-6465-2026-5-1-52-75</w:t>
      </w:r>
    </w:p>
    <w:p>
      <w:pPr/>
      <w:r>
        <w:rPr>
          <w:b/>
        </w:rPr>
        <w:t>Shared claim-specific concepts:</w:t>
      </w:r>
      <w:r>
        <w:t xml:space="preserve"> crossroads, present, industry; EU scope not established. This is a provisional connection, not an outcome finding.</w:t>
      </w:r>
    </w:p>
    <w:p>
      <w:pPr>
        <w:pStyle w:val="SourceNote"/>
      </w:pPr>
      <w:r>
        <w:rPr>
          <w:b/>
        </w:rPr>
        <w:t>Available abstract (not full text):</w:t>
      </w:r>
      <w:r>
        <w:t xml:space="preserve"> The machine is already embedded in our everyday life: it intercepts attention at the point of entry, forms a response at the point of output, and lays a path precisely where the human being is only beginning to choose the direction of movement. The practical question has shifted – no longer “how accurate is the algorithm,” but in whose interests it is calibrated and whose needs it quietly elevates into a norm of life. This article examines AI as a point of historical bifurcation: one trajectory unfolds toward the nootransition – the liberation of the human being from routine labor for the sake of knowledge, creativity, and solidary creation – while the other encloses society within the loop of simulation rent, in the algorithmic production of desires before the want has had time to pass the test of reason. At the semantic core of our article lies cognitive symbiosis, by which we understand the coupling of human judgment, machine inference, and social meaning-making, capable of acting either as an amplifier of reason or as a mechanism of hidden dependence – as imperceptible as a finely calibrated regulator. Drawing on S. D. Bodrunov’s theory of noonomy, the present article interprets AI as a “test” of social maturity: whether society can withstand the trial of a culture of wants, preserve its industrial subjectivity, and prove capable of solidary, rather than rent-based, appropr</w:t>
      </w:r>
    </w:p>
    <w:p>
      <w:pPr/>
      <w:r>
        <w:rPr>
          <w:b/>
        </w:rPr>
        <w:t>POSSIBLE 2026:</w:t>
      </w:r>
      <w:r>
        <w:t xml:space="preserve"> Discipline at a Crossroads: The Rise and Reform of Student Indiscipline in Ghanaian Senior High Schools — https://doi.org/10.4236/jss.2026.144006</w:t>
      </w:r>
    </w:p>
    <w:p>
      <w:pPr/>
      <w:r>
        <w:rPr>
          <w:b/>
        </w:rPr>
        <w:t>Shared claim-specific concepts:</w:t>
      </w:r>
      <w:r>
        <w:t xml:space="preserve"> crossroads, high; EU scope not established. This is a provisional connection, not an outcome finding.</w:t>
      </w:r>
    </w:p>
    <w:p>
      <w:pPr>
        <w:pStyle w:val="SourceNote"/>
      </w:pPr>
      <w:r>
        <w:rPr>
          <w:b/>
        </w:rPr>
        <w:t>Available abstract (not full text):</w:t>
      </w:r>
      <w:r>
        <w:t xml:space="preserve"> This study evaluates increasing indiscipline in senior high schools in Ghana, investigating its socio-ecological drivers, policy gaps, and academic impacts. The major contributors are peer influence, poor teacher-student relationships, and weak parental supervision. The findings also reveal that bullying, truancy, and academic dishonesty are connected to overcrowded classrooms, inadequate counselling, and socioeconomic pressures. It compares the post-corporal punishment disciplinary gap with restorative justice. The study recommends setting up a National Positive Discipline Policy, a student-staff discipline committee, community-parent partnerships, and training teachers in trauma-informed approaches. It underscores the need for a collaborative, non-punitive approach to align school rules with youth realities.</w:t>
      </w:r>
    </w:p>
    <w:p>
      <w:pPr>
        <w:pStyle w:val="Heading2"/>
      </w:pPr>
      <w:r>
        <w:t>599.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New ensemble of regional climate projections for Europe — https://doi.org/10.5281/zenodo.20340839</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Operationalising the Climate Change Action Plan of the European Central Bank — https://doi.org/10.1017/9781009450423.013</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The chapter analyses how the climate change action plan developed by the European Central Bank (ECB) as part of its monetary policy strategy review in 2020-2021 is aligned with the ECB’s mandate set out in the Treaty on the Functioning of the European Union and the Treaty on European Union. The Treaties require the ECB to integrate climate change considerations into its monetary policy and to contribute to the EU’s objectives regarding climate change, as established by Regulation (EU) 2021/1119, the European Climate Law. However, there are also legal limits on the action the ECB can take in this field. The chapter examines the key measures proposed as part of the plan from a legal perspective, including measures related to macroeconomic forecasts and models, the collection of statistical information for climate change risk analysis, the enhancement of risk assessment capabilities, asset purchase programmes, and possible changes to the collateral framework. It also considers the questions regarding the ECB’s democratic legitimacy and accountability that arise in this context.</w:t>
      </w:r>
    </w:p>
    <w:p>
      <w:pPr>
        <w:pStyle w:val="Heading2"/>
      </w:pPr>
      <w:r>
        <w:t>600.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2026:</w:t>
      </w:r>
      <w:r>
        <w:t xml:space="preserve"> The rare and the common: habitat suitability and niche segregation of Anopheles algeriensis (Theobald, 1903) and Anopheles claviger s.s. (Meigen, 1804) in North-German peatlands is shaped by distinct landscape–weather interactions — https://doi.org/10.1186/s13071-026-07612-w</w:t>
      </w:r>
    </w:p>
    <w:p>
      <w:pPr/>
      <w:r>
        <w:rPr>
          <w:b/>
        </w:rPr>
        <w:t>Shared claim-specific concepts:</w:t>
      </w:r>
      <w:r>
        <w:t xml:space="preserve"> suitability, species, despite, ecological; EU scope visible. This is a provisional connection, not an outcome finding.</w:t>
      </w:r>
    </w:p>
    <w:p>
      <w:pPr>
        <w:pStyle w:val="SourceNote"/>
      </w:pPr>
      <w:r>
        <w:rPr>
          <w:b/>
        </w:rPr>
        <w:t>Available abstract (not full text):</w:t>
      </w:r>
      <w:r>
        <w:t xml:space="preserve"> BACKGROUND: Peatland rewetting is a cost-effective strategy for climate change mitigation and biodiversity conservation, yet its potential to alter mosquito species composition and abundance carries implications for public and veterinary health. Anopheles algeriensis and Anopheles claviger s.s. are broadly distributed across European wetlands, including peatlands, but despite their vector potential, their specific ecological niches and responses to rewetting remain poorly understood. METHODS: Adult mosquitoes were sampled biweekly across two consecutive seasons at 15 sites within a fen peatland landscape in North-East Germany and identified morphologically. Anopheline specimens outside the Anopheles maculipennis complex underwent further molecular identification. Sampling sites were grouped into three habitat types, wet peatlands, drained peatlands, and settlements, based on key peatland characteristics. Subsequently, generalised linear mixed models were used to assess species-specific responses to habitat type and their interactions with relevant weather variables. RESULTS: A total of 278 An. algeriensis individuals were collected, with significantly higher abundances observed in wet peatlands than in other habitat types. Mean temperature and mean relative humidity were positively correlated with abundance. The former independent of habitat types, the latter was modulated by t</w:t>
      </w:r>
    </w:p>
    <w:p>
      <w:pPr/>
      <w:r>
        <w:rPr>
          <w:b/>
        </w:rPr>
        <w:t>POSSIBLE 2026:</w:t>
      </w:r>
      <w:r>
        <w:t xml:space="preserve"> Spatial resilience and population replacement in Europe during MIS 3: a comparative study of Neanderthals and H. sapiens — https://doi.org/10.1016/j.quascirev.2026.109850</w:t>
      </w:r>
    </w:p>
    <w:p>
      <w:pPr/>
      <w:r>
        <w:rPr>
          <w:b/>
        </w:rPr>
        <w:t>Shared claim-specific concepts:</w:t>
      </w:r>
      <w:r>
        <w:t xml:space="preserve"> suitability, species, despite; EU scope visible. This is a provisional connection, not an outcome finding.</w:t>
      </w:r>
    </w:p>
    <w:p>
      <w:pPr>
        <w:pStyle w:val="SourceNote"/>
      </w:pPr>
      <w:r>
        <w:rPr>
          <w:b/>
        </w:rPr>
        <w:t>Available abstract (not full text):</w:t>
      </w:r>
      <w:r>
        <w:t xml:space="preserve"> Homo sapiens dispersed out of Africa several times during the Late Pleistocene. The most recent dispersal event, which began around 60,000 years ago, resulted in the permanent establishment of Sapiens populations in Europe, followed by the disappearance of Neanderthals from the archaeological record. Various hypotheses suggest that the process of population replacement in Europe was influenced by climate change, habitat dynamics, demographic processes, and/or competitive exclusion. To test these hypotheses, we use habitat suitability modeling and GIS tools to predict the optimal distribution of Neanderthal and Aurignacian populations in Europe during stadial and interstadial events of Marine Isotope Stage 3 (MIS 3) and reconstruct their regional networks. The models show that while relatively more suitable habitat was available for Homo sapiens under interstadial conditions, both groups were affected by climate change resulting in shifts in the location of optimal regions and concomitant changes in the social networks that connected them. Our analysis indicates that optimally suitable habitat persisted across the potential ranges of both species despite climate change. Climate stress alone is not indicated as a cause of Neanderthal's extinction, therefore. Several “core” regions are identified that could have sustained a pattern of demographic resilience, allowing populations t</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pStyle w:val="Heading2"/>
      </w:pPr>
      <w:r>
        <w:t>601.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602.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2026:</w:t>
      </w:r>
      <w:r>
        <w:t xml:space="preserve"> Closing the Coordination Gap: A Policy Architecture for the European Energy Transition — https://doi.org/10.5281/zenodo.19984616</w:t>
      </w:r>
    </w:p>
    <w:p>
      <w:pPr/>
      <w:r>
        <w:rPr>
          <w:b/>
        </w:rPr>
        <w:t>Shared claim-specific concepts:</w:t>
      </w:r>
      <w:r>
        <w:t xml:space="preserve"> article, energy, presented; EU scope visible. This is a provisional connection, not an outcome finding.</w:t>
      </w:r>
    </w:p>
    <w:p>
      <w:pPr>
        <w:pStyle w:val="SourceNote"/>
      </w:pPr>
      <w:r>
        <w:rPr>
          <w:b/>
        </w:rPr>
        <w:t>Available abstract (not full text):</w:t>
      </w:r>
      <w:r>
        <w:t xml:space="preserve"> How to Use This Work This research is structured as a layered system for policy application: Entry Point (Immediate Policy Relevance)Closing the Coordination Gaphttps://zenodo.org/records/19984617→ Defines the timing mismatch (2028–2032 window) and provides EU-aligned implementation mechanisms (TESP, PESEC, ERC). System Foundation (Transition Dynamics)Rapid Energy Transition Framework (RETF)https://zenodo.org/records/19812288→ Models coordinated deployment, pre-transition stress, and physical stabilisation layers (including geothermal infrastructure). Economic &amp; Social Stabilisation LayerEngagement Credit Economy (ECE)https://zenodo.org/records/19843494→ Provides a participation-based mechanism to maintain demand, coordination capacity, and social continuity during transition. Together, these layers define a unified approach linking system dynamics, infrastructure deployment, and economic participation. This record presents an EU-facing policy architecture addressing a central but under-recognised constraint in the European energy transition: the coordination gap between demand evolution and infrastructure deployment timelines. Across EU Member States, electrification of transport, heating, and industry is accelerating demand on a three-to-five-year cycle, while generation and transmission infrastructure typically require ten to fifteen years to plan, permit, and deliver. The r</w:t>
      </w:r>
    </w:p>
    <w:p>
      <w:pPr/>
      <w:r>
        <w:rPr>
          <w:b/>
        </w:rPr>
        <w:t>POSSIBLE 2026:</w:t>
      </w:r>
      <w:r>
        <w:t xml:space="preserve"> Energy diplomacy: cooperation between Kazakhstan and the European Union in the field of energy transformation — https://doi.org/10.1080/23745118.2026.2734585</w:t>
      </w:r>
    </w:p>
    <w:p>
      <w:pPr/>
      <w:r>
        <w:rPr>
          <w:b/>
        </w:rPr>
        <w:t>Shared claim-specific concepts:</w:t>
      </w:r>
      <w:r>
        <w:t xml:space="preserve"> article, energy; EU scope visible. This is a provisional connection, not an outcome finding.</w:t>
      </w:r>
    </w:p>
    <w:p>
      <w:pPr>
        <w:pStyle w:val="SourceNote"/>
      </w:pPr>
      <w:r>
        <w:rPr>
          <w:b/>
        </w:rPr>
        <w:t>Available abstract (not full text):</w:t>
      </w:r>
      <w:r>
        <w:t xml:space="preserve"> The energy transition of the European Union after 2022 has taken on a new geopolitical significance, in which energy ceases to be an exclusively economic or climate issue, but becomes part of strategic autonomy and foreign policy action. This shift fundamentally changes the nature of EU energy diplomacy, the aim of which is no longer merely to secure energy supplies, but to deepen security interactions and promote the EU’s influence and regulatory framework through cooperation with external partners. This article examines the potential for energy cooperation between the two blocs – the European Union and Kazakhstan. The aim of the article is to analyse how the European Union’s energy diplomacy is being implemented in Kazakhstan and to assess their level of cooperation in the energy sector. The results of the article suggest that the European Union, through regulatory dialogue and strategic partnerships, is supporting Kazakhstan’s gradual regulatory convergence in the areas of environmental regulation, decarbonization and renewable energy. The analysis shows that the extent of convergence remains selective and is largely limited by Kazakhstan’s geopolitical ties with Russia and China.</w:t>
      </w:r>
    </w:p>
    <w:p>
      <w:pPr/>
      <w:r>
        <w:rPr>
          <w:b/>
        </w:rPr>
        <w:t>POSSIBLE 2026:</w:t>
      </w:r>
      <w:r>
        <w:t xml:space="preserve"> Introducing Hydrogen to the European Energy Market — https://doi.org/10.4324/9781003669654-6</w:t>
      </w:r>
    </w:p>
    <w:p>
      <w:pPr/>
      <w:r>
        <w:rPr>
          <w:b/>
        </w:rPr>
        <w:t>Shared claim-specific concepts:</w:t>
      </w:r>
      <w:r>
        <w:t xml:space="preserve"> energy, until, therefore;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therefore;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The Church as a vehicle of Inclusion : A Case Study of Five International Students’ Engagement with the Salvation Army in Turku, Finland. — https://openalex.org/W7164459531</w:t>
      </w:r>
    </w:p>
    <w:p>
      <w:pPr/>
      <w:r>
        <w:rPr>
          <w:b/>
        </w:rPr>
        <w:t>Shared claim-specific concepts:</w:t>
      </w:r>
      <w:r>
        <w:t xml:space="preserve"> five, finland, important; EU scope visible. This is a provisional connection, not an outcome finding.</w:t>
      </w:r>
    </w:p>
    <w:p>
      <w:pPr>
        <w:pStyle w:val="SourceNote"/>
      </w:pPr>
      <w:r>
        <w:rPr>
          <w:b/>
        </w:rPr>
        <w:t>Available abstract (not full text):</w:t>
      </w:r>
      <w:r>
        <w:t xml:space="preserve"> As an international student who experienced challenges during the first days of arrival in Finland, I became interested in exploring other experiences of other international students and the support structure available for them. There are of course elements of an operationally functional welfare state in Finland, but international students still face significant disadvantages, both in terms of integration into the host society, language, cultural, and social network issues. The aim of this research is to explore social exclusion from an international students' point of view in Turku, Finland, and to also focus on how the Salvation Army (Pelastusarmeija) Turku Corps can facilitate social inclusion. This is a qualitative phenomenological research involving semi structured interviews with five international students who have had contact with the Salvation Army (Pelastusarmeja) in Turku. The data was analyzed using thematic analysis, which identified six themes - language challenges; loneliness; cultural differences and social norm adjustment; the Salvation Army as a place of belonging; the church as a support system; and the Salvation Army as a means of integration. Based on the results of this research it is identified that barriers in language, emotional isolation, adapting to new cultural norms, are the reasons that lead to the international students' social exclusion. The Salv</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603.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2026:</w:t>
      </w:r>
      <w:r>
        <w:t xml:space="preserve"> The role of group composition in collaborative foresight — https://doi.org/10.1016/j.techfore.2026.124836</w:t>
      </w:r>
    </w:p>
    <w:p>
      <w:pPr/>
      <w:r>
        <w:rPr>
          <w:b/>
        </w:rPr>
        <w:t>Shared claim-specific concepts:</w:t>
      </w:r>
      <w:r>
        <w:t xml:space="preserve"> role, foresight; EU scope not established. This is a provisional connection, not an outcome finding.</w:t>
      </w:r>
    </w:p>
    <w:p>
      <w:pPr>
        <w:pStyle w:val="SourceNote"/>
      </w:pPr>
      <w:r>
        <w:rPr>
          <w:b/>
        </w:rPr>
        <w:t>Available abstract (not full text):</w:t>
      </w:r>
      <w:r>
        <w:t xml:space="preserve"> In fast-changing, complex environments where uncertainty abounds, collaborative foresight is increasingly advocated as a means of navigating these conditions – but under what circumstances do its promised benefits materialize? We investigate when collaborative foresight – foresight conducted jointly by two or more organizations – delivers its promised benefits by examining how group composition shapes collective cognition and the ability to challenge dominant mental models and beliefs inherited from past experiences. Our systematic literature review shows limited rigorous theory development on how the composition (in terms of homogeneity versus heterogeneity) of the group of individuals representing the organizations involved affects collaborative foresight processes. It also shows that much of the literature treats diversity as a uniform construct. We propose a conceptual framework that highlights how the deliberate configuration of heterogeneity and homogeneity across attributes gives rise to distinct cognitive dynamics, with both enabling and constraining effects on collective cognition. In doing so, it advances the understanding of these relationships and provides a conceptual foundation for systematically reflecting on and identifying context-specific group compositions for collaborative foresight processes. Moreover, the review shows how these cognitive dynamics shape the</w:t>
      </w:r>
    </w:p>
    <w:p>
      <w:pPr>
        <w:pStyle w:val="Heading2"/>
      </w:pPr>
      <w:r>
        <w:t>604.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2026:</w:t>
      </w:r>
      <w:r>
        <w:t xml:space="preserve"> Expectations, Visions and Imaginaries — https://doi.org/10.1017/9781009437318.018</w:t>
      </w:r>
    </w:p>
    <w:p>
      <w:pPr/>
      <w:r>
        <w:rPr>
          <w:b/>
        </w:rPr>
        <w:t>Shared claim-specific concepts:</w:t>
      </w:r>
      <w:r>
        <w:t xml:space="preserve"> different, technology; EU scope not established. This is a provisional connection, not an outcome finding.</w:t>
      </w:r>
    </w:p>
    <w:p>
      <w:pPr>
        <w:pStyle w:val="SourceNote"/>
      </w:pPr>
      <w:r>
        <w:rPr>
          <w:b/>
        </w:rPr>
        <w:t>Available abstract (not full text):</w:t>
      </w:r>
      <w:r>
        <w:t xml:space="preserve"> This chapter discusses the role of visions, expectations, and socio-technical imaginaries in shaping sustainability transitions. Imagining futures different from current socio-technical regimes is essential for legitimizing and mobilizing niche technologies and driving system change. More recently, mission-oriented and transformative innovation policies have emphasised envisioning and collective expectations in defining and implementing long-term goals. The chapter introduces the historical development of these concepts within sustainability transition studies, including transition management, strategic niche management, and technological innovation systems. It presents and compares various anticipatory practices and techniques for exploring and shaping transition dynamics. ‘Futuring methods’ such as scenario development, technology foresight, roadmapping, and modelling are not just neutral tools but shape political problems and solutions. The chapter concludes by illustrating the influence of visions, expectations, and imaginaries in the historical evolution of hydrogen futures and highlighting key research trends.</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605.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after, limited, long-term;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after,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PICO: Reconstructing 3D People In Contact with Objects — https://doi.org/10.1109/cvpr52734.2025.00173</w:t>
      </w:r>
    </w:p>
    <w:p>
      <w:pPr/>
      <w:r>
        <w:rPr>
          <w:b/>
        </w:rPr>
        <w:t>Shared claim-specific concepts:</w:t>
      </w:r>
      <w:r>
        <w:t xml:space="preserve"> limited, reconstructing; EU scope not established. This is a provisional connection, not an outcome finding.</w:t>
      </w:r>
    </w:p>
    <w:p>
      <w:pPr>
        <w:pStyle w:val="SourceNote"/>
      </w:pPr>
      <w:r>
        <w:rPr>
          <w:b/>
        </w:rPr>
        <w:t>Available abstract (not full text):</w:t>
      </w:r>
      <w:r>
        <w:t xml:space="preserve"> Recovering 3D Human-Object Interaction (HOI) from single images is challenging due to depth ambiguities, occlusions, and the huge variation in object shape and appearance. Thus, past work requires controlled settings such as known object shapes and contacts, and tackles only limited object classes. Instead, we need methods that generalize to natural images and novel object classes. We tackle this in two main ways: (1) We collect PICO-db, a new dataset of natural images uniquely paired with dense 3D contact correspondences on both body and object meshes. To this end, we use images from the recent DAMON dataset that are paired with annotated contacts, but only on a canonical 3D body. In contrast, we seek contact labels on both the body and the object. To infer these, given an image, we retrieve an appropriate 3D object mesh from a database by leveraging vision foundation models. Then, we project DAMON’s body contact patches onto the object via a novel method needing only 2 clicks per patch. This minimal human input establishes rich contact correspondences between bodies and objects. (2) We exploit our new dataset in a novel render-and-compare fitting method, called PICO-fit, to recover 3D body and object meshes in interaction. PICO-fit infers contact for the SMPL-X body, retrieves a likely 3D object mesh and contact from PICO-db for that object, and uses the contact to iterativel</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pStyle w:val="Heading2"/>
      </w:pPr>
      <w:r>
        <w:t>606.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2026:</w:t>
      </w:r>
      <w:r>
        <w:t xml:space="preserve"> Frailty and Socioeconomic Development in the European Region—Associations with Mortality in Middle-Aged and Older Adults — https://doi.org/10.3390/ijerph23030307</w:t>
      </w:r>
    </w:p>
    <w:p>
      <w:pPr/>
      <w:r>
        <w:rPr>
          <w:b/>
        </w:rPr>
        <w:t>Shared claim-specific concepts:</w:t>
      </w:r>
      <w:r>
        <w:t xml:space="preserve"> mortality, countries, significant; EU scope visible. This is a provisional connection, not an outcome finding.</w:t>
      </w:r>
    </w:p>
    <w:p>
      <w:pPr>
        <w:pStyle w:val="SourceNote"/>
      </w:pPr>
      <w:r>
        <w:rPr>
          <w:b/>
        </w:rPr>
        <w:t>Available abstract (not full text):</w:t>
      </w:r>
      <w:r>
        <w:t xml:space="preserve"> The Sociodemographic Index (SDI) captures a country's or region's relative socioeconomic development and has been linked to age-related disease burden and life expectancy. Frailty is a multidimensional geriatric syndrome associated with adverse health outcomes and mortality. This study examined the relationship between country-level SDI, frailty prevalence, and mortality across Europe. We conducted a secondary analysis of community-dwelling adults aged 50 years and older from 12 countries participating in the Survey of Health, Ageing and Retirement in Europe (SHARE). Frailty status and SDI were assessed at Wave 2 (2007), with mortality follow-up at Wave 4 (2011). Countries were categorised into lower- and higher-SDI groups using the median as a cut-off. Frailty was measured using a 70-item frailty index (FI ≥ 0.25) and a modified Fried frailty phenotype (FP ≥ 3 criteria). Frailty prevalence varied substantially by country and assessment method, ranging from 7 to 40% using the FI and 4-21% using the FP. Prevalence was lowest in Switzerland and highest in Poland and was strongly correlated with national SDI scores (r ≥ 0.8). After adjustment for age and sex, lower SDI was independently associated with higher odds of frailty using both frailty measures. Although mortality was lower in higher-SDI countries, this association was not statistically significant after adjusting for age,</w:t>
      </w:r>
    </w:p>
    <w:p>
      <w:pPr/>
      <w:r>
        <w:rPr>
          <w:b/>
        </w:rPr>
        <w:t>POSSIBLE 2026:</w:t>
      </w:r>
      <w:r>
        <w:t xml:space="preserve"> How heat exposure is defined matters: evidence from multi-metric mortality estimates across Europe — https://doi.org/10.1186/s12940-026-01349-w</w:t>
      </w:r>
    </w:p>
    <w:p>
      <w:pPr/>
      <w:r>
        <w:rPr>
          <w:b/>
        </w:rPr>
        <w:t>Shared claim-specific concepts:</w:t>
      </w:r>
      <w:r>
        <w:t xml:space="preserve"> average, mortality, all, heat; EU scope visible. This is a provisional connection, not an outcome finding.</w:t>
      </w:r>
    </w:p>
    <w:p>
      <w:pPr>
        <w:pStyle w:val="SourceNote"/>
      </w:pPr>
      <w:r>
        <w:rPr>
          <w:b/>
        </w:rPr>
        <w:t>Available abstract (not full text):</w:t>
      </w:r>
      <w:r>
        <w:t xml:space="preserve"> Extreme heat is an escalating health threat, particularly as Europe warms faster than the global average. However, mortality estimates depend on how heat exposure is measured, because different metrics can capture different dimensions of heat, including intensity, duration, acclimatisation and combined thermal stress. We examined how alternative heat metrics influence estimates of heat-related mortality across five European sites representing diverse climate conditions: Heraklion (Greece), Bologna (Italy), Geneva (Switzerland), Augsburg (Germany) and Oulu (Finland). Using harmonised daily mortality and climate data for 2020–2023, we applied distributed lag non-linear models to estimate heat-mortality associations. Mortality data were population-based for all sites except Augsburg, where hospital-based mortality data were used. Continuous exposure-response functions were modelled for air temperature, UTCI and WBGT across the full observed exposure range. Binary heatwave indicators, including EHF, WSDI and percentile-based definitions, were analysed separately under the same framework. Results are presented first as cumulative relative risks (RRs) and then as attributable mortality burdens. RRs indicated stronger heat-mortality associations in Heraklion and Bologna, moderate associations in Geneva, and non-significant associations in Oulu or in the hospital-based Augsburg data. A</w:t>
      </w:r>
    </w:p>
    <w:p>
      <w:pPr/>
      <w:r>
        <w:rPr>
          <w:b/>
        </w:rPr>
        <w:t>POSSIBLE 2026:</w:t>
      </w:r>
      <w:r>
        <w:t xml:space="preserve"> Threefold Land‐Use Forcing Intensifies Twofold Warming of Urban Europe — https://doi.org/10.1029/2026jd046541</w:t>
      </w:r>
    </w:p>
    <w:p>
      <w:pPr/>
      <w:r>
        <w:rPr>
          <w:b/>
        </w:rPr>
        <w:t>Shared claim-specific concepts:</w:t>
      </w:r>
      <w:r>
        <w:t xml:space="preserve"> average, indicate, almost, twice, rcp8, compared; EU scope visible. This is a provisional connection, not an outcome finding.</w:t>
      </w:r>
    </w:p>
    <w:p>
      <w:pPr>
        <w:pStyle w:val="SourceNote"/>
      </w:pPr>
      <w:r>
        <w:rPr>
          <w:b/>
        </w:rPr>
        <w:t>Available abstract (not full text):</w:t>
      </w:r>
      <w:r>
        <w:t xml:space="preserve"> Abstract Europe is warming much faster than the global average, yet the relative contributions of individual anthropogenic drivers to its urban warming remain uncertain. Using CMIP5 single‐forcing simulations and observations from HadCRUT5 data set, we determine the influence of greenhouse gases (GHGs), aerosols from anthropogenic sources (Aaer), together with change in land‐use (LU) forcing on urban Europe's rising surface air temperature (SAT) since 1850. The local Europe Amplification Factor (EAF), the ratio of regional to global SAT trends, reveals that LU forcing has intensified nearly threefold relative to the global mean since the industrial era, driving urban European warming almost twice the global rate. LU forcing exhibits the strongest amplification compared with GHG forcing , highlighting the critical role of surface modifications in accelerating regional urban warming. Future projections under RCP6.0 and RCP8.5 indicate persistent EAF values exceeding 2.0 over densely populated regions, underscoring the need for integrated emission‐ and land‐management strategies to mitigate urban Europe's amplified warming.</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pStyle w:val="Heading2"/>
      </w:pPr>
      <w:r>
        <w:t>607.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608.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2026:</w:t>
      </w:r>
      <w:r>
        <w:t xml:space="preserve"> Energy efficiency first for homes? Public priorities, barriers and residential energy choices in six European countries — https://doi.org/10.1007/s12053-026-10478-7</w:t>
      </w:r>
    </w:p>
    <w:p>
      <w:pPr/>
      <w:r>
        <w:rPr>
          <w:b/>
        </w:rPr>
        <w:t>Shared claim-specific concepts:</w:t>
      </w:r>
      <w:r>
        <w:t xml:space="preserve"> countries, become, not, but, also, energy; EU scope visible. This is a provisional connection, not an outcome finding.</w:t>
      </w:r>
    </w:p>
    <w:p>
      <w:pPr>
        <w:pStyle w:val="SourceNote"/>
      </w:pPr>
      <w:r>
        <w:rPr>
          <w:b/>
        </w:rPr>
        <w:t>Available abstract (not full text):</w:t>
      </w:r>
      <w:r>
        <w:t xml:space="preserve"> Abstract The Energy Efficiency First (EE1st) principle has become an important element of European Union energy and climate policy, requiring energy efficiency to be considered and prioritised where it is more cost-effective or socially beneficial than supply-side alternatives. However, EE1st is primarily a top-down policy, planning and investment principle, not simply a measure of public support for energy efficiency. This article therefore examines a more focused question: how do households perceive, prioritise and evaluate residential energy measures that are relevant to the implementation context of EE1st? Drawing on a structured cross-national survey of 1,014 respondents in Germany, the United Kingdom, Poland, Italy, Denmark and Estonia, the article explores household attitudes toward selected building-related energy efficiency and decarbonisation measures, including insulation, energy-efficient windows, heating systems, heat pumps and renewable energy options. The six countries represent different institutional, welfare and energy-policy contexts, allowing for an exploratory comparison of public perceptions across diverse European settings. Findings show broad support for several residential energy measures, but also reveal important constraints. High upfront costs emerge as the most consistent barrier, while willingness to invest or tolerate disruption varies across meas</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pStyle w:val="Heading2"/>
      </w:pPr>
      <w:r>
        <w:t>609.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2026:</w:t>
      </w:r>
      <w:r>
        <w:t xml:space="preserve"> Data concerns undermine AI applications for climate — https://doi.org/10.1038/s44168-026-00390-2</w:t>
      </w:r>
    </w:p>
    <w:p>
      <w:pPr/>
      <w:r>
        <w:rPr>
          <w:b/>
        </w:rPr>
        <w:t>Shared claim-specific concepts:</w:t>
      </w:r>
      <w:r>
        <w:t xml:space="preserve"> undermine, also, agency, governance; EU scope not established. This is a provisional connection, not an outcome finding.</w:t>
      </w:r>
    </w:p>
    <w:p>
      <w:pPr>
        <w:pStyle w:val="SourceNote"/>
      </w:pPr>
      <w:r>
        <w:rPr>
          <w:b/>
        </w:rPr>
        <w:t>Available abstract (not full text):</w:t>
      </w:r>
      <w:r>
        <w:t xml:space="preserve"> Abstract The global climate crisis demands innovative solutions, and artificial intelligence (AI), including large language models (LLMs), offers significant potential to improve efficiency and enable lower-carbon lifestyles. However, public concerns around data privacy may affect the use of AI-enabled, data-driven applications with potential climate benefits. Drawing on three empirical studies with a nationally representative UK sample ( N = 2078), we show that heightened awareness of AI’s data collection practices reduces willingness to engage with such technologies - especially when perceived user benefits are low. We also find that data protection behaviours and greater familiarity with AI are associated with lower perceived risk, suggesting adaptive responses rather than disengagement. These behavioural dynamics highlight the importance of transparency, user agency and the integration of human and environmental dimensions into existing AI governance frameworks. Our results illustrate how public perceptions and everyday practices influence the social acceptance of digital innovations for sustainability.</w:t>
      </w:r>
    </w:p>
    <w:p>
      <w:pPr/>
      <w:r>
        <w:rPr>
          <w:b/>
        </w:rPr>
        <w:t>POSSIBLE 2026:</w:t>
      </w:r>
      <w:r>
        <w:t xml:space="preserve"> PRELIMINARY DIAGNOSTICS OF ENVIRONMENTAL SUSTAINABILITY IN GEOGRAPHICAL INDICATIONS: CONTRIBUTIONS TOWARDS A METHODOLOGY ALIGNED WITH EUROPEAN UNION REQUIREMENTS — https://doi.org/10.66104/kx2e4735</w:t>
      </w:r>
    </w:p>
    <w:p>
      <w:pPr/>
      <w:r>
        <w:rPr>
          <w:b/>
        </w:rPr>
        <w:t>Shared claim-specific concepts:</w:t>
      </w:r>
      <w:r>
        <w:t xml:space="preserve"> preliminary, not, governance; EU scope visible. This is a provisional connection, not an outcome finding.</w:t>
      </w:r>
    </w:p>
    <w:p>
      <w:pPr>
        <w:pStyle w:val="SourceNote"/>
      </w:pPr>
      <w:r>
        <w:rPr>
          <w:b/>
        </w:rPr>
        <w:t>Available abstract (not full text):</w:t>
      </w:r>
      <w:r>
        <w:t xml:space="preserve"> This article presents a preliminary diagnosis of environmental sustainability in Brazilian Geographical Indications (GIs), aiming to propose an evaluative instrument aligned with European Union regulatory requirements. The research distinguishes three regulatory planes: (i) environmental requirements applicable to commodity chains exported to the EU, notably the EU Deforestation Regulation (EUDR – Regulation (EU) 2023/2772); (ii) EU-specific GI protection norms, such as Regulation (EU) 2024/1143; and (iii) voluntary or strategic territorial sustainability criteria. For export-oriented GIs - particularly those linked to agricultural products such as coffee, cocoa, and beef - the EUDR constitutes a concrete regulatory requirement, with obligations for traceability and proof of deforestation-free supply chains. For export-oriented GIs operating in regulated commodity chains, market experience has consistently demonstrated that EUDR compliance is a market-access condition, not merely a competitive differentiator. A qualitative and exploratory methodology was adopted, including document analysis and application of a Multicriteria Diagnostic Protocol (MDP) to five agri-food GIs, organized into five thematic axes: natural resource management, biodiversity, climate mitigation, sustainable innovation, and community participation. The findings reveal localized advances in innovation and </w:t>
      </w:r>
    </w:p>
    <w:p>
      <w:pPr/>
      <w:r>
        <w:rPr>
          <w:b/>
        </w:rPr>
        <w:t>POSSIBLE 2026:</w:t>
      </w:r>
      <w:r>
        <w:t xml:space="preserve"> Regulating AI-Driven Triage: Fundamental Rights and Compliance Challenges in the European Union — https://doi.org/10.3390/ai7030086</w:t>
      </w:r>
    </w:p>
    <w:p>
      <w:pPr/>
      <w:r>
        <w:rPr>
          <w:b/>
        </w:rPr>
        <w:t>Shared claim-specific concepts:</w:t>
      </w:r>
      <w:r>
        <w:t xml:space="preserve"> challenges, not, only, but, also; EU scope visible. This is a provisional connection, not an outcome finding.</w:t>
      </w:r>
    </w:p>
    <w:p>
      <w:pPr>
        <w:pStyle w:val="SourceNote"/>
      </w:pPr>
      <w:r>
        <w:rPr>
          <w:b/>
        </w:rPr>
        <w:t>Available abstract (not full text):</w:t>
      </w:r>
      <w:r>
        <w:t xml:space="preserve"> Emergency triage is a critical healthcare action that could be improved through the use of artificial intelligence (AI) systems, as these have been shown to achieve accuracy rates of approximately 70–90% for LLMs and AUC values ranging from 0.75 to 0.95 for common AI models. However, these systems face challenges related to the rights and interests of the individuals involved. The European Union’s normative framework, including not only data protection regulations but also the AI Act and medical device regulations, imposes conditions on the use of AI, and these are analyzed here. Our conclusions reveal that Article 22 of the General Data Protection Regulation (GDPR) makes it difficult to justify the establishment of fully automated decision-making models for triage. That accountability obligations for implementers (Fundamental Rights Impact Assessments: FRIAs) and data controllers (data protection impact assessments: DPIAs) can contribute to better design of AI-based decision-making in triage. Furthermore, with regard to the information rights set out in the GDPR, these have been complemented by the right to an explanation under Art. 86 AI Act in the use of high-risk AI systems. Unfortunately, regulation relating to general-purpose AI models may create some gaps in this framework. The implementation of AI systems for automated decision-making in triage has the potential to impr</w:t>
      </w:r>
    </w:p>
    <w:p>
      <w:pPr/>
      <w:r>
        <w:rPr>
          <w:b/>
        </w:rPr>
        <w:t>POSSIBLE 2026:</w:t>
      </w:r>
      <w:r>
        <w:t xml:space="preserve"> The conservation management of European bison requires strong evidence and careful risk assessment: A response to “Comment: Nores et al. (2024) fail in their attempt to demonstrate the inappropriateness of an eventual introduction of the European bison to Spain as a rewilding initiative” — https://doi.org/10.1111/csp2.70262</w:t>
      </w:r>
    </w:p>
    <w:p>
      <w:pPr/>
      <w:r>
        <w:rPr>
          <w:b/>
        </w:rPr>
        <w:t>Shared claim-specific concepts:</w:t>
      </w:r>
      <w:r>
        <w:t xml:space="preserve"> see, preliminary, part, many, challenges, not; EU scope visible. This is a provisional connection, not an outcome finding.</w:t>
      </w:r>
    </w:p>
    <w:p>
      <w:pPr>
        <w:pStyle w:val="SourceNote"/>
      </w:pPr>
      <w:r>
        <w:rPr>
          <w:b/>
        </w:rPr>
        <w:t>Available abstract (not full text):</w:t>
      </w:r>
      <w:r>
        <w:t xml:space="preserve"> We thank Bartolomé and colleagues for their interest in our recent article, “Rewilding through inappropriate species introduction: The case of European bison in Spain” (Nores et al., 2024). Our work critically evaluated the proposal to introduce European bison (Bison bonasus) into the Iberian Peninsula, considering ecological, biogeographical, conservation, and legal aspects. The reply by Bartolomé et al. presents alternative hypotheses but does not challenge our conclusions with new evidence. Our position relied on what the available data show and on the convergence of paleontological, ecological, climatic, and legal evidence (Nores et al., 2024). In contrast, Bartolomé and colleagues rely on hypothetical scenarios of the presence of European bison in Iberia, such as possible Holocene extinctions or preliminary sedaDNA signals (Gelabert et al., 2025), which, while intriguing, do not offer conclusive support for past presence of extant European bison in Iberia. We emphasize that a huge number of well-studied Holocene sites across Iberia—110 sites with bovine remains—have yielded no remains of European bison. This absence is meaningful, especially when considered alongside the clear presence in many of them of the steppe bison (Bison priscus) and auroch (Bos primigenius). It is difficult to conceive that European bison could have lived throughout Iberia during thousands of years</w:t>
      </w:r>
    </w:p>
    <w:p>
      <w:pPr/>
      <w:r>
        <w:rPr>
          <w:b/>
        </w:rPr>
        <w:t>POSSIBLE 2026:</w:t>
      </w:r>
      <w:r>
        <w:t xml:space="preserve"> Initial Coin Offerings and the Jurisdictional Challenges under European Union Procedural Law — https://openalex.org/W7167389297</w:t>
      </w:r>
    </w:p>
    <w:p>
      <w:pPr/>
      <w:r>
        <w:rPr>
          <w:b/>
        </w:rPr>
        <w:t>Shared claim-specific concepts:</w:t>
      </w:r>
      <w:r>
        <w:t xml:space="preserve"> challenges, but, also; EU scope visible. This is a provisional connection, not an outcome finding.</w:t>
      </w:r>
    </w:p>
    <w:p>
      <w:pPr>
        <w:pStyle w:val="SourceNote"/>
      </w:pPr>
      <w:r>
        <w:rPr>
          <w:b/>
        </w:rPr>
        <w:t>Available abstract (not full text):</w:t>
      </w:r>
      <w:r>
        <w:t xml:space="preserve"> Initial Coin Offerings (ICOs) are relatively new means to arrange crowdfunding projects powered by distributed ledger technology. ICOs generate multidimensional questions regarding jurisdiction of national courts due to them operating fully digitally on blockchains and the uncertain status of crypto-assets. Observations of jurisdictional issues and potential solutions are made by studying Regulation Brussels I bis and MiCa Regulation and related case-law. The perspective is European Union procedural law focused. The study results were achieved by conducting a qualitative study of which sources mainly consisted of legal documents and case-law but also benefitted from scholarly works. By utilizing systematic literature review and interdisciplinary research, it was possible to draw conclusions of the current legal state of ICOs. As result, it was found that MiCa Regulation may ease establishing jurisdiction in courts of Member States under certain circumstances. MiCa Regulation sets obligations to all actors on crypto-asset markets, some of which require crypto-asset providers to have a registered office in the Union and to concentrate administration in the Union. The thesis also gave an insight into two special connecting factors for jurisdiction: the place of performance of a contractual obligation and consumer contracts. With respect to the place of performance, it was found ju</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pStyle w:val="Heading2"/>
      </w:pPr>
      <w:r>
        <w:t>610.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611.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2026:</w:t>
      </w:r>
      <w:r>
        <w:t xml:space="preserve"> Modelling of temperature-related phenomena in polymers — https://doi.org/10.1007/s00707-026-04652-2</w:t>
      </w:r>
    </w:p>
    <w:p>
      <w:pPr/>
      <w:r>
        <w:rPr>
          <w:b/>
        </w:rPr>
        <w:t>Shared claim-specific concepts:</w:t>
      </w:r>
      <w:r>
        <w:t xml:space="preserve"> phenomena, they, also; EU scope not established. This is a provisional connection, not an outcome finding.</w:t>
      </w:r>
    </w:p>
    <w:p>
      <w:pPr>
        <w:pStyle w:val="SourceNote"/>
      </w:pPr>
      <w:r>
        <w:rPr>
          <w:b/>
        </w:rPr>
        <w:t>Available abstract (not full text):</w:t>
      </w:r>
      <w:r>
        <w:t xml:space="preserve"> Abstract In comparison with metals, the characteristic temperatures at which polymers change their behaviour are significantly smaller. Temperature-related or temperature-driven phenomena in meltable thermoplastics, weakly crosslinked elastomers or highly crosslinked thermosets have their origin in physical or chemical changes on the microscale. On the macroscopic scale, the mechanical, thermal and caloric properties of polymers change. Some of these phenomena are reversible, others are irreversible. They take place when the temperature is changing due to heat supply from outside or energy dissipation caused by inelasticity and dynamic mechanical loads. As we know, growing temperature increases the mobility of the polymer molecules and changes the rates of chemical reactions. This review article addresses selected phenomena relevant for technical applications. As a reversible phenomenon, the process-dependent stiffening and softening of polymers around the glass transition is treated. Crystallisation, driven by deformation or temperature, is also a reversible phenomenon discussed in this article. Adhesives are applied in everyday life and change their material properties during curing. A phenomenon of high technical importance is ageing. Irreversible chemical ageing increases with the temperature or the environmental oxygen concentration, results from the generation of new cros</w:t>
      </w:r>
    </w:p>
    <w:p>
      <w:pPr/>
      <w:r>
        <w:rPr>
          <w:b/>
        </w:rPr>
        <w:t>POSSIBLE 2026:</w:t>
      </w:r>
      <w:r>
        <w:t xml:space="preserve"> Reconfiguring the Ideal Order: Ablation and Field Formation in the Twentieth-Century Nigerian Novel in English — https://doi.org/10.63744/bxxtneztegc5</w:t>
      </w:r>
    </w:p>
    <w:p>
      <w:pPr/>
      <w:r>
        <w:rPr>
          <w:b/>
        </w:rPr>
        <w:t>Shared claim-specific concepts:</w:t>
      </w:r>
      <w:r>
        <w:t xml:space="preserve"> order, they, also; EU scope not established. This is a provisional connection, not an outcome finding.</w:t>
      </w:r>
    </w:p>
    <w:p>
      <w:pPr>
        <w:pStyle w:val="SourceNote"/>
      </w:pPr>
      <w:r>
        <w:rPr>
          <w:b/>
        </w:rPr>
        <w:t>Available abstract (not full text):</w:t>
      </w:r>
      <w:r>
        <w:t xml:space="preserve"> Computational literary studies has developed sophisticated methods for detecting textual relationships – similarity networks, text reuse detection, semantic comparison – yet these approaches remain largely constrained to pairwise analysis. They reveal which texts resemble one another but cannot capture how individual works contribute to the collective semantic architecture of a corpus. This paper introduces a methodology that addresses this gap by shifting focus from text-to-text relationships to field formation. Treating a corpus as an integrated semantic space constructed through GloVe word embeddings, the method employs ablation testing – the systematic removal of individual texts followed by retraining – to measure each text’s structural contribution to that space. Procrustes analysis quantifies the geometric difference between full and ablated embeddings, and an iterative protocol with consistency-based exponential decay filtering distinguishes genuine semantic disruption from algorithmic noise. The resulting "disruption scores" identify texts that are structurally necessary to a corpus’s semantic field, capturing a dimension of textual significance irreducible to similarity, centrality, or explicit citation. Drawing on T.S. Eliot’s concept of the "ideal order" as a heuristic for the relational and achronological dynamics the model quantifies, the paper demonstrates the me</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2025:</w:t>
      </w:r>
      <w:r>
        <w:t xml:space="preserve"> Predicting arrhythmia recurrence post-ablation in atrial fibrillation using explainable machine learning — https://doi.org/10.1038/s43856-025-01058-4</w:t>
      </w:r>
    </w:p>
    <w:p>
      <w:pPr/>
      <w:r>
        <w:rPr>
          <w:b/>
        </w:rPr>
        <w:t>Shared claim-specific concepts:</w:t>
      </w:r>
      <w:r>
        <w:t xml:space="preserve"> predict, develop, also; EU scope not established. This is a provisional connection, not an outcome finding.</w:t>
      </w:r>
    </w:p>
    <w:p>
      <w:pPr>
        <w:pStyle w:val="SourceNote"/>
      </w:pPr>
      <w:r>
        <w:rPr>
          <w:b/>
        </w:rPr>
        <w:t>Available abstract (not full text):</w:t>
      </w:r>
      <w:r>
        <w:t xml:space="preserve"> Following atrial fibrillation ablation, it is challenging to distinguish patients who will remain arrhythmia-free from those at risk for recurrence. New explainable machine learning (xML) techniques allow for systematic assessment of arrhythmia recurrence risk following catheter ablation. We aim to develop an xML algorithm that predicts recurrence and reveals key risk factors to facilitate better follow-up strategy after an ablation procedure. We reconstructed pre-and post-ablation models of the left atrium (LA) from late gadolinium enhanced magnetic resonance (LGE-MRI) for 67 patients. Patient-specific features (LGE-based measurements of pre/post-ablation arrhythmogenic substrate, LA geometry metrics, computational simulation results, and clinical risk factors) trained a random forest classifier to predict recurrent arrhythmia. We calculated each risk factor’s marginal contribution to model decision making via SHapley Additive exPlanations (SHAP). The classifier accurately predicts post-ablation arrhythmia recurrence (mean receiver operating characteristic [ROC] area under the curve [AUC]: 0.80 ± 0.04; mean precision-recall [PR] AUC: 0.82 ± 0.08). SHAP analysis reveals that of 89 features tested, the key population risk factors for recurrence are: large left atrium, low LGE-quantified post-ablation scar in the atrial floor region, and previous attempts at direct current cardio</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pStyle w:val="Heading2"/>
      </w:pPr>
      <w:r>
        <w:t>612.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2026:</w:t>
      </w:r>
      <w:r>
        <w:t xml:space="preserve"> Negative emissions technologies and practices could challenge global resource supply and environmental limits — https://doi.org/10.1038/s43247-026-03348-8</w:t>
      </w:r>
    </w:p>
    <w:p>
      <w:pPr/>
      <w:r>
        <w:rPr>
          <w:b/>
        </w:rPr>
        <w:t>Shared claim-specific concepts:</w:t>
      </w:r>
      <w:r>
        <w:t xml:space="preserve"> bioenergy, assessment; EU scope not established. This is a provisional connection, not an outcome finding.</w:t>
      </w:r>
    </w:p>
    <w:p>
      <w:pPr>
        <w:pStyle w:val="SourceNote"/>
      </w:pPr>
      <w:r>
        <w:rPr>
          <w:b/>
        </w:rPr>
        <w:t>Available abstract (not full text):</w:t>
      </w:r>
      <w:r>
        <w:t xml:space="preserve"> Abstract Meeting climate goals will most likely require large-scale carbon dioxide removal, yet its sustainability implications remain poorly understood. Here, we conduct a prospective life cycle assessment of multiple negative emissions technologies and practices, integrating mineral resource, health, and absolute sustainability indicators to quantify impacts between 2030 and 2050. Our comprehensive analysis reveals previously overlooked bottlenecks: biochar and bioenergy with carbon capture and storage could sharply raise nutrient demand, further compromising food security, while direct air carbon capture and storage and ocean liming could critically exacerbate the mining levels of key mineral resources, despite their lower collateral damage. These findings will help guide the sustainable and safe expansion of the carbon dioxide removal industry by balancing multiple risks, thereby minimizing unintended environmental and resource-related consequences.</w:t>
      </w:r>
    </w:p>
    <w:p>
      <w:pPr/>
      <w:r>
        <w:rPr>
          <w:b/>
        </w:rPr>
        <w:t>POSSIBLE 2026:</w:t>
      </w:r>
      <w:r>
        <w:t xml:space="preserve"> Role of avoided emissions scheme and estimation of contributions of electric vehicles and heat pumps to reduction in global emissions — https://doi.org/10.1080/17583004.2026.2614424</w:t>
      </w:r>
    </w:p>
    <w:p>
      <w:pPr/>
      <w:r>
        <w:rPr>
          <w:b/>
        </w:rPr>
        <w:t>Shared claim-specific concepts:</w:t>
      </w:r>
      <w:r>
        <w:t xml:space="preserve"> gtco2; EU scope not established. This is a provisional connection, not an outcome finding.</w:t>
      </w:r>
    </w:p>
    <w:p>
      <w:pPr>
        <w:pStyle w:val="SourceNote"/>
      </w:pPr>
      <w:r>
        <w:rPr>
          <w:b/>
        </w:rPr>
        <w:t>Available abstract (not full text):</w:t>
      </w:r>
      <w:r>
        <w:t xml:space="preserve"> The Scope 3 emissions of the Greenhouse Gas Protocol are widely recognized globally, and it is important to understand the emissions from an entire value chain and to elucidate the opportunities for their reduction. The Scope 3 emissions increase in association with larger deployments of products, even those that have high energy efficiency. Therefore, measuring and estimating the “avoided emissions” that correspond to the difference between global emissions from that product usage and the baseline emissions is crucial in emission reduction activities. This study used an energy systems model to estimate the potential avoided emissions in two key end-use technologies: batteries and the hot water supply and space heating technologies of heat-pumps. The global avoided emissions by 2050 are expected to be approximately 12 and 4 GtCO2, respectively, for meeting the target of restricting air temperature rise to below 1.5 °C. The ex-post assessments on measuring the avoided emissions have issues regarding the definition of the baseline emissions, but the ex-ante assessments, estimated using the energy systems model, can convey clear definition of the baseline emissions and support emission reduction activities.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613.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pStyle w:val="Heading2"/>
      </w:pPr>
      <w:r>
        <w:t>614.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2026:</w:t>
      </w:r>
      <w:r>
        <w:t xml:space="preserve"> Governance of Agricultural Data Spaces in the European Union: Legal and Policy Implications for the Agri-Food Sector in Spain — https://doi.org/10.3390/agriculture16101117</w:t>
      </w:r>
    </w:p>
    <w:p>
      <w:pPr/>
      <w:r>
        <w:rPr>
          <w:b/>
        </w:rPr>
        <w:t>Shared claim-specific concepts:</w:t>
      </w:r>
      <w:r>
        <w:t xml:space="preserve"> identifies, six, use, but; EU scope visible. This is a provisional connection, not an outcome finding.</w:t>
      </w:r>
    </w:p>
    <w:p>
      <w:pPr>
        <w:pStyle w:val="SourceNote"/>
      </w:pPr>
      <w:r>
        <w:rPr>
          <w:b/>
        </w:rPr>
        <w:t>Available abstract (not full text):</w:t>
      </w:r>
      <w:r>
        <w:t xml:space="preserve"> The rapid digitalisation of the agri-food sector has generated unprecedented volumes of farm and value chain data, but also highly fragmented data ecosystems and asymmetric power relations between farmers, technology providers, and public authorities. In response, the European Union has developed a comprehensive data governance architecture—including the Data Governance Act, the Data Act, the GDPR and the EU Code of Conduct on Agricultural Data Sharing—and is building a Common European Agricultural Data Space (CEADS). This article examines that governance framework and explores its implications for the agri-food sector in Spain. Through a qualitative legal policy review, we map the regulatory landscape, analyse five major European and Spanish initiatives (CEADS/AgriDataSpace, AgData, Agdatahub, RegenAg-X, and DADS), and use Spain as a national case study. A multi-level actor model (meta-governance, data originators, transformation intermediaries, and data users) structures the comparative analysis. On this basis, six design principles for responsible agri-food data spaces are identified: clarity of use cases, inclusive multi-stakeholder governance, data life cycle mapping, privacy and sovereignty by design, a fair economic model, and regulatory compliance as a trust factor. The article identifies open research questions on anonymisation of georeferenced data, data sovereignty, </w:t>
      </w:r>
    </w:p>
    <w:p>
      <w:pPr/>
      <w:r>
        <w:rPr>
          <w:b/>
        </w:rPr>
        <w:t>POSSIBLE 2026:</w:t>
      </w:r>
      <w:r>
        <w:t xml:space="preserve"> Comparative analysis of digital ecosystems for agri-food sector governance in Russia and the European Union — https://doi.org/10.31442/0235-2494-2026-0-2-10-17</w:t>
      </w:r>
    </w:p>
    <w:p>
      <w:pPr/>
      <w:r>
        <w:rPr>
          <w:b/>
        </w:rPr>
        <w:t>Shared claim-specific concepts:</w:t>
      </w:r>
      <w:r>
        <w:t xml:space="preserve"> six, food, production, but; EU scope visible. This is a provisional connection, not an outcome finding.</w:t>
      </w:r>
    </w:p>
    <w:p>
      <w:pPr>
        <w:pStyle w:val="SourceNote"/>
      </w:pPr>
      <w:r>
        <w:rPr>
          <w:b/>
        </w:rPr>
        <w:t>Available abstract (not full text):</w:t>
      </w:r>
      <w:r>
        <w:t xml:space="preserve"> The relevance of this study is driven by increasing demands for food system sustainability, the increasing role of data in climate and resource policy, and the need to reduce the administrative burden on producers by standardizing accounting and reporting frameworks. The aim of this article is to identify institutional and architectural differences between digital ecosystems for managing the agro-industrial complex in Russia and the European Union, assess their management effectiveness, and formulate principles for converging platform models. The research methods include comparative institutional analysis, a functional decomposition of digital services along the «regulation-support-monitoring-production decisions» chain, content analysis of regulatory and policy documents and public materials from operators, and the construction of an ecosystem maturity assessment matrix across six dimensions: data management, interoperability, service completeness, transaction cost reduction, risk management, and user engagement. The scientific novelty lies in the proposal of a dual-loop model of «compliance platform + production ecosystem,» which allows for a comparable assessment of centralized (Russian) and federated-network (European) logics, as well as the development of an index of the management maturity of digital ecosystems for agricultural management. The results show that the Russia</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2025:</w:t>
      </w:r>
      <w:r>
        <w:t xml:space="preserve"> Using Dimensionality Reduction Methods to Explore the Social, Cultural and Geographical Reasons Behind Food Waste in the European Union — https://doi.org/10.3390/su17209315</w:t>
      </w:r>
    </w:p>
    <w:p>
      <w:pPr/>
      <w:r>
        <w:rPr>
          <w:b/>
        </w:rPr>
        <w:t>Shared claim-specific concepts:</w:t>
      </w:r>
      <w:r>
        <w:t xml:space="preserve"> identifies, six, food, environmental; EU scope visible. This is a provisional connection, not an outcome finding.</w:t>
      </w:r>
    </w:p>
    <w:p>
      <w:pPr>
        <w:pStyle w:val="SourceNote"/>
      </w:pPr>
      <w:r>
        <w:rPr>
          <w:b/>
        </w:rPr>
        <w:t>Available abstract (not full text):</w:t>
      </w:r>
      <w:r>
        <w:t xml:space="preserve"> The paper investigates disparities in food waste generation across European Union countries between 2020 and 2022, focusing on spatial and sustainability dimensions. It utilizes data for six key food waste parameters and a broad range of environmental, social and economic indicators. A combination of statistical methods, including correlation analysis, cluster analysis and Principal Component Analysis, uncovers multivariate patterns and identifies groups of countries with similar food waste characteristics and related factors. The paper highlights the temporal and spatial dynamics of food waste over the three-year period, particularly in light of the COVID-19 pandemic. While the total volume of food waste remained relatively stable across the EU, notable shifts occurred in waste sources. Household food waste peaked in 2021, likely due to increased time spent at home during pandemic-related lockdowns. Conversely, waste from retail, restaurants and food service sectors showed a consistent increase. The paper identifies non-trivial correlations between food waste and socio-economic variables, suggesting that differences in food waste generation across EU countries are influenced by a complex interplay of factors, including policy effectiveness, cultural practices, consumer behaviour and economic conditions. This comprehensive analysis of food waste patterns across EU countries and</w:t>
      </w:r>
    </w:p>
    <w:p>
      <w:pPr/>
      <w:r>
        <w:rPr>
          <w:b/>
        </w:rPr>
        <w:t>POSSIBLE 2025:</w:t>
      </w:r>
      <w:r>
        <w:t xml:space="preserve"> Phylogenetics, evolution and biogeography of four Digitaria food crop lineages across West Africa, India, and Europe — https://doi.org/10.1101/2025.03.27.645812</w:t>
      </w:r>
    </w:p>
    <w:p>
      <w:pPr/>
      <w:r>
        <w:rPr>
          <w:b/>
        </w:rPr>
        <w:t>Shared claim-specific concepts:</w:t>
      </w:r>
      <w:r>
        <w:t xml:space="preserve"> food, use, but, loss; EU scope visible. This is a provisional connection, not an outcome finding.</w:t>
      </w:r>
    </w:p>
    <w:p>
      <w:pPr>
        <w:pStyle w:val="SourceNote"/>
      </w:pPr>
      <w:r>
        <w:rPr>
          <w:b/>
        </w:rPr>
        <w:t>Available abstract (not full text):</w:t>
      </w:r>
      <w:r>
        <w:t xml:space="preserve"> Abstract Background and Aims Millet crops in the grass genus Digitaria include white and black fonio ( D. exilis and D. iburua ), raishan ( D. compacta ) and Polish millet ( D. sanguinalis ), cultivated across West Africa, India, and Europe. Fonio and raishan crops are important to supporting food security and subsistence agricultural systems in rural communities, while D. sanguinalis is no longer cultivated. These crops are resilient to challenging climates. We aim to produce an integrated study of these crops: a phylogeny of the Digitaria genus including all four food species, to identify key crop wild relatives (CWRs); time-calibrated biogeographic analysis, to investigate the history and evolution of Digitaria ; and morphological study to assess the transition between wild and domesticated species. Methods We use the Angiosperm 353 target-enrichment sequencing approach to produce maximum likelihood and coalescent model nuclear phylogenies for 46 Digitaria species, including ploidy estimations, and bayesian methods to propose an evolutionary and biogeographic history for the genus. Morphology of wild and cultivated species is investigated for spikelets and growth habits using microscopy and SEM imaging techniques. Key Results Four distinct lineages are proposed for the evolution of Digitaria crops, and close CWRs D. fuscescens , D. atrofusca , D. setigera and D. radicosa , a</w:t>
      </w:r>
    </w:p>
    <w:p>
      <w:pPr/>
      <w:r>
        <w:rPr>
          <w:b/>
        </w:rPr>
        <w:t>POSSIBLE 2025:</w:t>
      </w:r>
      <w:r>
        <w:t xml:space="preserve"> Identifying the safe operating space for food systems — https://doi.org/10.1038/s43016-025-01252-6</w:t>
      </w:r>
    </w:p>
    <w:p>
      <w:pPr/>
      <w:r>
        <w:rPr>
          <w:b/>
        </w:rPr>
        <w:t>Shared claim-specific concepts:</w:t>
      </w:r>
      <w:r>
        <w:t xml:space="preserve"> food, use, environmental, agriculture, biodiversity, greenhouse; EU scope not established. This is a provisional connection, not an outcome finding.</w:t>
      </w:r>
    </w:p>
    <w:p>
      <w:pPr>
        <w:pStyle w:val="SourceNote"/>
      </w:pPr>
      <w:r>
        <w:rPr>
          <w:b/>
        </w:rPr>
        <w:t>Available abstract (not full text):</w:t>
      </w:r>
      <w:r>
        <w:t xml:space="preserve"> Global environmental pressures from food systems threaten biodiversity and the stability of the Earth system, yet the safe operating space for food systems is unknown. Here we calculate food system boundaries as shares of planetary boundaries, proposing budgets for the food system across nine boundaries. Our results indicate that food systems are a critical driver of planetary boundary transgressions, dominating at least four transgressed boundaries (that is, biosphere integrity, land system change, freshwater change and biogeochemical flows) while strongly contributing to the transgression of two more (that is, climate change and novel entities). Moreover, global food systems are currently beyond all nine food system boundaries; moving to the safe operating space requires reducing related greenhouse gas emissions substantially, halting the conversion of intact nature to agriculture, redistributing fertilizer inputs, limiting pesticide and antibiotic use, and preserving critical freshwater flows without negatively affecting yields.</w:t>
      </w:r>
    </w:p>
    <w:p>
      <w:pPr>
        <w:pStyle w:val="Heading2"/>
      </w:pPr>
      <w:r>
        <w:t>615.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2026:</w:t>
      </w:r>
      <w:r>
        <w:t xml:space="preserve"> Informal Spaces, Formal Needs: Exploring EFL Students’ Practices, Social Comparison, and Challenges in Academic Self-Assessment Through Social Media — https://doi.org/10.36348/sjet.2026.v11i07.003</w:t>
      </w:r>
    </w:p>
    <w:p>
      <w:pPr/>
      <w:r>
        <w:rPr>
          <w:b/>
        </w:rPr>
        <w:t>Shared claim-specific concepts:</w:t>
      </w:r>
      <w:r>
        <w:t xml:space="preserve"> emerging, increased; EU scope not established. This is a provisional connection, not an outcome finding.</w:t>
      </w:r>
    </w:p>
    <w:p>
      <w:pPr>
        <w:pStyle w:val="SourceNote"/>
      </w:pPr>
      <w:r>
        <w:rPr>
          <w:b/>
        </w:rPr>
        <w:t>Available abstract (not full text):</w:t>
      </w:r>
      <w:r>
        <w:t xml:space="preserve"> Social media has become deeply integrated into students’ daily lives, extending beyond social use into informal academic practices, including self-assessment. This study examines how EFL students at a university use social media to assess their own academic abilities, the extent to which they engage in academic social comparison through these platforms, and the difficulties they encounter in doing so. A mixed-methods approach was employed, using an online questionnaire comprising closed and open-ended questions administered to 133 students. Quantitative findings revealed that the majority of students used social media for academic self-assessment on a frequent basis, with YouTube and WhatsApp emerging as the most commonly used platforms. While social comparison was a common practice among students, it was not strongly associated with increased motivation or academic confidence. Qualitative findings further revealed that students primarily used social media for comprehension checks, language practice, and peer feedback, while also reporting challenges related to distraction, unreliable information, and negative social comparison. These findings suggest that social media functions as an informal, self-directed space for academic self-assessment, one that offers meaningful opportunities for reflection and feedback but also carries risks that may undermine effective learning if lef</w:t>
      </w:r>
    </w:p>
    <w:p>
      <w:pPr/>
      <w:r>
        <w:rPr>
          <w:b/>
        </w:rPr>
        <w:t>POSSIBLE 2026:</w:t>
      </w:r>
      <w:r>
        <w:t xml:space="preserve"> Exploring sensitive topics in assessment research through vignette-based interviewing — https://doi.org/10.1186/s12909-026-09891-4</w:t>
      </w:r>
    </w:p>
    <w:p>
      <w:pPr/>
      <w:r>
        <w:rPr>
          <w:b/>
        </w:rPr>
        <w:t>Shared claim-specific concepts:</w:t>
      </w:r>
      <w:r>
        <w:t xml:space="preserve"> topics, add, power; EU scope not established. This is a provisional connection, not an outcome finding.</w:t>
      </w:r>
    </w:p>
    <w:p>
      <w:pPr>
        <w:pStyle w:val="SourceNote"/>
      </w:pPr>
      <w:r>
        <w:rPr>
          <w:b/>
        </w:rPr>
        <w:t>Available abstract (not full text):</w:t>
      </w:r>
      <w:r>
        <w:t xml:space="preserve"> BACKGROUND: Assessment research often involves working with sensitive data, that can mean potential reputation risks to individuals and institutions. Additionally, eliciting emotionally charged personal experiences while protecting the psychological safety of participants can be challenging. While vignettes are increasingly being used in medical education and public health research to elicit data through the presentation of ethical dilemmas, their application to explore sensitive topics, particularly in assessment and more specifically Objective Structured Clinical Examination (OSCE) research, is new. Our research questions were: How can vignette-based interviewing be systematically developed and validated to explore sensitive topics such as test-wiseness in OSCEs? (2) What methodological and ethical value does this data elicitation approach offer for generating insights into this topic? METHODS: Using a five phases model, we have outlined our process of construction, validation, methodological alignment, and deployment of vignettes. We highlight the integration of vignettes with semi-structured interview method and the need for ongoing feedback, reflection and adaptation of vignettes. We undertook thirteen vignette-based interviews with a diverse range of participants, including medical students, graduate doctors, educators with experience in designing, assessing, and running </w:t>
      </w:r>
    </w:p>
    <w:p>
      <w:pPr/>
      <w:r>
        <w:rPr>
          <w:b/>
        </w:rPr>
        <w:t>POSSIBLE 2026:</w:t>
      </w:r>
      <w:r>
        <w:t xml:space="preserve"> Time‑explicit life cycle assessment of a lyocell dress using bw_timex with biogenic carbon accounting — https://doi.org/10.1007/s11367-026-02616-1</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Abstract Purpose Temporal issues and biogenic carbon remain important considerations in the life cycle assessment (LCA) of bio-based products. Tracking carbon fluxes over time adds valuable information on their climate impact. This study incorporates biogenic carbon to evaluate the climate impact of a wood-based textile product using the bw_timex tool, which operationalizes the application of a time-explicit LCA framework. This framework supports dynamic inventory modeling (DIM), dynamic impact assessment (DIA), and technological projections via prospective databases. Methods Three approaches were applied: Case 1 integrates DIM, DIA, technological projections, and dynamic biogenic carbon accounting. Case 2 is identical to Case 1 but excludes technological projections. Case 3 lacks dynamic elements and technological projections, while relying on static biogenic carbon accounting. A cradle-to-grave system for a lyocell dress and its underlying inventory was developed using secondary data. Annual biogenic carbon fluxes were estimated using the CARBINE forest model. The functional unit (FU) was wearing the dress 500 times. The Brightway LCA framework was used for inventory modeling and impact assessment, covering three metrics: global warming potential over 100 years (GWP100), dynamic LCA, and radiative forcing (RF). Prospective SSP2-Base databases 2025–2040 were generated using th</w:t>
      </w:r>
    </w:p>
    <w:p>
      <w:pPr/>
      <w:r>
        <w:rPr>
          <w:b/>
        </w:rPr>
        <w:t>POSSIBLE 2026:</w:t>
      </w:r>
      <w:r>
        <w:t xml:space="preserve"> Outcome- and Impact-Based Professional Assessment Frameworks — https://doi.org/10.17605/osf.io/r3uyq</w:t>
      </w:r>
    </w:p>
    <w:p>
      <w:pPr/>
      <w:r>
        <w:rPr>
          <w:b/>
        </w:rPr>
        <w:t>Shared claim-specific concepts:</w:t>
      </w:r>
      <w:r>
        <w:t xml:space="preserve"> impacts, indicators, values, power; EU scope not established. This is a provisional connection, not an outcome finding.</w:t>
      </w:r>
    </w:p>
    <w:p>
      <w:pPr>
        <w:pStyle w:val="SourceNote"/>
      </w:pPr>
      <w:r>
        <w:rPr>
          <w:b/>
        </w:rPr>
        <w:t>Available abstract (not full text):</w:t>
      </w:r>
      <w:r>
        <w:t xml:space="preserve"> The increasing demand for accountability, transparency, and social relevance in professional practice has intensified the limitations of traditional assessment models, a challenge critically addressed by Yoesoep Edhie Rachmad (YER) in this work. Conventional assessment systems have predominantly emphasized inputs, processes, or isolated competencies, often neglecting the broader outcomes and long-term impacts of professional actions. Yoesoep Edhie Rachmad (YER) argues that such approaches are no longer sufficient in an era where professional legitimacy is increasingly measured by tangible results and societal value creation. This study by Yoesoep Edhie Rachmad (YER) introduces an outcome- and impact-based assessment framework that redefines professional evaluation as a multidimensional and temporally extended process. Outcomes are conceptualized as immediate and intermediate results of professional practice, while impact refers to sustained, systemic, and societal-level changes generated over time. By distinguishing and relationally integrating these dimensions, Yoesoep Edhie Rachmad (YER) offers a framework capable of capturing both short-term effectiveness and long-term significance. The proposed framework developed by Yoesoep Edhie Rachmad (YER) integrates quantitative indicators, qualitative evidence, and contextual interpretation into a coherent assessment architecture. Ra</w:t>
      </w:r>
    </w:p>
    <w:p>
      <w:pPr/>
      <w:r>
        <w:rPr>
          <w:b/>
        </w:rPr>
        <w:t>POSSIBLE 2026:</w:t>
      </w:r>
      <w:r>
        <w:t xml:space="preserve"> Recognizing Mental Health Impacts in Climate Change Assessments — https://doi.org/10.5194/egusphere-egu26-19663</w:t>
      </w:r>
    </w:p>
    <w:p>
      <w:pPr/>
      <w:r>
        <w:rPr>
          <w:b/>
        </w:rPr>
        <w:t>Shared claim-specific concepts:</w:t>
      </w:r>
      <w:r>
        <w:t xml:space="preserve"> assessments, impacts, increased; EU scope not established. This is a provisional connection, not an outcome finding.</w:t>
      </w:r>
    </w:p>
    <w:p>
      <w:pPr>
        <w:pStyle w:val="SourceNote"/>
      </w:pPr>
      <w:r>
        <w:rPr>
          <w:b/>
        </w:rPr>
        <w:t>Available abstract (not full text):</w:t>
      </w:r>
      <w:r>
        <w:t xml:space="preserve"> Climate change affects mental health in various ways, now increasingly documented across health, social science, and environmental research, yet these impacts remain largely absent from climate assessments used to inform integrated transformation pathways. Empirical studies associate climate-related stressors, such as extreme heat, floods, food insecurity, displacement, and environmental degradation, with adverse mental health outcomes, including anxiety, depression, psychological distress, increased psychiatric hospitalizations, and elevated suicide risk. Evidence also suggests that relatively small increases in temperature, on the order of 1 °C, can negatively affect cognitive performance, decision-making, and emotional regulation, with implications for productivity, learning, and social functioning.These impacts are unevenly distributed and often more pronounced in rural and peri-urban settings, where climate-sensitive livelihoods, environmental stress, and limited access to mental health services intersect. Certain groups face heightened vulnerability, including individuals with pre-existing mental health conditions, whose symptoms may intensify under repeated climate stress, and pregnant individuals, for whom climate-related stress can affect prenatal mental health with potential long-term consequences for child development. In contexts where health systems are already und</w:t>
      </w:r>
    </w:p>
    <w:p>
      <w:pPr>
        <w:pStyle w:val="Heading2"/>
      </w:pPr>
      <w:r>
        <w:t>616.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2026:</w:t>
      </w:r>
      <w:r>
        <w:t xml:space="preserve"> Fiscal and regulatory incentives for electric vehicle adoption in Polish micro-enterprises: economic analysis and policy recommendations — https://doi.org/10.22306/al.v13i1.712</w:t>
      </w:r>
    </w:p>
    <w:p>
      <w:pPr/>
      <w:r>
        <w:rPr>
          <w:b/>
        </w:rPr>
        <w:t>Shared claim-specific concepts:</w:t>
      </w:r>
      <w:r>
        <w:t xml:space="preserve"> adoption, bevs, bev, charging, stations; EU scope visible. This is a provisional connection, not an outcome finding.</w:t>
      </w:r>
    </w:p>
    <w:p>
      <w:pPr>
        <w:pStyle w:val="SourceNote"/>
      </w:pPr>
      <w:r>
        <w:rPr>
          <w:b/>
        </w:rPr>
        <w:t>Available abstract (not full text):</w:t>
      </w:r>
      <w:r>
        <w:t xml:space="preserve"> Microenterprises constitute the dominant group of companies in Poland, but rarely adopt electric vehicles (BEVs) due to high purchase costs, limited range, underdeveloped charging infrastructure, and the typical short-term investment horizons of microenterprises. This study aims to analyze microenterprises' opinions on BEVs in Malopolskie voivodship and to evaluate the effectiveness of incentives. A CAWI survey of 307 respondents (90% confidence, 10% margin of error) tested the hypothesis that BEVs would become more popular among microenterprises if there were more incentives for their purchase (even though according to respondents, BEVs are suited to city-center access (where combustion engines are banned) or serve as second cars for long trips, given their lower versatility and longer charging times). Results of the survey show that 84.4% of journeys are below 300 km (BEV range), but 65-78% of respondents provide the following barriers to BEV adoption: high price, range anxiety, insufficient charging stations, and long charging times. According to the survey, the following are significant incentives to buy BEVs: subsidies up to PLN 40,000 (8.5%), free city parking, and free city access to low-emission zones. The survey also showed that 20.5% of respondents planned to buy passenger BEVs, and 7.5% planned to buy delivery BEVs.</w:t>
      </w:r>
    </w:p>
    <w:p>
      <w:pPr/>
      <w:r>
        <w:rPr>
          <w:b/>
        </w:rPr>
        <w:t>POSSIBLE 2026:</w:t>
      </w:r>
      <w:r>
        <w:t xml:space="preserve"> Forecasting Technology Adoption in Uncertain and Dynamic Markets: A Market Coverage Diffusion Approach — https://doi.org/10.1002/asmb.70131</w:t>
      </w:r>
    </w:p>
    <w:p>
      <w:pPr/>
      <w:r>
        <w:rPr>
          <w:b/>
        </w:rPr>
        <w:t>Shared claim-specific concepts:</w:t>
      </w:r>
      <w:r>
        <w:t xml:space="preserve"> adoption, bevs, fit; EU scope not established. This is a provisional connection, not an outcome finding.</w:t>
      </w:r>
    </w:p>
    <w:p>
      <w:pPr>
        <w:pStyle w:val="SourceNote"/>
      </w:pPr>
      <w:r>
        <w:rPr>
          <w:b/>
        </w:rPr>
        <w:t>Available abstract (not full text):</w:t>
      </w:r>
      <w:r>
        <w:t xml:space="preserve"> ABSTRACT How innovations spread in a fast‐changing and uncertain market is vital for accurate forecasting and planning. This study introduces a generalized diffusion framework that incorporates evolving market coverage along with dynamic market and market uncertainty. A random variable is used to represent market uncertainty, while three coverage functions, exponential, delayed, and logistic are used to capture different patterns of market growth. The models are evaluated on two different data sets: quarterly sales of battery electric vehicles (BEVs) and quarterly sales of Apple iPhones. The performance of the proposed models is compared to that of some benchmark diffusion models using various error and information‐based measures. The results indicate that the proposed models outperform the existing ones. Among the proposed models, the model with the logistic coverage provides the best fit for both data sets as it can capture the early growth and later stabilization more effectively. The study also highlights the differences in adoption patterns for infrastructure‐driven technologies, such as BEVs, and fast‐moving consumer products, like smartphones.</w:t>
      </w:r>
    </w:p>
    <w:p>
      <w:pPr>
        <w:pStyle w:val="Heading2"/>
      </w:pPr>
      <w:r>
        <w:t>617.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2026:</w:t>
      </w:r>
      <w:r>
        <w:t xml:space="preserve"> Decarbonisation Strategies in the Olive Oil Supply Chain: A Systematic Literature Review and ESG-Oriented Framework — https://doi.org/10.3390/su18189322</w:t>
      </w:r>
    </w:p>
    <w:p>
      <w:pPr/>
      <w:r>
        <w:rPr>
          <w:b/>
        </w:rPr>
        <w:t>Shared claim-specific concepts:</w:t>
      </w:r>
      <w:r>
        <w:t xml:space="preserve"> green, deal, decarbonisation, different, sustainability; EU scope visible. This is a provisional connection, not an outcome finding.</w:t>
      </w:r>
    </w:p>
    <w:p>
      <w:pPr>
        <w:pStyle w:val="SourceNote"/>
      </w:pPr>
      <w:r>
        <w:rPr>
          <w:b/>
        </w:rPr>
        <w:t>Available abstract (not full text):</w:t>
      </w:r>
      <w:r>
        <w:t xml:space="preserve"> Sustainability policies introduced under the European Green Deal have strengthened climate-related disclosure requirements for agri-food companies. In particular, the Corporate Sustainability Reporting Directive requires in-scope companies to transparently disclose information on their environmental performance. However, the academic literature on decarbonisation in the olive oil sector remains fragmented. This systematic literature review synthesises findings by considering cultivation, milling and retail, and waste management as interconnected stages of the olive oil supply chain and by developing a matrix linking decarbonisation strategies to the relevant European Sustainability Reporting Standards (ESRS) environmental, social and governance (ESG) topics. Following the PRISMA protocol, 42 peer-reviewed studies from Scopus and Web of Science were included in the final synthesis, covering cultivation (RQ1), milling and retail (RQ2), and waste management (RQ3). The cultivation stage represents an important part of the emission profile of the chain while also offering potential for carbon sequestration through sustainable management practices, such as reduced tillage, cover crops, organic amendments and biochar application. In the downstream stages, the mill and its retail interface rely on a different set of measures, including two-phase extraction, rooftop photovoltaic systems</w:t>
      </w:r>
    </w:p>
    <w:p>
      <w:pPr/>
      <w:r>
        <w:rPr>
          <w:b/>
        </w:rPr>
        <w:t>POSSIBLE 2026:</w:t>
      </w:r>
      <w:r>
        <w:t xml:space="preserve"> Revisiting the European Green Deal — https://openalex.org/W7164631661</w:t>
      </w:r>
    </w:p>
    <w:p>
      <w:pPr/>
      <w:r>
        <w:rPr>
          <w:b/>
        </w:rPr>
        <w:t>Shared claim-specific concepts:</w:t>
      </w:r>
      <w:r>
        <w:t xml:space="preserve"> green, deal, egd, strategy; EU scope visible. This is a provisional connection, not an outcome finding.</w:t>
      </w:r>
    </w:p>
    <w:p>
      <w:pPr>
        <w:pStyle w:val="SourceNote"/>
      </w:pPr>
      <w:r>
        <w:rPr>
          <w:b/>
        </w:rPr>
        <w:t>Available abstract (not full text):</w:t>
      </w:r>
      <w:r>
        <w:t xml:space="preserve"> In the context of the technological revolution in food systems, this paper argues that this "technicization" of agricultural practices also extends to a "technicization" of their political justifications. Embedded within a "technical/scientific narrative," the European Green Deal (EGD), its Farm to Fork (F2F), and Biodiversity Strategy present new technologies as part of promises for the efficient and sustainable use of food systems, particularly in the face of climate change challenges. While agricultural policies have traditionally been analyzed through the lens of exceptionalist and post-exceptionalist justifications, we identify the use of technical/scientific narratives to justify and even depoliticize agricultural policies. With this scientific/technical narrative, these new technologies are presented as promises for a sustainable world, even as the only rational solutions, or the objective and universal continuity of agricultural practices. However, these justifications and scientific approaches rationalize and objectify a Western vision of the world and of science (where nature is put at a distance, as functional objects to be valorized), which is specific to and not shared by the agricultural environment. In response, various scientific, civic, and decolonial movements have contested the technical and dualist hegemony of agricultural approaches. These answers are analy</w:t>
      </w:r>
    </w:p>
    <w:p>
      <w:pPr/>
      <w:r>
        <w:rPr>
          <w:b/>
        </w:rPr>
        <w:t>POSSIBLE 2026:</w:t>
      </w:r>
      <w:r>
        <w:t xml:space="preserve"> From the European Green Deal to Competitiveness, Resilience and Security: Is the European Union’s green development agenda still ‘green’? — https://openalex.org/W7202328939</w:t>
      </w:r>
    </w:p>
    <w:p>
      <w:pPr/>
      <w:r>
        <w:rPr>
          <w:b/>
        </w:rPr>
        <w:t>Shared claim-specific concepts:</w:t>
      </w:r>
      <w:r>
        <w:t xml:space="preserve"> green, deal, egd, union; EU scope visible. This is a provisional connection, not an outcome finding.</w:t>
      </w:r>
    </w:p>
    <w:p>
      <w:pPr>
        <w:pStyle w:val="SourceNote"/>
      </w:pPr>
      <w:r>
        <w:rPr>
          <w:b/>
        </w:rPr>
        <w:t>Available abstract (not full text):</w:t>
      </w:r>
      <w:r>
        <w:t xml:space="preserve"> Since the introduction of the European Green Deal (EGD) in late 2019, a range of crises have significantly altered the European and global socio-economic-political landscape. From this turbulent period, a new EU policy narrative that focuses primarly on the pursuit of Competitiveness, Resilience and Security (CRS) has taken centre stage. Whereas the new CRS narrative does include environmental objectives such as decarbonization and renewable energy deployment, this thesis studies whether the CRS policy narrative reflects continuity with the EGD’s green ambitions, or whether it reorders or dilutes said ambitions. The study deploys a mixed methods linguistic analysis, combining a quantitative study on the most frequent keywords used in both narratives and their frequency of coverage in EU policy documents over time, with a qualitative study of the contextual use of these keywords over time. The findings reveal how CRS objectives are integrated into preexisting objectives of EU policy, and how green ambitions continue to find relevance albeit with a decreased level of ambition and lessened attention to those goals that least strongly align with CRS objectives. Especially EGD goals on climate ambition, the construction sector, ecosystem and biodiversity protection, and just transitions appear to be increasingly commonly omitted. Green ambitions are further weakened by recontextuali</w:t>
      </w:r>
    </w:p>
    <w:p>
      <w:pPr/>
      <w:r>
        <w:rPr>
          <w:b/>
        </w:rPr>
        <w:t>POSSIBLE 2026:</w:t>
      </w:r>
      <w:r>
        <w:t xml:space="preserve"> Effectiveness of European Green Deal implementation in EU countries — https://doi.org/10.12775/eip.2026.8</w:t>
      </w:r>
    </w:p>
    <w:p>
      <w:pPr/>
      <w:r>
        <w:rPr>
          <w:b/>
        </w:rPr>
        <w:t>Shared claim-specific concepts:</w:t>
      </w:r>
      <w:r>
        <w:t xml:space="preserve"> green, deal, egd, approach; EU scope visible. This is a provisional connection, not an outcome finding.</w:t>
      </w:r>
    </w:p>
    <w:p>
      <w:pPr>
        <w:pStyle w:val="SourceNote"/>
      </w:pPr>
      <w:r>
        <w:rPr>
          <w:b/>
        </w:rPr>
        <w:t>Available abstract (not full text):</w:t>
      </w:r>
      <w:r>
        <w:t xml:space="preserve"> Motivation: The European Green Deal (EGD) provides a common EU framework for climate neutrality, resource efficiency and a just transition, but Member States differ markedly in structural conditions and implementation capacity. Existing assessments rely mostly on monitoring exercises, composite indicators or MCDA rankings; less attention has been paid to frontier-based efficiency benchmarking of EGD outcomes. Aim: The study assesses relative EGD effectiveness in 25 EU countries using a DEA/Benefit-of-the-Doubt approach and Eurostat EGD indicators. The analysis covers 2013-2021, with 2019 treated as the strategic reference point. A SAW index is calculated from 20 transformed indicators, while the DEA/BoD model uses five indicators selected through correlation analysis, variance analysis, PCA and LASSO. Results: The results show substantial heterogeneity. Sweden, Latvia and Estonia hold strong positions in both the composite indicator and DEA/BoD assessment. In 2021, the efficiency-frontier or super-efficient group includes Sweden, Latvia, Lithuania, Portugal, Estonia, Ireland, the Netherlands, Croatia and Finland, whereas Czechia, Belgium, Poland and Bulgaria show the largest efficiency reserves. Contribution-share and robustness checks indicate the importance of waste generation and PM2.5-related premature mortality. DEA/BoD complements ranking-based assessments by identifying </w:t>
      </w:r>
    </w:p>
    <w:p>
      <w:pPr/>
      <w:r>
        <w:rPr>
          <w:b/>
        </w:rPr>
        <w:t>POSSIBLE 2026:</w:t>
      </w:r>
      <w:r>
        <w:t xml:space="preserve"> The EU's Strategy for Sustainability: A Landmark Turn With the European Green Deal? — https://doi.org/10.1002/epa2.70035</w:t>
      </w:r>
    </w:p>
    <w:p>
      <w:pPr/>
      <w:r>
        <w:rPr>
          <w:b/>
        </w:rPr>
        <w:t>Shared claim-specific concepts:</w:t>
      </w:r>
      <w:r>
        <w:t xml:space="preserve"> green, deal, egd, strategy, instruments, sustainability; EU scope visible. This is a provisional connection, not an outcome finding.</w:t>
      </w:r>
    </w:p>
    <w:p>
      <w:pPr>
        <w:pStyle w:val="SourceNote"/>
      </w:pPr>
      <w:r>
        <w:rPr>
          <w:b/>
        </w:rPr>
        <w:t>Available abstract (not full text):</w:t>
      </w:r>
      <w:r>
        <w:t xml:space="preserve"> ABSTRACT While the European Green Deal (EGD) has been widely recognized as a milestone in the EU's sustainability strategy, scholars disagree on the nature of the policy change it represents. Critics highlight its limited social and environmental ambitions, despite its portrayal as a “man on the moon” moment. Using a policy‐paradigm lens, this study analyses the European Commission's EGD legislative package during the first 2 years after its adoption, focusing on discourse, policy instruments, and strategies for building political and societal support. The findings reveal the emergence of a new policy narrative integrating environmental sustainability, economic growth, and social inclusion, supported by revised instruments and political efforts to advance a “beyond‐growth” agenda. These developments suggest an incremental paradigmatic shift, the full implications of which will only become clear over time.</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pStyle w:val="Heading2"/>
      </w:pPr>
      <w:r>
        <w:t>618.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Delivering a Climate Neutral Europe — https://doi.org/10.4324/9781003493730</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Modelling the economic and environmental impacts of water resources in the context of climate neutrality in the EUSDR member states — https://doi.org/10.3389/fenvs.2024.1353107</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Introduction This study explores the economic and environmental impacts of water resources in the context of achieving climate neutrality in the EU Strategy for the Danube Region (EUSDR). The research is focused on eight EUSDR member states: Bulgaria, Czechia, Germany, Croatia, Hungary, Austria, Romania, and Slovakia, with the aim of analyzing the dynamic relationship between water resources, economic growth, and environmental sustainability. Given the ambitious goals of the European Green Deal, this study examines how water management can support the transition towards climate neutrality. Methods A dynamic econometric model was developed using a consolidated database of relevant climate neutrality indicators from 2010 to 2021. The selected indicators included GDP per capita, water use in agriculture, gross water abstraction, sewage sludge production, and water productivity. The econometric model was validated using statistical tools such as the One-Sample Kolmogorov-Smirnov Test, and analysis was conducted using Gretl and IBM-SPSS 25 software. Results The findings reveal that water resources management significantly contributes to the achievement of climate neutrality targets. The model achieved over 86% significance in explaining the financial efforts needed to achieve the Green Deal’s 2030 and 2050 goals. Moreover, water productivity and investments in water-related infrastr</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619.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2026:</w:t>
      </w:r>
      <w:r>
        <w:t xml:space="preserve"> Economic value of lost productivity attributable to premature cancer mortality and morbidity across Europe — https://doi.org/10.1080/13696998.2026.2633013</w:t>
      </w:r>
    </w:p>
    <w:p>
      <w:pPr/>
      <w:r>
        <w:rPr>
          <w:b/>
        </w:rPr>
        <w:t>Shared claim-specific concepts:</w:t>
      </w:r>
      <w:r>
        <w:t xml:space="preserve"> database, findings, countries; EU scope visible. This is a provisional connection, not an outcome finding.</w:t>
      </w:r>
    </w:p>
    <w:p>
      <w:pPr>
        <w:pStyle w:val="SourceNote"/>
      </w:pPr>
      <w:r>
        <w:rPr>
          <w:b/>
        </w:rPr>
        <w:t>Available abstract (not full text):</w:t>
      </w:r>
      <w:r>
        <w:t xml:space="preserve"> BACKGROUND: Cancer imposes a substantial clinical and economic burden across Europe. This analysis estimated the lost productivity cost of the five cancer types with the highest premature mortality and five cancer types with the highest morbidity burden across 28 European countries in 2022. METHODS: Data on cancer deaths, years of life lost (YLL), and years of life lived with disability (YLD) were sourced from the Institute for Health Metrics and Evaluation Global Burden of Disease database. Country- and sex-specific demographic and economic parameters were obtained. Years of productive life lost (YPLL) and present value of future lost productivity (PVFLP) were estimated for individuals dying before retirement, while the value of YLD (VYLD) quantified earnings lost due to cancer-related disability. Outcomes were adjusted for labor force participation and unemployment. Deterministic sensitivity analyses assessed the impact of variations in model inputs. RESULTS: In 2022, tracheal, bronchus, and lung cancer, colon and rectum cancer, breast, pancreatic, and prostate cancers accounted for 899,581 deaths, 17,274,882 YLL, 896,510 YPLL, and €30,749,064,014 PVFLP across Europe. Tracheal, bronchus, and lung cancer contributed the largest share of mortality-related productivity losses with 37.2% of deaths and 43.7% of PVFLP. Breast cancer had the highest PVFLP per death (€49,411). For mo</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world, bank, good, countries;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pStyle w:val="Heading2"/>
      </w:pPr>
      <w:r>
        <w:t>620.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621.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2025:</w:t>
      </w:r>
      <w:r>
        <w:t xml:space="preserve"> EUROPEAN CONSTRUCTION BETWEEN THE IDEA OF A UNITED EUROPE — https://doi.org/10.61846/cuji-ssh.2025.2.06</w:t>
      </w:r>
    </w:p>
    <w:p>
      <w:pPr/>
      <w:r>
        <w:rPr>
          <w:b/>
        </w:rPr>
        <w:t>Shared claim-specific concepts:</w:t>
      </w:r>
      <w:r>
        <w:t xml:space="preserve"> well, associated;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Update of the list of qualified presumption of safety (QPS) recommended microbiological agents intentionally added to food or feed as notified to EFSA 22: Suitability of taxonomic units notified to EFSA until March 2025 — https://doi.org/10.2903/j.efsa.2025.9510</w:t>
      </w:r>
    </w:p>
    <w:p>
      <w:pPr/>
      <w:r>
        <w:rPr>
          <w:b/>
        </w:rPr>
        <w:t>Shared claim-specific concepts:</w:t>
      </w:r>
      <w:r>
        <w:t xml:space="preserve"> materials, four; EU scope not established. This is a provisional connection, not an outcome finding.</w:t>
      </w:r>
    </w:p>
    <w:p>
      <w:pPr>
        <w:pStyle w:val="SourceNote"/>
      </w:pPr>
      <w:r>
        <w:rPr>
          <w:b/>
        </w:rPr>
        <w:t>Available abstract (not full text):</w:t>
      </w:r>
      <w:r>
        <w:t xml:space="preserve"> Abstract The qualified presumption of safety (QPS) process was developed to assess the safety of microorganisms used in food and feed chains. During the period covered by this Statement, no new information warranted changes to the status of previously recommended QPS taxonomic units. The QPS list was updated to verify the correctness of the names and the completeness of synonyms. Of the 47 microorganisms notified to EFSA between October 2024 and March 2025 (25 as feed additives, 7 as food enzymes or additives, 6 as novel foods, 8 as plant protection products and 1 as food contact materials), 41 were not evaluated. These latter included 11 filamentous fungi, 4 Escherichia coli and 1 Streptomyces spp. (all excluded from the QPS evaluation), and 25 already on the QPS list. Two of the other six notifications, Bacillus thuringiensis and Ensifer adhaerens, had been previously assessed. The remaining four were assessed for a possible QPS status. Bacillus sonorensis is recommended for the QPS list with the qualifications: ‘absence of bacitracin production ability’ and ‘absence of toxigenic activity’. Vibrio natriegens is also recommended but for ‘production purposes only’. Corynebacterium stationis is not recommended due to a limited body of knowledge on its occurrence in the food and feed chain and possible safety concerns in relation to human and animal health. Papilotrema terrestris</w:t>
      </w:r>
    </w:p>
    <w:p>
      <w:pPr/>
      <w:r>
        <w:rPr>
          <w:b/>
        </w:rPr>
        <w:t>POSSIBLE 2025:</w:t>
      </w:r>
      <w:r>
        <w:t xml:space="preserve"> Floristic characteristics and regionalisation of karst woody plants in China — https://doi.org/10.1111/njb.04622</w:t>
      </w:r>
    </w:p>
    <w:p>
      <w:pPr/>
      <w:r>
        <w:rPr>
          <w:b/>
        </w:rPr>
        <w:t>Shared claim-specific concepts:</w:t>
      </w:r>
      <w:r>
        <w:t xml:space="preserve"> materials, distribution, species; EU scope not established. This is a provisional connection, not an outcome finding.</w:t>
      </w:r>
    </w:p>
    <w:p>
      <w:pPr>
        <w:pStyle w:val="SourceNote"/>
      </w:pPr>
      <w:r>
        <w:rPr>
          <w:b/>
        </w:rPr>
        <w:t>Available abstract (not full text):</w:t>
      </w:r>
      <w:r>
        <w:t xml:space="preserve"> China's karst region, known for its unique biodiversity, presents significant challenges in understanding the distribution patterns of woody plants due to its vast expanse and rugged terrain. This study integrates newly obtained species composition data from over 100 karst sites in China with extensive data from previous surveys and reference materials. The research identified 2 kingdoms, 3 subkingdoms, 11 regions, and 20 subregions within China's karst woody plant flora, following the framework of the ‘Floristic Regionalization of China'. The study describes the geographical extent, vegetation composition, floristic characteristics, and typical taxa for each region and subregion. The analysis of floristic sources across different regions indicates that China's karst woody flora is a mixture of several palaeofloras, particularly the Tethys Tertiary and Palaeotropic palaeofloras. These findings significantly enhance our understanding of karst biodiversity and can aid future research and conservation efforts in botany and ecology.</w:t>
      </w:r>
    </w:p>
    <w:p>
      <w:pPr/>
      <w:r>
        <w:rPr>
          <w:b/>
        </w:rPr>
        <w:t>POSSIBLE 2025:</w:t>
      </w:r>
      <w:r>
        <w:t xml:space="preserve"> A novel fermentation system for the production of Spanish-style green table olives — https://doi.org/10.1016/j.ifset.2025.104294</w:t>
      </w:r>
    </w:p>
    <w:p>
      <w:pPr/>
      <w:r>
        <w:rPr>
          <w:b/>
        </w:rPr>
        <w:t>Shared claim-specific concepts:</w:t>
      </w:r>
      <w:r>
        <w:t xml:space="preserve"> associated, combined; EU scope not established. This is a provisional connection, not an outcome finding.</w:t>
      </w:r>
    </w:p>
    <w:p>
      <w:pPr>
        <w:pStyle w:val="SourceNote"/>
      </w:pPr>
      <w:r>
        <w:rPr>
          <w:b/>
        </w:rPr>
        <w:t>Available abstract (not full text):</w:t>
      </w:r>
      <w:r>
        <w:t xml:space="preserve"> The traditional technology of fermenting Spanish-style green table olives in underground fibre-glass containers has remained largely unchanged since the late 1960s. This study introduces a novel fermentation system based on interconnected stainless-steel containers operated under vacuum conditions and equipped with two pumps: one for brine recirculation and another for gas purging. The primary goals of this new system are to enhance homogeneity among fermentation vessels, facilitate gas release, and improve cleaning and disinfection procedures. The conventional system favoured the growth of lactic acid bacteria, resulting in higher titratable acidity (1.10 % vs. 0.67 % in stainless-steel containers), although both systems achieved similar final pH levels (~4.2). Traditional fermentation also produced olives with superior colour and overall acceptability. In contrast, the new system showed lower variability across most physicochemical and microbiological parameters, indicating improved process uniformity. It also favoured yeast growth, enhanced CO 2 release from the fermentation medium, improved fruit texture, supported more consistent inoculum imposition, and was associated with lower combined acidity at the end of the process (0.118 Eq/L vs. 0.173 Eq/L in the traditional system). Metataxonomic analysis revealed greater microbial diversity (both bacterial and fungal) in the con</w:t>
      </w:r>
    </w:p>
    <w:p>
      <w:pPr>
        <w:pStyle w:val="Heading2"/>
      </w:pPr>
      <w:r>
        <w:t>622.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2025:</w:t>
      </w:r>
      <w:r>
        <w:t xml:space="preserve"> The impact of the European Medicines Agency (EMA) and the Heads of Medicines Agencies (HMA) to address shortages of human and veterinary medicines across Europe — https://doi.org/10.3389/fpubh.2025.1673681</w:t>
      </w:r>
    </w:p>
    <w:p>
      <w:pPr/>
      <w:r>
        <w:rPr>
          <w:b/>
        </w:rPr>
        <w:t>Shared claim-specific concepts:</w:t>
      </w:r>
      <w:r>
        <w:t xml:space="preserve"> important, crisis, provide, structural; EU scope visible. This is a provisional connection, not an outcome finding.</w:t>
      </w:r>
    </w:p>
    <w:p>
      <w:pPr>
        <w:pStyle w:val="SourceNote"/>
      </w:pPr>
      <w:r>
        <w:rPr>
          <w:b/>
        </w:rPr>
        <w:t>Available abstract (not full text):</w:t>
      </w:r>
      <w:r>
        <w:t xml:space="preserve"> Shortages of medicines are a global public health challenge with a significant impact on patient care. While the issue is at the top of the agenda of EU policymakers, regulators and healthcare providers, shortages are a complex problem with many contributing factors requiring multifaceted solutions. This article is a reflection of the work EMA and network of EU regulatory agencies for medicines carried out since 2012, in particular its taskforce, set up in 2016 to provide strategic and structural solutions to tackle shortages in the EU. Since its inception, the taskforce played a key role in spearheading activities related to medicines' shortages. Members of the taskforce supported important initiatives from leading the work on critical medicines to laying the foundation for Regulation (EU) 2022/123, which reinforces EMA's role in crisis preparedness and management of medicinal products and medical devices. On 18 December 2024 the taskforce reached the end of its mandate. Its work is now integrated into EMA and HMA's core activities. Future activities such as the implementation of shortage prevention plans will be further defined by measures in the revised pharmaceutical legislation, and the proposed Critical Medicines Act.</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pStyle w:val="Heading2"/>
      </w:pPr>
      <w:r>
        <w:t>623.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2026:</w:t>
      </w:r>
      <w:r>
        <w:t xml:space="preserve"> IT SECTOR AS A FACTOR OF ECONOMIC STABILITY AND RECOVERY OF THE NATIONAL ECONOMY OF UKRAINE — https://doi.org/10.31732/2663-2209-2026-81-78-87</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The article examines the role of the IT sector as a strategic resource for ensuring economic resilience and subsequent post-war recovery of the national economy of Ukraine. It is substantiated that under the conditions of unprecedented external shocks, the IT industry has transformed from a service sector into a fundamental anti-crisis stabilizer of the macroeconomic system. The aim of the article is to provide a theoretical substantiation and conceptualization of the IT sector’s role as a strategic factor in ensuring the adaptive resilience of Ukraine’s national economy, as well as to define the mechanisms of its influence on structural recovery processes in the context of global digitalization and Industry 4.0. The methodological framework of the study is based on a systems approach. During the research, a complex of methods was applied: dialectical and logical-generalization methods – to clarify the essence of the terms "economic resilience" and "digital spillovers"; systemic-structural analysis – to examine intersectoral linkages under Industry 4.0 conditions; statistical and comparative analysis – to assess the contribution of IT services to macroeconomic stability; the graphical method – to visualize the interaction model between the digital and real sectors of the economy. The author analyzes the IT sector through the prism of three functional roles: a source of stable f</w:t>
      </w:r>
    </w:p>
    <w:p>
      <w:pPr/>
      <w:r>
        <w:rPr>
          <w:b/>
        </w:rPr>
        <w:t>POSSIBLE 2026:</w:t>
      </w:r>
      <w:r>
        <w:t xml:space="preserve"> Ethnoecology-Based Traditional Agricultural Systems as a Strategy for Sustainable Agricultural Development — https://doi.org/10.61942/msj.v4i1.559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Sustainable agricultural development has become increasingly urgent due to environmental degradation, climate change, and rural socio-economic inequality caused by high-input modern agricultural systems. In this context, ethnoecology-based traditional agricultural systems offer an alternative framework grounded in local ecological knowledge, cultural values, and community-based resource governance. This study aims to analyze how traditional agricultural systems can be formulated as a strategic approach to sustainable agricultural development within modern policy frameworks. The research employed a qualitative design using in-depth interviews, participatory observation, and document analysis in rural communities practicing traditional agriculture. Data were analyzed through thematic coding and an interactive model of data reduction, display, and interpretation. The findings reveal three main dimensions: ecological sustainability through diversification and agroforestry practices; socio-institutional resilience through customary governance; and potential hybridization with modern technologies such as precision irrigation and climate-smart tools. The study concludes that integrating traditional ecological knowledge with contemporary agricultural innovation and legal recognition of customary institutions can strengthen inclusive and resilient sustainable agricultural development.</w:t>
      </w:r>
    </w:p>
    <w:p>
      <w:pPr/>
      <w:r>
        <w:rPr>
          <w:b/>
        </w:rPr>
        <w:t>POSSIBLE 2026:</w:t>
      </w:r>
      <w:r>
        <w:t xml:space="preserve"> Agricultural green development policy and agricultural export upgrading: evidence from China’s agricultural product trade — https://doi.org/10.3389/fsufs.2026.1914900</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How production-side agricultural green development policy affects agricultural exports remains insufficiently understood, particularly across the three distinct trade margins of export value, export volume, and export quality. Using China’s 2017 agricultural green development policy as a policy shock, this study employs panel data for 31 provincial-level regions from 2013 to 2024, measures pre-policy conditions using agricultural sustainability over 2013–2016, and applies a continuous difference-in-differences design to identify heterogeneous provincial export responses to the common policy shock. The results show that, following policy implementation, regions with higher pre-policy agricultural sustainability experienced larger relative increases in export value, export volume, and export quality, indicating that the policy response was not confined to either quality improvement or scale expansion alone. Dynamic estimates show that the positive differential in export quality emerged early in the implementation period, whereas export value and export volume adjusted more gradually. Robustness checks, counterfactual policy-timing tests, random permutation tests, and cluster-aware double machine learning estimates broadly corroborate the core findings. Among the three outcomes, the evidence is most stable for export quality, whereas export volume is estimated with relatively lowe</w:t>
      </w:r>
    </w:p>
    <w:p>
      <w:pPr/>
      <w:r>
        <w:rPr>
          <w:b/>
        </w:rPr>
        <w:t>POSSIBLE 2026:</w:t>
      </w:r>
      <w:r>
        <w:t xml:space="preserve"> Bibliometrics of Agricultural Crop Variety Development — https://doi.org/10.58812/wsshs.v4i02.2656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This study aims to map and analyze the global research landscape of agricultural crop variety development using a bibliometric approach. Data were retrieved from the Scopus database and analyzed using VOSviewer to identify research trends, thematic structures, collaboration networks, and emerging topics within the field. The results reveal that the scientific discourse is dominated by three interconnected themes: genetic innovation and plant breeding, plant physiological and biochemical research, and sustainability-oriented agricultural systems. Keyword co-occurrence analysis shows that concepts such as crops, agriculture, genetics, crop production, and sustainable development form the core intellectual structure, while overlay visualization indicates a shift toward advanced technologies such as gene editing, machine learning, and climate-resilient crop improvement. Density analysis highlights strong research intensity around food security and climate change, emphasizing the growing role of environmental challenges in shaping research priorities. Collaboration analyses demonstrate that countries such as China, India, and the United States act as central hubs in global scientific networks, supported by international agricultural research institutions. This study provides a comprehensive overview of the evolution, collaboration patterns, and future research directions in agricult</w:t>
      </w:r>
    </w:p>
    <w:p>
      <w:pPr>
        <w:pStyle w:val="Heading2"/>
      </w:pPr>
      <w:r>
        <w:t>624.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2026:</w:t>
      </w:r>
      <w:r>
        <w:t xml:space="preserve"> IMMUNOLOGICAL ASSESSMENT IN CHRONIC NASOPHARYNGITIS WITH DIFFERENT VARIANTS OF COMORBIDITY IN THE NASOPHARYNGEAL ZONE — https://doi.org/10.37219/9kbzp448</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Topicality: Understanding the immunological features of chronic nasopharyngitis with or without pharyngeal hypertrophy makes it possible to prescribe treatment based on individualization according to the specific pathophysiological situation and concomitant conditions of the nasopharyngeal area and the child's immune status, which allows for precision pharmacotherapy. Objective: 1) To study the immunological profile of different variants of chronic nasopharyngitis in children with various associated conditions of the nasopharyngeal zone for further substantiated modulation of the activity of the nasopharyngeal immune system using a mucosal vaccine. 2) The full spectrum of changes in all indicators of local immunity in oropharyngeal secretions in patients with MG III - increased IL-1β, decreased IFN-α, decreased sIgA - most likely ensure the chronicity of infectious inflammation of the nasopharynx in this category of subjects. Conclusions: The greatest changes in both local and systemic immunity are shown by representatives of MG I (without comorbidity) and MG III (chronic nasopharyngitis on the background of allergic rhinitis). However, such indicators of systemic immunity in patients with MG III as the absence of a decrease in T-lymphocytes CD3+, a decrease in T-lymphocytes CD8+, an increased IPI, a decrease in T-lymphocytes CD16+, an increase in T-lymphocytes CD19+, a decreas</w:t>
      </w:r>
    </w:p>
    <w:p>
      <w:pPr/>
      <w:r>
        <w:rPr>
          <w:b/>
        </w:rPr>
        <w:t>POSSIBLE 2026:</w:t>
      </w:r>
      <w:r>
        <w:t xml:space="preserve"> Machine Learning Integration for Enhanced Bond Market Forecasting — https://openalex.org/W7223426100</w:t>
      </w:r>
    </w:p>
    <w:p>
      <w:pPr/>
      <w:r>
        <w:rPr>
          <w:b/>
        </w:rPr>
        <w:t>Shared claim-specific concepts:</w:t>
      </w:r>
      <w:r>
        <w:t xml:space="preserve"> according, systemic, internal, terms; EU scope not established. This is a provisional connection, not an outcome finding.</w:t>
      </w:r>
    </w:p>
    <w:p>
      <w:pPr>
        <w:pStyle w:val="SourceNote"/>
      </w:pPr>
      <w:r>
        <w:rPr>
          <w:b/>
        </w:rPr>
        <w:t>Available abstract (not full text):</w:t>
      </w:r>
      <w:r>
        <w:t xml:space="preserve"> Green bonds are now essential tools for financing environmentally friendly initiatives due to the quick growth of sustainable finance. Understanding the underlying causes of green bond returns, however, is still hotly contested, especially in periods of high volatility when conventional pricing metrics are unable to take into account non-linear risks like environmental, social, and governance (ESG) reputational harm and greenwashing. This thesis examines how, in times of high market volatility, the return drivers of green bonds differ from those of traditional ("brown") bonds and assesses how much machine learning (ML) architectures can improve the predictability and interpretability of these market dynamics. In terms of methodology, this study employs a comparative hybrid framework that switches from a non-linear machine learning framework (XGBoost) to conventional linear econometric modelling (Vector Autoregression, VAR). A variety of macroeconomic factors, systemic fear measurements (VSTOXX), credit spreads, baseline ESG ratings, and a special proxy for ESG disputes are used to compare the performance of green bond and brown bond portfolios. Post-hoc SHAP (SHapley Additive exPlanations) values are used to analyse the model's internal feature importances in order to close the gap frequently caused by algorithmic opacity in financial AI applications. A clear "volatility parado</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pStyle w:val="Heading2"/>
      </w:pPr>
      <w:r>
        <w:t>625.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2026:</w:t>
      </w:r>
      <w:r>
        <w:t xml:space="preserve"> MATERIAL PRODUCTIVITY CONVERGENCE IN THE EUROPEAN UNION: INSIGHTS FROM FOUR MATERIAL CATEGORIES — https://doi.org/10.53443/anadoluibfd.1830207</w:t>
      </w:r>
    </w:p>
    <w:p>
      <w:pPr/>
      <w:r>
        <w:rPr>
          <w:b/>
        </w:rPr>
        <w:t>Shared claim-specific concepts:</w:t>
      </w:r>
      <w:r>
        <w:t xml:space="preserve"> all, four, union; EU scope visible. This is a provisional connection, not an outcome finding.</w:t>
      </w:r>
    </w:p>
    <w:p>
      <w:pPr>
        <w:pStyle w:val="SourceNote"/>
      </w:pPr>
      <w:r>
        <w:rPr>
          <w:b/>
        </w:rPr>
        <w:t>Available abstract (not full text):</w:t>
      </w:r>
      <w:r>
        <w:t xml:space="preserve"> This study evaluates the European Union's progress toward sustainable resource use via disaggregated material productivity (MP) indicators. The study employs Phillips and Sul's (2007) club convergence technique to determine if member states have converged to similar levels of productivity. Metal ores, fossil fuels, biomass, and non-metallic minerals are the four material types included in the analysis, which runs from 1993 to 2023. This study is one of the relatively few that uses the club convergence approach to examine MP according to material type. The results demonstrate that no single convergence club exists for all materials: While metal ores constitute a broad common group and biomass and fossil fuels are more fragmented, non-metallic minerals are split into two clubs. The results indicate that differentiated policy sets should be implemented based on material type and club formation.</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pStyle w:val="Heading2"/>
      </w:pPr>
      <w:r>
        <w:t>626.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2026:</w:t>
      </w:r>
      <w:r>
        <w:t xml:space="preserve"> Shifting urban baselines limit the abundance-based resolution of a classical lichen indicator — https://doi.org/10.1016/j.ecolind.2026.115071</w:t>
      </w:r>
    </w:p>
    <w:p>
      <w:pPr/>
      <w:r>
        <w:rPr>
          <w:b/>
        </w:rPr>
        <w:t>Shared claim-specific concepts:</w:t>
      </w:r>
      <w:r>
        <w:t xml:space="preserve"> findings, suggest, developed; EU scope visible. This is a provisional connection, not an outcome finding.</w:t>
      </w:r>
    </w:p>
    <w:p>
      <w:pPr>
        <w:pStyle w:val="SourceNote"/>
      </w:pPr>
      <w:r>
        <w:rPr>
          <w:b/>
        </w:rPr>
        <w:t>Available abstract (not full text):</w:t>
      </w:r>
      <w:r>
        <w:t xml:space="preserve"> Most urban lichen bioindication frameworks were developed under the substantially higher industrial and traffic-related pollution levels that characterised many European cities in previous decades. In many European cities, however, nitrogen dioxide (NO₂) concentrations have declined substantially over recent decades alongside ongoing climatic warming, raising the question of whether classical indicator species still track present-day pollution gradients. We evaluated the abundance-based indicator performance of the widely used lichen bioindicator Xanthoria parietina across complementary temporal (10 sites monitored from 2015 to 2025) and spatial (63 sites, 2023–2025) gradients in Vienna (Austria), combining repeated field surveys with year-specific spatially resolved NO₂ and climate data. During the study period, NO₂ concentrations declined markedly while air temperature increased. Across both datasets and modelling approaches, estimated NO₂ effects on lichen abundance were small, with confidence intervals overlapping zero and providing limited support for strong abundance responses within the observed NO₂ range. Contemporary NO₂ concentrations spanned a narrow and comparatively low range relative to historical urban conditions, suggesting that present-day exposure may lie largely below the species' effective abundance–response range. Accordingly, Xanthoria parietina provided l</w:t>
      </w:r>
    </w:p>
    <w:p>
      <w:pPr/>
      <w:r>
        <w:rPr>
          <w:b/>
        </w:rPr>
        <w:t>POSSIBLE 2026:</w:t>
      </w:r>
      <w:r>
        <w:t xml:space="preserve"> Baseline Double-Balloon Enteroscopy Findings and Long-Term Outcomes in Pediatric Crohn’s Disease — https://doi.org/10.7759/cureus.103632</w:t>
      </w:r>
    </w:p>
    <w:p>
      <w:pPr/>
      <w:r>
        <w:rPr>
          <w:b/>
        </w:rPr>
        <w:t>Shared claim-specific concepts:</w:t>
      </w:r>
      <w:r>
        <w:t xml:space="preserve"> findings, baseline, conclusions; EU scope not established. This is a provisional connection, not an outcome finding.</w:t>
      </w:r>
    </w:p>
    <w:p>
      <w:pPr>
        <w:pStyle w:val="SourceNote"/>
      </w:pPr>
      <w:r>
        <w:rPr>
          <w:b/>
        </w:rPr>
        <w:t>Available abstract (not full text):</w:t>
      </w:r>
      <w:r>
        <w:t xml:space="preserve"> Background Pediatric Crohn's disease is frequently characterized by extensive small-bowel involvement and a dynamic disease course. Double-balloon enteroscopy (DBE) allows direct evaluation of proximal small-bowel lesions that may not be detected by conventional upper gastrointestinal endoscopy and ileocolonoscopy; however, the long-term clinical implications of baseline DBE findings remain poorly defined. Methods We conducted a retrospective, single-center longitudinal cohort study including pediatric patients initially diagnosed with Crohn's disease who underwent baseline DBE. Clinical and endoscopic disease activity were assessed using the Harvey-Bradshaw Index (HBI) and the Simple Endoscopic Score for Crohn's Disease (SES-CD), respectively, at baseline and after approximately 10 years of follow-up. Patients with diagnostic reclassification during follow-up were excluded from remission analyses but analyzed descriptively. Results Twenty patients underwent baseline DBE; three (15%) were subsequently reclassified to alternative diagnoses. Among the remaining 17 (85%) patients with a final diagnosis of Crohn's disease, both clinical and endoscopic disease activity substantially improved over long-term follow-up. Baseline DBE identified ulcerative jejunal disease in a subset of patients. At follow-up, patients with ulcerative lesions identified on baseline DBE tended to exhibit </w:t>
      </w:r>
    </w:p>
    <w:p>
      <w:pPr/>
      <w:r>
        <w:rPr>
          <w:b/>
        </w:rPr>
        <w:t>POSSIBLE 2026:</w:t>
      </w:r>
      <w:r>
        <w:t xml:space="preserve"> Mapping the availability of climate and health education in European schools of public health: a baseline assessment for indicator development — https://doi.org/10.3389/ijph.2026.1609473</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Objectives: Climate and health education is increasingly recognised as essential for preparing a climate-competent public health workforce, yet reliable European baseline data remain limited. This cross-sectional study assessed the availability of climate and health education in degree-granting Schools of Public Health across the World Health Organization European Region. Methods: A survey of Association of Schools of Public Health in the European Region member institutions was combined with a large-language-model-assisted web scan and manual verification of institutional websites, curricula, syllabi, and programme descriptions. Results: Overall, 268 Schools of Public Health were identified across 53 countries, including 131 ASPHER members and 137 non-members. Of these, 111 institutions (41.4%) offered at least one verified climate and health education programme or course in 2024/2025. Availability was similar among ASPHER members (41%) and non-members (43%). Most identified programmes were offered at master's level, while vocational, bachelor, doctoral, and continuing professional development opportunities were less frequent. Conclusion: Climate and health education is present across much of Europe but remains uneven and concentrated at postgraduate level. The findings provide a verifiable baseline for future monitoring and policy action.</w:t>
      </w:r>
    </w:p>
    <w:p>
      <w:pPr/>
      <w:r>
        <w:rPr>
          <w:b/>
        </w:rPr>
        <w:t>POSSIBLE 2026:</w:t>
      </w:r>
      <w:r>
        <w:t xml:space="preserve"> A systematic identification of resistance determinants to antisense antibiotics suggests adaptation strategies dependent on the delivery peptide — https://doi.org/10.1038/s41467-026-76357-y</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Abstract The rise of antimicrobial resistance (AMR) among human pathogenic microbes is a serious threat to global health, calling for the development of novel treatment strategies. Antibiotics based on programmable antisense oligomers (asobiotics) offer an attractive solution to the “arms-race”, as their specificity can be quickly updated and tailored to target resistant bacteria. In order to understand the genetic architecture of resistance to asobiotics, we employed laboratory evolution assays to identify mutations that decrease susceptibility to antisense peptide nucleic acid (PNA) against four major gram-negative pathogens: Escherichia coli, Klebsiella pneumoniae, Salmonella enterica , and Pseudomonas aeruginosa . We observed that the reduction in susceptibility upon asobiotics treatment was dependent on the specific cell penetrating peptide (CPP) being conjugated to the PNAs, suggesting that reduced uptake is a common adaptation strategy only against the (KFF) 3 -K CPP. We in fact observed that sbmA was frequently mutated in all tested species when treated with (KFF) 3 -K conjugated PNAs. We further identified mutations related to translation, peptide transport and cell envelope, which provide new hypotheses on cellular response to CPP-PNAs conjugates. Furthermore, for (RXR) 4 XB- acpP we observed a modest increase in resistance only when mutations in the PNA binding site </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pStyle w:val="Heading2"/>
      </w:pPr>
      <w:r>
        <w:t>627.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3 Hourly ICON outputs from irrigation long-term simulation — https://doi.org/10.60507/fk2/h4w6dt</w:t>
      </w:r>
    </w:p>
    <w:p>
      <w:pPr/>
      <w:r>
        <w:rPr>
          <w:b/>
        </w:rPr>
        <w:t>Shared claim-specific concepts:</w:t>
      </w:r>
      <w:r>
        <w:t xml:space="preserve"> simulations, show, without, volume; EU scope visible. This is a provisional connection, not an outcome finding.</w:t>
      </w:r>
    </w:p>
    <w:p>
      <w:pPr>
        <w:pStyle w:val="SourceNote"/>
      </w:pPr>
      <w:r>
        <w:rPr>
          <w:b/>
        </w:rPr>
        <w:t>Available abstract (not full text):</w:t>
      </w:r>
      <w:r>
        <w:t xml:space="preserve"> Studies on irrigation within Earth system models have demonstrated the irrigation effects on various variables. While some regional simulations in Europe have focused on short-term impacts during a single growing season, comprehensive long-term simulations across the entire continent are lacking. Our study aims to quantify the long-term impact of irrigation on surface and atmospheric variables over the EURO-CORDEX domain using convection-permitting ICON simulations that cover a period of 12 years. The irrigation parameterization is based on the CHANNEL scheme in WRF (Valmassoi et al. 2020). The daily irrigation volume matches the readily available water (RAW), which is the amount of total available water (TAW) a crop can absorb from the root zone without stress. The irrigation event starts on May 1st of each year at 5 UTC for 5 hours, with a frequency of every 12 days. The results show that the irrigation impact varies by region and year, highlighting the importance of land-atmosphere interactions in the irrigation impact. For example, the cold and wet summer of 2017 in southern Europe reduced irrigation cooling effects in the Alps, while the 2018 heat wave in Central Europe enhanced the influence of irrigation on surface variables. The files found in the current dataset are 3 hourly outputs from the ICOsahedral Nonhydrostatic model (ICON) for the control and irrigation experim</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Simulation-based investigation of decarbonization strategies for urban freight transport — https://doi.org/10.14279/depositonce-26777</w:t>
      </w:r>
    </w:p>
    <w:p>
      <w:pPr/>
      <w:r>
        <w:rPr>
          <w:b/>
        </w:rPr>
        <w:t>Shared claim-specific concepts:</w:t>
      </w:r>
      <w:r>
        <w:t xml:space="preserve"> show, transport, measures, traffic; EU scope not established. This is a provisional connection, not an outcome finding.</w:t>
      </w:r>
    </w:p>
    <w:p>
      <w:pPr>
        <w:pStyle w:val="SourceNote"/>
      </w:pPr>
      <w:r>
        <w:rPr>
          <w:b/>
        </w:rPr>
        <w:t>Available abstract (not full text):</w:t>
      </w:r>
      <w:r>
        <w:t xml:space="preserve"> This thesis examines the decarbonization of urban road freight transport. Based on case studies, the conversion of the vehicle fleet from conventional (Internal Combustion Engine Vehicle (ICEV)) to Battery Electric Vehicle (BEV) is examined using the agent-based traffic simulation software MATSim . The investigations are carried out from the perspective of the transport companies as economic agents and the companies each carry out route planning with the available vehicle fleet. The objective function of the route planning algorithm is to minimize the total costs, which include costs for the vehicles, the distance traveled and the time taken as well as any additional costs (e.g., tolls). For the central investigations in this thesis, the already existing scenario of Schröder and Liedtke (2014) for the delivery of food markets in Berlin is further developed and used. The thesis consists of three parts: The first part of the work presents the basics, methods, the software used, and the scenarios used in the various studies. The second part of the thesis deals with the direct conversion of the existing vehicle fleet from ICEVs to BEVs. The logistics network of the carriers remains unchanged. Customers (supermarkets) will therefore continue to be supplied directly from the depot. One study assumes that the carriers now only have BEVs at their disposal. The limited range of the BEVs</w:t>
      </w:r>
    </w:p>
    <w:p>
      <w:pPr/>
      <w:r>
        <w:rPr>
          <w:b/>
        </w:rPr>
        <w:t>POSSIBLE 2026:</w:t>
      </w:r>
      <w:r>
        <w:t xml:space="preserve"> Thesis on Environment and Transport Economics — https://openalex.org/W7128124271</w:t>
      </w:r>
    </w:p>
    <w:p>
      <w:pPr/>
      <w:r>
        <w:rPr>
          <w:b/>
        </w:rPr>
        <w:t>Shared claim-specific concepts:</w:t>
      </w:r>
      <w:r>
        <w:t xml:space="preserve"> simulations, show, transport, lower; EU scope visible. This is a provisional connection, not an outcome finding.</w:t>
      </w:r>
    </w:p>
    <w:p>
      <w:pPr>
        <w:pStyle w:val="SourceNote"/>
      </w:pPr>
      <w:r>
        <w:rPr>
          <w:b/>
        </w:rPr>
        <w:t>Available abstract (not full text):</w:t>
      </w:r>
      <w:r>
        <w:t xml:space="preserve"> This thesis examines how supply-side carbon pricing and demand-side purchase sub- sidies reshape market structure and welfare in Europe’s two largest transport sectors: aviation and automobiles. Chapter 1 analyses the European airline industry using a two-stage entry-and-pricing model that captures key institutional features such as airport slot constraints and point-to-point business models. Fixed-cost parame- ters are estimated through a hybrid approach combining moment inequalities with maximum likelihood, ensuring policy simulations remain consistent with observed market structures. The analysis shows that carbon pricing induces asymmetric network adjustments concentrated among low-cost and regional carriers, while full- service groups at hub airports remain relatively resilient. Although industry profits decline, the reallocation of capacity improves allocative efficiency and redistributes welfare unevenly across Europe. Chapter 2 evaluates electric-vehicle purchase sub- sidies in the UK, France, and Germany (2010–2021) using a random-coefficients logit demand model with micro-moment calibration and a static Bertrand pricing framework. The results show that the expansion of the EV market has been driven mainly by product innovation and model fleet turnover rather than by flat purchase incentives. Subsidy effectiveness varies across countries, with limited impacts in the UK</w:t>
      </w:r>
    </w:p>
    <w:p>
      <w:pPr/>
      <w:r>
        <w:rPr>
          <w:b/>
        </w:rPr>
        <w:t>POSSIBLE 2026:</w:t>
      </w:r>
      <w:r>
        <w:t xml:space="preserve"> Contribution of Explicit SVOC and IVOC Emissions from the Transportation Sector on Particulate Matter Concentrations in Europe — https://doi.org/10.5194/egusphere-egu26-18450</w:t>
      </w:r>
    </w:p>
    <w:p>
      <w:pPr/>
      <w:r>
        <w:rPr>
          <w:b/>
        </w:rPr>
        <w:t>Shared claim-specific concepts:</w:t>
      </w:r>
      <w:r>
        <w:t xml:space="preserve"> simulations, show, transport, significant; EU scope visible. This is a provisional connection, not an outcome finding.</w:t>
      </w:r>
    </w:p>
    <w:p>
      <w:pPr>
        <w:pStyle w:val="SourceNote"/>
      </w:pPr>
      <w:r>
        <w:rPr>
          <w:b/>
        </w:rPr>
        <w:t>Available abstract (not full text):</w:t>
      </w:r>
      <w:r>
        <w:t xml:space="preserve"> Road transportation is a significant contributor to air pollution across Europe, especially in urban areas, and the resulting impacts on public health are highly uncertain. Pollutants are emitted in both the gas and particle phases from several operational modes including combustion exhaust, non-combustion evaporation, and mechanical brake and tire wear. Conventional air emission inventories used to inform policy in Europe have included inert fine and coarse particle emissions as well as emissions of light hydrocarbons, or volatile organic compounds. But recent laboratory studies have demonstrated that particle emissions are far more dynamic than originally thought, and that key reactive gas-phase compounds have probably been missing from existing inventories. As part of the Effects on Air quality of Semi-VOLatile Engine Emissions (EASVOLEE) project, state-of-the-science laboratory measurements have been used to develop a new inventory for present-day European air emissions that explicitly considers semivolatile and intermediate volatility organic compounds (SVOCs and IVOCs) from road transportation. This inventory is used to drive simulations with the European Monitoring and Evaluation Programme (EMEP) MSC-W regional-scale chemical transport model. With this new model platform, we assess the comprehensive primary and secondary contributions of road transport emissions to Europ</w:t>
      </w:r>
    </w:p>
    <w:p>
      <w:pPr>
        <w:pStyle w:val="Heading2"/>
      </w:pPr>
      <w:r>
        <w:t>628.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629.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2026:</w:t>
      </w:r>
      <w:r>
        <w:t xml:space="preserve"> The New World Order and National Security Dynamics of African States: Case Studies of Cameroon and Mali — https://doi.org/10.1002/waf2.70098</w:t>
      </w:r>
    </w:p>
    <w:p>
      <w:pPr/>
      <w:r>
        <w:rPr>
          <w:b/>
        </w:rPr>
        <w:t>Shared claim-specific concepts:</w:t>
      </w:r>
      <w:r>
        <w:t xml:space="preserve"> order, security, two, literature, process; EU scope not established. This is a provisional connection, not an outcome finding.</w:t>
      </w:r>
    </w:p>
    <w:p>
      <w:pPr>
        <w:pStyle w:val="SourceNote"/>
      </w:pPr>
      <w:r>
        <w:rPr>
          <w:b/>
        </w:rPr>
        <w:t>Available abstract (not full text):</w:t>
      </w:r>
      <w:r>
        <w:t xml:space="preserve"> ABSTRACT The move from unipolarity to a fluid and contested multipolar world order has significantly changed the way African nations form national security policy due to changes in the nature of the strategic environment of those states. Much of the literature has focused on how the actions of major world powers ‐ the United States, China and Russia shape their respective national security strategy. There is relatively little literature on how African states develop strategic responses to this process of systemic transformation. This paper assesses how the shift in distribution of power across the globe affects the national security dynamic of peripheral African states by using comparative case studies of Cameroon and Mali. Both countries face many of the same internal security challenges including insurgency, state fragility, and foreign intervention‐ yet both countries’ governments have responded differently to these internal security challenges with regard to their external security alignment strategies. The paper argues that differences in elite coalitions, the legitimacy requirements of regimes, the historical strategic cultures of the two states, and the sequences of perceived threats faced by each country are the primary explanations for why Cameroon's and Mali's government developed such distinct external security alignment strategies. Based on theories of realism, cons</w:t>
      </w:r>
    </w:p>
    <w:p>
      <w:pPr/>
      <w:r>
        <w:rPr>
          <w:b/>
        </w:rPr>
        <w:t>POSSIBLE 2026:</w:t>
      </w:r>
      <w:r>
        <w:t xml:space="preserve"> Geospatial Intelligence and the Transformation of Counterinsurgency in Nigeria, 1999-2025: Implications for Africa's Changing Security Order — https://doi.org/10.47772/ijriss.2026.100600083</w:t>
      </w:r>
    </w:p>
    <w:p>
      <w:pPr/>
      <w:r>
        <w:rPr>
          <w:b/>
        </w:rPr>
        <w:t>Shared claim-specific concepts:</w:t>
      </w:r>
      <w:r>
        <w:t xml:space="preserve"> order, developments, security, technologies; EU scope not established. This is a provisional connection, not an outcome finding.</w:t>
      </w:r>
    </w:p>
    <w:p>
      <w:pPr>
        <w:pStyle w:val="SourceNote"/>
      </w:pPr>
      <w:r>
        <w:rPr>
          <w:b/>
        </w:rPr>
        <w:t>Available abstract (not full text):</w:t>
      </w:r>
      <w:r>
        <w:t xml:space="preserve"> This article examines the role of geospatial intelligence (GEOINT) in the transformation of counterinsurgency operations in Nigeria from 1999 to 2025, situating these developments within the broader dynamics of Africa's evolving security order. Despite significant investments in satellite observation systems, unmanned aerial vehicles, and geospatial data infrastructures, the operational effectiveness of these technologies remains uneven. The central argument advanced is that the impact of GEOINT on counterinsurgency is contingent not merely on technological acquisition, but on the extent of its institutional integration, strategic application, and alignment with existing security frameworks. Methodologically, the study adopts a qualitative historical-analytical approach grounded exclusively in secondary sources that includes peer-reviewed journal articles, academic books, policy documents, defence reports, and publications from governmental and international organisations. Through a critical interrogation of these materials, the article reconstructs the evolution of Nigeria's geospatial capabilities and assesses their application within counterinsurgency campaigns, particularly in the North-East theatre of operations. The analysis identifies a persistent disjuncture between capability and utilisation, shaped by institutional fragmentation, inadequate technical capacity, weak in</w:t>
      </w:r>
    </w:p>
    <w:p>
      <w:pPr/>
      <w:r>
        <w:rPr>
          <w:b/>
        </w:rPr>
        <w:t>POSSIBLE 2026:</w:t>
      </w:r>
      <w:r>
        <w:t xml:space="preserve"> Orphan and adoption among Catholic Christians and Sunni Muslims: scripture, tradition, practice — https://doi.org/10.7488/era/7332</w:t>
      </w:r>
    </w:p>
    <w:p>
      <w:pPr/>
      <w:r>
        <w:rPr>
          <w:b/>
        </w:rPr>
        <w:t>Shared claim-specific concepts:</w:t>
      </w:r>
      <w:r>
        <w:t xml:space="preserve"> order, developments, adoption, them, process; EU scope not established. This is a provisional connection, not an outcome finding.</w:t>
      </w:r>
    </w:p>
    <w:p>
      <w:pPr>
        <w:pStyle w:val="SourceNote"/>
      </w:pPr>
      <w:r>
        <w:rPr>
          <w:b/>
        </w:rPr>
        <w:t>Available abstract (not full text):</w:t>
      </w:r>
      <w:r>
        <w:t xml:space="preserve"> Civil adoption, as practiced in the Western world today, is a legal process of the modern era. The practice reflects what became acceptable in Western nations – a court granting all the rights and responsibilities relating to a child to adopting parents, which made them the legal parents. Once this legal matter was resolved, everyone involved assumed a new identity in what is known as the adoption triad: adoptive parent, adoptee, and biological mother and father. The objective of this thesis is to compare how Catholic Christians and Sunni Muslims have theologically understood the orphan and have developed distinctive adoption practices to address the plight of the orphan in society. The thesis is divided into three parts beginning with textual analyses and ending with qualitative research. The research questions are: how have the Catholic Christian and Sunni Islamic traditions approached the situation of the orphan in society and how are orphans cared for today? The thesis draws on textual sources and also cultural practices through qualitative research among Catholic Christians and Sunni Muslims in contemporary South Africa. In the New Testament, Jesus never designates any person an orphan in a literal sense. Only in James (1:27) is the word orphan used to refer to orphans within society. The only other place where the word orphan is found is John’s gospel (14:18), when it is </w:t>
      </w:r>
    </w:p>
    <w:p>
      <w:pPr/>
      <w:r>
        <w:rPr>
          <w:b/>
        </w:rPr>
        <w:t>POSSIBLE 2026:</w:t>
      </w:r>
      <w:r>
        <w:t xml:space="preserve"> India’s AI Power in a Distributed and Uneven Technological Order: Boundary Control, Strategic Autonomy, and Cognitive Security — https://doi.org/10.67037/epinova.rr.2026.001</w:t>
      </w:r>
    </w:p>
    <w:p>
      <w:pPr/>
      <w:r>
        <w:rPr>
          <w:b/>
        </w:rPr>
        <w:t>Shared claim-specific concepts:</w:t>
      </w:r>
      <w:r>
        <w:t xml:space="preserve"> order, security, technologies; EU scope not established. This is a provisional connection, not an outcome finding.</w:t>
      </w:r>
    </w:p>
    <w:p>
      <w:pPr>
        <w:pStyle w:val="SourceNote"/>
      </w:pPr>
      <w:r>
        <w:rPr>
          <w:b/>
        </w:rPr>
        <w:t>Available abstract (not full text):</w:t>
      </w:r>
      <w:r>
        <w:t xml:space="preserve"> This research report examines India’s emerging AI power through the interaction of usable national capacity, technological dependence, boundary control, strategic autonomy, and cognitive security. Rather than treating AI power as equivalent to frontier-model performance, compute scale, or investment volume, it analyzes how technical, institutional, organizational, and infrastructural capabilities are converted into nationally usable power under conditions of uneven interdependence. India is used as a mechanism-rich case because substantial software capacity, digital public infrastructure, multilingual public technology, expanding compute access, and globally distributed technical networks coexist with continued dependence on externally controlled upstream technologies. The report distinguishes access from mobilizable capability, territorial presence from control, boundary power from boundary autonomy, and persistent systemic influence from narrower bilateral effects.</w:t>
      </w:r>
    </w:p>
    <w:p>
      <w:pPr/>
      <w:r>
        <w:rPr>
          <w:b/>
        </w:rPr>
        <w:t>POSSIBLE 2026:</w:t>
      </w:r>
      <w:r>
        <w:t xml:space="preserve"> How AI illuminates educational values and the path toward equity — https://doi.org/10.14279/depositonce-26162</w:t>
      </w:r>
    </w:p>
    <w:p>
      <w:pPr/>
      <w:r>
        <w:rPr>
          <w:b/>
        </w:rPr>
        <w:t>Shared claim-specific concepts:</w:t>
      </w:r>
      <w:r>
        <w:t xml:space="preserve"> technologies, present, two, current; EU scope not established. This is a provisional connection, not an outcome finding.</w:t>
      </w:r>
    </w:p>
    <w:p>
      <w:pPr>
        <w:pStyle w:val="SourceNote"/>
      </w:pPr>
      <w:r>
        <w:rPr>
          <w:b/>
        </w:rPr>
        <w:t>Available abstract (not full text):</w:t>
      </w:r>
      <w:r>
        <w:t xml:space="preserve"> In this argument piece we present and discuss the key points of the paper "Global justice and the use of AI in education: ethical and epistemic aspects" (Vuckovic &amp; Sikimic 2025) in which we analyzed the current and future impacts of advanced digital solutions on the accessibility of education. More specifically, we investigated whether and how the implementation of AI in education could hinder or contribute to equity and justice at the individual and global levels. As the use of AI in education is increasing globally, we explored how this novel development affected personal and societal value systems. To answer these questions, we first discussed the purpose of education: whether it has intrinsic values or is merely an instrument for career advancement—and argued for the former. We proceeded to analyze different advanced digital solutions used in education. Then analysis focused on two currently widespread technologies, namely large language models (LLMs) and predictive models, and proposed that their responsible use in education could benefit both individuals and societies.</w:t>
      </w:r>
    </w:p>
    <w:p>
      <w:pPr>
        <w:pStyle w:val="Heading2"/>
      </w:pPr>
      <w:r>
        <w:t>630.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2026:</w:t>
      </w:r>
      <w:r>
        <w:t xml:space="preserve"> The next episode for narrative foresight — https://doi.org/10.1016/j.futures.2026.103876</w:t>
      </w:r>
    </w:p>
    <w:p>
      <w:pPr/>
      <w:r>
        <w:rPr>
          <w:b/>
        </w:rPr>
        <w:t>Shared claim-specific concepts:</w:t>
      </w:r>
      <w:r>
        <w:t xml:space="preserve"> use, foresight, possible, developed;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possible, developed;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The Wicked Energy Transition: Integrating deployment, foresight, and financial barriers into energy transition pathway models — https://doi.org/10.3929/ethz-c-000800809</w:t>
      </w:r>
    </w:p>
    <w:p>
      <w:pPr/>
      <w:r>
        <w:rPr>
          <w:b/>
        </w:rPr>
        <w:t>Shared claim-specific concepts:</w:t>
      </w:r>
      <w:r>
        <w:t xml:space="preserve"> foresight, technology, long-term; EU scope visible. This is a provisional connection, not an outcome finding.</w:t>
      </w:r>
    </w:p>
    <w:p>
      <w:pPr>
        <w:pStyle w:val="SourceNote"/>
      </w:pPr>
      <w:r>
        <w:rPr>
          <w:b/>
        </w:rPr>
        <w:t>Available abstract (not full text):</w:t>
      </w:r>
      <w:r>
        <w:t xml:space="preserve"> Climate change mitigation is widely recognized as a “wicked problem”, characterized by deep uncertainty, value divergence among stakeholders, and the absence of predefined solutions. While already the First Assessment Report by the Intergovernmental Panel on Climate Change (IPCC) in 1990 outlined technical options to stabilize carbon emissions, global emissions have continued to rise, highlighting a critical disconnect between the technically feasible transition pathways modeled by researchers and the realized, delayed progress in the real world. This doctoral thesis addresses this disconnect by moving beyond purely technical feasibility to explore the non-technical barriers that inhibit the European energy transition. By integrating these barriers into a modeling framework, this research provides a forward-looking analysis of the delay and offers robust modeling and policy recommendations to navigate the “wicked” nature of decarbonization. To investigate these barriers, this thesis introduces ZEN-garden (Zero-emission Energy Networks), an open-source energy system optimization framework designed to model transition pathways with high technological, spatial, and temporal detail. Unlike snapshot year models, which optimize a single target year, ZEN-garden focuses on the transition pathway, allowing for the inclusion of path dependency through constrained technology deployment an</w:t>
      </w:r>
    </w:p>
    <w:p>
      <w:pPr/>
      <w:r>
        <w:rPr>
          <w:b/>
        </w:rPr>
        <w:t>POSSIBLE 2026:</w:t>
      </w:r>
      <w:r>
        <w:t xml:space="preserve"> Tracking the Evolution of Foresight Signals in News Data: The Case of the European Electric Vehicle Market — https://doi.org/10.18653/v1/2026.acl-srw.28</w:t>
      </w:r>
    </w:p>
    <w:p>
      <w:pPr/>
      <w:r>
        <w:rPr>
          <w:b/>
        </w:rPr>
        <w:t>Shared claim-specific concepts:</w:t>
      </w:r>
      <w:r>
        <w:t xml:space="preserve"> use, foresight, methods, trends; EU scope visible. This is a provisional connection, not an outcome finding.</w:t>
      </w:r>
    </w:p>
    <w:p>
      <w:pPr>
        <w:pStyle w:val="SourceNote"/>
      </w:pPr>
      <w:r>
        <w:rPr>
          <w:b/>
        </w:rPr>
        <w:t>Available abstract (not full text):</w:t>
      </w:r>
      <w:r>
        <w:t xml:space="preserve"> To prepare for an uncertain future, organizations must continuously monitor emerging trends and early signals of change.The increasing availability of web-based textual data has boosted natural language processing (NLP) methods in strategic foresight, particularly in the scanning phase.While prior studies have extensively focused on the identification of signals in such data, considerably less attention has been paid to how these signals evolve over time and gain relevance as they become more visible.This study addresses this gap by examining whether tracking the temporal dynamics of signals can improve their assessment for strategic decision-making.Demonstrated on the use case of the European electric vehicle market, we find three dominant signal trajectories and show that burst dynamics tend to surface signal consolidation rather than the early detection of weak signals.The results indicate that foresight research should move beyond static, one-off analyses toward a dynamic temporal perspective capable of identifying signals at earlier stages of emergence.</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pStyle w:val="Heading2"/>
      </w:pPr>
      <w:r>
        <w:t>631.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2026:</w:t>
      </w:r>
      <w:r>
        <w:t xml:space="preserve"> The Criminalization of Solidarity in the EUropean Border Regime — https://doi.org/10.1177/03043754261433634</w:t>
      </w:r>
    </w:p>
    <w:p>
      <w:pPr/>
      <w:r>
        <w:rPr>
          <w:b/>
        </w:rPr>
        <w:t>Shared claim-specific concepts:</w:t>
      </w:r>
      <w:r>
        <w:t xml:space="preserve"> aim, article, main; EU scope visible. This is a provisional connection, not an outcome finding.</w:t>
      </w:r>
    </w:p>
    <w:p>
      <w:pPr>
        <w:pStyle w:val="SourceNote"/>
      </w:pPr>
      <w:r>
        <w:rPr>
          <w:b/>
        </w:rPr>
        <w:t>Available abstract (not full text):</w:t>
      </w:r>
      <w:r>
        <w:t xml:space="preserve"> This article explores the complementarity between the criminalization of solidarity and the externalization of EUropean borders by mapping laws across states working with Frontex. While both strategies have been widely documented and are central to the EUropean border regime’s deployment of violence, they have often been studied in isolation. The article pursues two goals that aim to contribute to documenting the effects of EUropean policies while avoiding the pitfalls of EU-centrism and presentism. First, it maps the geographical spread of laws criminalizing solidarity. Second, it examines how the EUropean border regime operates by analyzing convergences and divergences between legal systems. This approach requires contextualizing and situating these strategies in the longue durée history of European colonial empires. The article’s main contribution is to show through laws criminalizing solidarity how the EUropean border regime operates as a vehicle for normalizing and circulating legal regimes to deter, intercept, and push back people on the move.</w:t>
      </w:r>
    </w:p>
    <w:p>
      <w:pPr/>
      <w:r>
        <w:rPr>
          <w:b/>
        </w:rPr>
        <w:t>POSSIBLE 2026:</w:t>
      </w:r>
      <w:r>
        <w:t xml:space="preserve"> The Enforcement of European Digital Regulation: Overlaps and Pathways — https://doi.org/10.1093/yel/yeag002</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Abstract The European Union (EU) has intensified its regulatory efforts in the digital domain, resulting in a complex and layered legal framework. Significant attention has focused on the lack of coherence across legislation and other regulatory instruments, while less consideration has been given to enforcement, particularly to the expansion of powers and overlaps of responsibilities distributed across multiple national and supranational authorities. This article aims to address the primary challenges to the enforcement of the EU digital acquis and explore potential pathways for enhancing its effectiveness. The first part provides examples of how the growing number of EU legal instruments in the European digital policy, particularly targeting digital services, has not fully considered the intersections between different technologies and regulatory frameworks. The second part then underlines how these substantive overlaps translate into enforcement challenges. It addresses the quantitative dimension of the enforcement framework, detailing the multiplicity of bodies involved while analysing the overlapping competences that arise from this institutional complexity from the national and supranational perspectives. The final section explores possible solutions, evaluating opportunities and limitations of various pathways to improve the enforcement of European digital regulation.</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pStyle w:val="Heading2"/>
      </w:pPr>
      <w:r>
        <w:t>632.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2026:</w:t>
      </w:r>
      <w:r>
        <w:t xml:space="preserve"> Application of innovative strategy in the characterization of ketoprofen gels authorized in the Republic of Serbia — https://doi.org/10.5937/hpimj2601784c</w:t>
      </w:r>
    </w:p>
    <w:p>
      <w:pPr/>
      <w:r>
        <w:rPr>
          <w:b/>
        </w:rPr>
        <w:t>Shared claim-specific concepts:</w:t>
      </w:r>
      <w:r>
        <w:t xml:space="preserve"> strategy, republic, two; EU scope not established. This is a provisional connection, not an outcome finding.</w:t>
      </w:r>
    </w:p>
    <w:p>
      <w:pPr>
        <w:pStyle w:val="SourceNote"/>
      </w:pPr>
      <w:r>
        <w:rPr>
          <w:b/>
        </w:rPr>
        <w:t>Available abstract (not full text):</w:t>
      </w:r>
      <w:r>
        <w:t xml:space="preserve"> Introduction: Topical ketoprofen formulations provide localized analgesic and anti-inflammatory effects while reducing systemic adverse events associated with oral administration. Franz diffusion cells, are widely used to evaluate the permeation and dissolution rate of active pharmaceutical ingredient in topical formulations.Aim: The aim of this study was to perform macroscopic and microscopic analysis of ketoprofen gel formulations available in the Republic of Serbia, to examine the in vitro release rate using 3D printed Franz cells, as well as to analyze the influence of the type of receptor medium on the release rate of ketoprofen.Material and Method: Two ketoprofen gel formulations were examined. Macroscopic and microscopic analysis were performed under normal and polarized light. Ketoprofen content was determined by UV/VIS spectrophotometry. In vitro release studies were carried out using 3D-printed Franz diffusion cells with synthetic membranes as diffusion barriers. Phosphate buffer pH 7.4 and 70% (v/v) ethanol were used as receptor media.Results: Both ketoprofen gels were transparent, and exhibited similar gloss. Formulation A demonstrated lower structural integrity and stickiness than Formulation B. The ketoprofen in both formulations was within ± 5% of the declared value. In vitro release test showed that Formulation A exhibited a faster release of ketoprofen compared</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pStyle w:val="Heading2"/>
      </w:pPr>
      <w:r>
        <w:t>633.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 citizen-based assessment of European smart cites using a DP2 index — https://doi.org/10.1038/s41598-026-55659-7</w:t>
      </w:r>
    </w:p>
    <w:p>
      <w:pPr/>
      <w:r>
        <w:rPr>
          <w:b/>
        </w:rPr>
        <w:t>Shared claim-specific concepts:</w:t>
      </w:r>
      <w:r>
        <w:t xml:space="preserve"> based, findings, five, framework, rely;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Twenty-five years of Neobiota: Building a Community for Invasion Science in Europe and beyond — https://doi.org/10.3897/aca.9.e203016</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twelve European countries between 2000 and 2024—have supported thematic diversity (ranging from molecular biology to socio-economy), increasing international participation (from nine to 47 countries globally), and active policy outreach. Thematically, the focus of research presented at conferences has shifted over time from ecologica</w:t>
      </w:r>
    </w:p>
    <w:p>
      <w:pPr/>
      <w:r>
        <w:rPr>
          <w:b/>
        </w:rPr>
        <w:t>POSSIBLE 2026:</w:t>
      </w:r>
      <w:r>
        <w:t xml:space="preserve"> Decoding RNA regulation: Challenges and opportunities for RNA‐based therapies in Europe — https://doi.org/10.1002/bcp.70577</w:t>
      </w:r>
    </w:p>
    <w:p>
      <w:pPr/>
      <w:r>
        <w:rPr>
          <w:b/>
        </w:rPr>
        <w:t>Shared claim-specific concepts:</w:t>
      </w:r>
      <w:r>
        <w:t xml:space="preserve"> based, findings, five, framework; EU scope visible. This is a provisional connection, not an outcome finding.</w:t>
      </w:r>
    </w:p>
    <w:p>
      <w:pPr>
        <w:pStyle w:val="SourceNote"/>
      </w:pPr>
      <w:r>
        <w:rPr>
          <w:b/>
        </w:rPr>
        <w:t>Available abstract (not full text):</w:t>
      </w:r>
      <w:r>
        <w:t xml:space="preserve"> RNA-based medicinal products represent a promising frontier in personalised medicine, offering sequence-specific disease targeting at various molecular levels, yet their clinical translation in the European Union (EU) may be hindered by regulatory uncertainty around definitions and evidence requirements; this study therefore aims to identify commonalities and differences in scientific and clinical characteristics of RNA-based therapeutics assessed by the European Medicines Agency to inform a classification framework supporting regulatory clarity and product development. A qualitative document analysis was conducted on 13 RNA-based therapeutics for non-infectious diseases that applied for EU marketing authorisation by March 2025, using EU regulatory documents including European Public Assessment Reports and Risk Management Plans to analyse descriptive, scientific and clinical characteristics, with data extraction validated via a dual-review process. Of the 13 products, 10 were approved, two refused and one withdrawn; they included five siRNAs, seven antisense oligonucleotides (ASOs) and one aptamer, primarily for rare diseases, with 12 acting through sequence-specific hybridisation to pre-mRNA or mRNA to suppress or modify protein production, often targeting liver diseases using delivery systems like GalNAc conjugation or lipid nanoparticles, while clinical challenges included l</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Insights into the development and key factors of five European governance innovations for forest ecosystem service provision — https://doi.org/10.1016/j.forpol.2026.103891</w:t>
      </w:r>
    </w:p>
    <w:p>
      <w:pPr/>
      <w:r>
        <w:rPr>
          <w:b/>
        </w:rPr>
        <w:t>Shared claim-specific concepts:</w:t>
      </w:r>
      <w:r>
        <w:t xml:space="preserve"> findings, five, move, framework; EU scope visible. This is a provisional connection, not an outcome finding.</w:t>
      </w:r>
    </w:p>
    <w:p>
      <w:pPr>
        <w:pStyle w:val="SourceNote"/>
      </w:pPr>
      <w:r>
        <w:rPr>
          <w:b/>
        </w:rPr>
        <w:t>Available abstract (not full text):</w:t>
      </w:r>
      <w:r>
        <w:t xml:space="preserve"> Climate change and biodiversity loss require forestry to adapt management practices to sustain forest ecosystem services (FES). Yet knowledge remains limited on what enables or constrains novel forest governance approaches. This study applies the SETFIS analytical framework to five European governance innovations at local, regional, and national levels, treating forests as socio-ecological-technical-innovation systems. The cases comprise compensation schemes and network-based arrangements aimed at carbon sequestration, biodiversity restoration, and the sustainable provision of multiple FES. Across cases, innovation emergence and development were shaped by local context, historical trajectories, proactive leadership, core teams, multi-stakeholder networks, initial funding, capacity building, knowledge exchange with related innovations, and monitoring and evaluation that supported learning and adaptive planning. Core teams ensured continuity and stability, while broader networks fostered flexibility and future pathway development. Although these factors were evident across cases, governance design and operation remained strongly context specific, highlighting the importance of bottom-up, place-based approaches involving local actors in design, implementation, management, and evaluation. The findings show that governance innovations extend beyond technological change and depend on</w:t>
      </w:r>
    </w:p>
    <w:p>
      <w:pPr>
        <w:pStyle w:val="Heading2"/>
      </w:pPr>
      <w:r>
        <w:t>634.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2026:</w:t>
      </w:r>
      <w:r>
        <w:t xml:space="preserve"> THE ROLE OF DIGITAL TECHNOLOGIES IN ACHIEVING CLIMATE NEUTRALITY IN THE INTERNATIONAL ECONOMY — https://doi.org/10.32702/2307-2105.2026.5.85</w:t>
      </w:r>
    </w:p>
    <w:p>
      <w:pPr/>
      <w:r>
        <w:rPr>
          <w:b/>
        </w:rPr>
        <w:t>Shared claim-specific concepts:</w:t>
      </w:r>
      <w:r>
        <w:t xml:space="preserve"> climate, neutrality, key, role, achieving; EU scope not established. This is a provisional connection, not an outcome finding.</w:t>
      </w:r>
    </w:p>
    <w:p>
      <w:pPr>
        <w:pStyle w:val="SourceNote"/>
      </w:pPr>
      <w:r>
        <w:rPr>
          <w:b/>
        </w:rPr>
        <w:t>Available abstract (not full text):</w:t>
      </w:r>
      <w:r>
        <w:t xml:space="preserve"> Терешко, к. е. н., доцент, доцент кафедри прикладної економіки, бізнес-інжинірингу The aim of this article is to examine the role of digital technologies in facilitating the transition toward a climate-neutral international economy, as well as to identify key directions for their effective application in decarbonization processes.The study finds that digital technologies play a system-forming role in</w:t>
      </w:r>
    </w:p>
    <w:p>
      <w:pPr/>
      <w:r>
        <w:rPr>
          <w:b/>
        </w:rPr>
        <w:t>POSSIBLE 2026:</w:t>
      </w:r>
      <w:r>
        <w:t xml:space="preserve"> Optimization of Climate Neutrality for a Low-Energy Residential Building Complex in Poland — https://doi.org/10.3390/en19061568</w:t>
      </w:r>
    </w:p>
    <w:p>
      <w:pPr/>
      <w:r>
        <w:rPr>
          <w:b/>
        </w:rPr>
        <w:t>Shared claim-specific concepts:</w:t>
      </w:r>
      <w:r>
        <w:t xml:space="preserve"> climate, neutrality, union, not, reduction, energy; EU scope visible. This is a provisional connection, not an outcome finding.</w:t>
      </w:r>
    </w:p>
    <w:p>
      <w:pPr>
        <w:pStyle w:val="SourceNote"/>
      </w:pPr>
      <w:r>
        <w:rPr>
          <w:b/>
        </w:rPr>
        <w:t>Available abstract (not full text):</w:t>
      </w:r>
      <w:r>
        <w:t xml:space="preserve"> Since 2021, the design and construction of nearly zero-energy buildings (nZEBs) have been mandatory for European Union Member States. Subsequent requirements for the building sector, characterized by high energy demand and significant environmental impact, include the minimization of carbon footprint and the introduction of climate-neutral building standards. The carbon footprint comprises both embodied emissions related to materials and construction processes and operational emissions resulting from building use. This paper analyzes both types of carbon footprint using a residential building that is part of an experimental housing estate consisting of 44 semi-detached buildings as a case study. Analyses of energy consumption optimization and carbon footprint reduction were conducted at both the individual building scale and the scale of the entire housing complex. The estate was developed in two stages. In the first stage (completion of construction in 2024), the primary criterion for technology selection was investment cost while maintaining compliance with applicable technical and building regulations. Prior to the implementation of the second stage, the investor conducted a social participation process in the form of a survey among future users. The survey addressed environmental aspects of the newly designed buildings and enabled the selection of materials, technologies, a</w:t>
      </w:r>
    </w:p>
    <w:p>
      <w:pPr/>
      <w:r>
        <w:rPr>
          <w:b/>
        </w:rPr>
        <w:t>POSSIBLE 2026:</w:t>
      </w:r>
      <w:r>
        <w:t xml:space="preserve"> Promoting the use of wood and bio-based materials in buildings: the case of Lithuania in the context of European countries striving for climate neutrality — https://doi.org/10.1088/1742-6596/3302/1/012111</w:t>
      </w:r>
    </w:p>
    <w:p>
      <w:pPr/>
      <w:r>
        <w:rPr>
          <w:b/>
        </w:rPr>
        <w:t>Shared claim-specific concepts:</w:t>
      </w:r>
      <w:r>
        <w:t xml:space="preserve"> climate, neutrality, union, energy, renewable; EU scope visible. This is a provisional connection, not an outcome finding.</w:t>
      </w:r>
    </w:p>
    <w:p>
      <w:pPr>
        <w:pStyle w:val="SourceNote"/>
      </w:pPr>
      <w:r>
        <w:rPr>
          <w:b/>
        </w:rPr>
        <w:t>Available abstract (not full text):</w:t>
      </w:r>
      <w:r>
        <w:t xml:space="preserve"> Abstract The construction sector causes a huge environmental burden. Globally, this sector is responsible for 34 % of global energy demand, around 34 % of CO 2 emissions and approximately one-third of all global waste. This article analyses international practices in the usage of wood and other bio-based construction products in buildings, and presents the progress of the Lithuanian state of the art in this area. The EU promotes the use of wood or other construction products made from organic materials from renewable natural resources in buildings. Lithuania contributes to this global trend. A recent governmental resolution requires that at least 50% of construction products used in public buildings, financed by the state budget of the Republic of Lithuania (including European Union structural funds and other international financial assistance), must consist of wood or other bio-based materials derived from renewable resources. To implement this regulation, a dedicated methodology has been developed to quantify the share of wood and bio-based materials in buildings. The proposed methodology is a useful tool for the practical implementation of policy objectives and contributes to the promotion of green procurement and innovation and technological progress in the construction sector.</w:t>
      </w:r>
    </w:p>
    <w:p>
      <w:pPr/>
      <w:r>
        <w:rPr>
          <w:b/>
        </w:rPr>
        <w:t>POSSIBLE 2026:</w:t>
      </w:r>
      <w:r>
        <w:t xml:space="preserve"> Machine learning and latent profiles of mathematics achievement in nine European countries — https://doi.org/10.1186/s40536-026-00317-7</w:t>
      </w:r>
    </w:p>
    <w:p>
      <w:pPr/>
      <w:r>
        <w:rPr>
          <w:b/>
        </w:rPr>
        <w:t>Shared claim-specific concepts:</w:t>
      </w:r>
      <w:r>
        <w:t xml:space="preserve"> achievement, climate, not, key; EU scope visible. This is a provisional connection, not an outcome finding.</w:t>
      </w:r>
    </w:p>
    <w:p>
      <w:pPr>
        <w:pStyle w:val="SourceNote"/>
      </w:pPr>
      <w:r>
        <w:rPr>
          <w:b/>
        </w:rPr>
        <w:t>Available abstract (not full text):</w:t>
      </w:r>
      <w:r>
        <w:t xml:space="preserve"> Abstract Background Mathematics achievement is associated with interacting individual and contextual factors, but these associations are often examined separately. As a result, existing research may overlook how affective characteristics combine within students and how these configurations are distributed across school settings. Objectives This study aimed to investigate the multilevel predictors of mathematics achievement by integrating machine learning and latent variable approaches using PISA 2022 data from nine European countries. Methods The analysis was conducted in a sequence of stages, summarised in Fig. 1. First, predictive models were used to identify the most important predictors of mathematics achievement. Second, Latent Profile Analysis was performed to classify students based on key socioeconomic and affective indicators. Third, a two-stage multilevel approach—a separate latent profile analysis of school-level indicators, linked to the student profiles through mixed-effects models—was used to identify school climate profiles and examine cross-level associations between school contexts and student profile membership. Results and conclusions Tree-based algorithms outperformed regularised linear models, indicating that mathematics achievement was characterised by complex and non-linear relationships among predictors. Socioeconomic resources and mathematics-related af</w:t>
      </w:r>
    </w:p>
    <w:p>
      <w:pPr/>
      <w:r>
        <w:rPr>
          <w:b/>
        </w:rPr>
        <w:t>POSSIBLE 2026:</w:t>
      </w:r>
      <w:r>
        <w:t xml:space="preserve"> MAIZE BREEDING FOR ENHANCED ADAPTABILITY TO CLIMATE CHANGE IN EUROPE — https://doi.org/10.37128/2707-5826-2026-1-12</w:t>
      </w:r>
    </w:p>
    <w:p>
      <w:pPr/>
      <w:r>
        <w:rPr>
          <w:b/>
        </w:rPr>
        <w:t>Shared claim-specific concepts:</w:t>
      </w:r>
      <w:r>
        <w:t xml:space="preserve"> climate, union, key; EU scope visible. This is a provisional connection, not an outcome finding.</w:t>
      </w:r>
    </w:p>
    <w:p>
      <w:pPr>
        <w:pStyle w:val="SourceNote"/>
      </w:pPr>
      <w:r>
        <w:rPr>
          <w:b/>
        </w:rPr>
        <w:t>Available abstract (not full text):</w:t>
      </w:r>
      <w:r>
        <w:t xml:space="preserve"> Based on a structured statistical assessment of the implementation outcomes of European Union maize breeding programs, particularly regarding their efforts to enhance the adaptive potential of modern maize genotypes, a set of generalizations and conclusions on the effectiveness of these programs has been formulated. The network of national institutions and genetic-breeding centers across Europe has been analyzed and characterized. These institutions focus on targeted maize breeding using local landraces or base populations, applying mono- or multi-trait selection for resistance to key stress factors that significantly limit the yield potential of Europe’s high-intensity maize hybrids. The content of breeding programs from leading European seed companies –such as KWS, Limagrain, Syngenta, Corteva Agriscience, MAS Seeds, and Euralis (Lidea brand) – has been summarized and reviewed. These programs were specifically assessed regarding the incorporation of current and projected climate change impacts across Europe, with attention to scaling these strategies to other regions. Key traits emphasized included drought and cold tolerance, heat and osmotic stress resistance, and comprehensive tolerance to the most damaging diseases and pests. Over a 45-year evaluation period, the incremental improvements in resistance traits of developed maize hybrids were systematized, focusing on their r</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pStyle w:val="Heading2"/>
      </w:pPr>
      <w:r>
        <w:t>635.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2026:</w:t>
      </w:r>
      <w:r>
        <w:t xml:space="preserve"> European forest carbon and biodiversity policies have a limited win-win potential. — https://doi.org/10.48620/94352</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pStyle w:val="Heading2"/>
      </w:pPr>
      <w:r>
        <w:t>636.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2026:</w:t>
      </w:r>
      <w:r>
        <w:t xml:space="preserve"> Architecture in the context of socio-cultural polarisation: The case of Lviv (1991-2025) — https://doi.org/10.56318/as/1.2026.09</w:t>
      </w:r>
    </w:p>
    <w:p>
      <w:pPr/>
      <w:r>
        <w:rPr>
          <w:b/>
        </w:rPr>
        <w:t>Shared claim-specific concepts:</w:t>
      </w:r>
      <w:r>
        <w:t xml:space="preserve"> article, polarisation, two, developed; EU scope visible. This is a provisional connection, not an outcome finding.</w:t>
      </w:r>
    </w:p>
    <w:p>
      <w:pPr>
        <w:pStyle w:val="SourceNote"/>
      </w:pPr>
      <w:r>
        <w:rPr>
          <w:b/>
        </w:rPr>
        <w:t>Available abstract (not full text):</w:t>
      </w:r>
      <w:r>
        <w:t xml:space="preserve"> The relevance of the research lay in examining the contemporary architectural governance of Lviv, which required a developed media component and an established dialogue between groups with opposing cultural and aesthetic views. The aim of the study was to determine the dependence of urban architecture stylistics on the moderation of public opinion and the prevention of antagonistic and hostile narratives in professional and public environments. The article examined the relationship between sociocultural polarisation and stylistic evolution of urban architecture in Lviv during 1991-2025. The example of Lviv showed that the lack of effective mediation between traditionalist and liberal positions in architectural discourse led to conflicts of values and a decline in the quality of design decisions. Based on an analysis of media and professional materials, two main phases of architectural development have been identified: postmodernism (1991-2010), characterised by a rejection of Soviet modernism and a romanticisation of historical forms, and neomodernism (2011-2025), in which modernism was reinterpreted as a symbol of European identity. Sharp criticism of neomodernist projects by the public had become a social phenomenon that had influenced architectural decisions. An example of this was the conflict surrounding the reconstruction of St. George’s Square, which ended with a comprom</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pStyle w:val="Heading2"/>
      </w:pPr>
      <w:r>
        <w:t>637.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638.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2026:</w:t>
      </w:r>
      <w:r>
        <w:t xml:space="preserve"> Life cycle assessment of wave energy: the Mutriku case study — https://doi.org/10.1007/s40722-026-00487-0</w:t>
      </w:r>
    </w:p>
    <w:p>
      <w:pPr/>
      <w:r>
        <w:rPr>
          <w:b/>
        </w:rPr>
        <w:t>Shared claim-specific concepts:</w:t>
      </w:r>
      <w:r>
        <w:t xml:space="preserve"> energy, policies, highest; EU scope visible. This is a provisional connection, not an outcome finding.</w:t>
      </w:r>
    </w:p>
    <w:p>
      <w:pPr>
        <w:pStyle w:val="SourceNote"/>
      </w:pPr>
      <w:r>
        <w:rPr>
          <w:b/>
        </w:rPr>
        <w:t>Available abstract (not full text):</w:t>
      </w:r>
      <w:r>
        <w:t xml:space="preserve"> Environmental impacts and the effects of climate change are becoming ever higher as the energy demand is growing, and the high dependence on fossil fuels to supply global energy needs is unquestionable. For this reason, it is necessary to increase the global percentage of renewable energy (ODS 7, target 7.2), promote access to research, technology and investments in clean energy (ODS 7, target 7.4) and integrate climate change measures into national policies, strategies and planning (ODS 13, target 13.2). In this sense, ocean energy has a relevant role, but it is necessary to identify the environmental effects it may generate. According to the later, the aim of this research is to evaluate the environmental impacts of a wave energy power plant located in Mutriku, Spain, with a Life Cycle Assessment approach. The results demonstrate that the Construction stage presents the highest environmental impacts, which reach 86.6% in climate change due to the high raw materials consumed, while energy generation is the stage with the lower environmental impacts, with 5.5% in the climate change category. For the end-of-life stage a sensitivity analysis was performed, showing that high recycling rates for all the metallic materials is not always resulting in better performance. It is concluded that it is important to mitigate the environmental impacts in the Construction stage and in the End</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pStyle w:val="Heading2"/>
      </w:pPr>
      <w:r>
        <w:t>639.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640.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2025:</w:t>
      </w:r>
      <w:r>
        <w:t xml:space="preserve"> European Security, Borders, Crime and EU Law — https://doi.org/10.47907/europeansecurityborderscrimeandeulaw/livro</w:t>
      </w:r>
    </w:p>
    <w:p>
      <w:pPr/>
      <w:r>
        <w:rPr>
          <w:b/>
        </w:rPr>
        <w:t>Shared claim-specific concepts:</w:t>
      </w:r>
      <w:r>
        <w:t xml:space="preserve"> all, surface, also;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2025:</w:t>
      </w:r>
      <w:r>
        <w:t xml:space="preserve"> A Taxonomy of Climate Change and Health Solutions Pathways: Development Of A Strategic Policy Framework — https://openalex.org/W7112181422</w:t>
      </w:r>
    </w:p>
    <w:p>
      <w:pPr/>
      <w:r>
        <w:rPr>
          <w:b/>
        </w:rPr>
        <w:t>Shared claim-specific concepts:</w:t>
      </w:r>
      <w:r>
        <w:t xml:space="preserve"> pathway, use, water, direct; EU scope not established. This is a provisional connection, not an outcome finding.</w:t>
      </w:r>
    </w:p>
    <w:p>
      <w:pPr>
        <w:pStyle w:val="SourceNote"/>
      </w:pPr>
      <w:r>
        <w:rPr>
          <w:b/>
        </w:rPr>
        <w:t>Available abstract (not full text):</w:t>
      </w:r>
      <w:r>
        <w:t xml:space="preserve"> Climate change is increasingly being recognized as the single most significant threat facing global health. Urgency is now growing globally to address the health impacts of this threat. However, despite this momentum, existing frameworks fail to integrate climate change and health (CC&amp;H) pathways with solutions and targets. This applied research project aimed to bridge this gap and create a solutions-focused policy tool to support global health practice. Through a literature review and semi-structured interviews with global philanthropic organizations, the research identified key challenges and opportunities. Findings revealed that CC&amp;H pathways can be well articulated but that a comprehensive current understanding of the burden of disease associated with CC&amp;H pathways remains elusive. In addition, a lack of formal CC&amp;H strategies amongst philanthropic organizations exists. Many organizations are grappling with how to define and evaluate their CC&amp;H work while overlooking existing global development agenda goals and targets. Overall, a persistent state of confusion prevails. Investment into the conditions for CC&amp;H solutions to emerge independently of direct philanthropic support was identified as a major conclusion of this project. Philanthropy must invest both directly in CC&amp;H solutions AND indirectly in the conditions that will enable CC&amp;H innovation to occur. Investments must</w:t>
      </w:r>
    </w:p>
    <w:p>
      <w:pPr/>
      <w:r>
        <w:rPr>
          <w:b/>
        </w:rPr>
        <w:t>POSSIBLE 2025:</w:t>
      </w:r>
      <w:r>
        <w:t xml:space="preserve"> A pathway for Northeast Pacific marine heatwaves to influence temperatures in western Europe during early winter — https://doi.org/10.1038/s41612-025-01240-4</w:t>
      </w:r>
    </w:p>
    <w:p>
      <w:pPr/>
      <w:r>
        <w:rPr>
          <w:b/>
        </w:rPr>
        <w:t>Shared claim-specific concepts:</w:t>
      </w:r>
      <w:r>
        <w:t xml:space="preserve"> pathway, surface, also; EU scope visible. This is a provisional connection, not an outcome finding.</w:t>
      </w:r>
    </w:p>
    <w:p>
      <w:pPr>
        <w:pStyle w:val="SourceNote"/>
      </w:pPr>
      <w:r>
        <w:rPr>
          <w:b/>
        </w:rPr>
        <w:t>Available abstract (not full text):</w:t>
      </w:r>
      <w:r>
        <w:t xml:space="preserve"> Abstract In recent decades, the northeast Pacific (NEP) has experienced multiple long-lasting and intense marine heatwaves (MHWs), which have significantly impacted both local ecosystems and climate in nearby regions. This study investigates the remote effects of NEP MHWs during early winter on downstream regions, particularly the North Atlantic and western Europe. First, we identify 14 MHWs in the NEP from 1981 to 2023, with peak day (i.e., the day when MHWs reach maximum intensity) occurring between November and December. Our results show that after the peak day, the ocean transfers heat to the atmosphere via surface heat fluxes, accompanied by positive diabatic heating anomalies in the lower troposphere. The diabatic heating anomalies induce a reversal in the low-level atmospheric circulation, transforming from high-pressure anomalies before the peak of the MHWs to large-scale low-pressure anomalies thereafter. Moreover, the low-pressure anomalies are also present in the upper troposphere after the peak. Accordingly, precipitation along the west coast of North America increases, which is associated with the intensification and northeastward extension of atmospheric rivers. Then, atmospheric Rossby waves are stimulated, due to increased precipitation and related circulation anomalies, and travel across the Atlantic to arrive in western Europe. The development of high-pressure</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pStyle w:val="Heading2"/>
      </w:pPr>
      <w:r>
        <w:t>641.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2026:</w:t>
      </w:r>
      <w:r>
        <w:t xml:space="preserve"> From the Single European Act to the One Europe, One Market Agenda. — https://doi.org/10.22370/pe.2026.20.5851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Multiple linear and logistic regression analysis: a SmartPLS 4 software tutorial — https://doi.org/10.1057/s41270-026-00466-2</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This tutorial and case study provides a comprehensive, step-by-step guide to conducting multiple and logistic regression analyses using SmartPLS 4. Although SmartPLS is primarily known for partial least squares structural equation modeling (PLS-SEM), its latest version includes features that enable researchers to perform and visualize regression analyses effectively. The tutorial introduces the theoretical foundations of both standard multiple and logistic regression, outlines the main stages of model specification and estimation, and demonstrates how to implement these analyses within the SmartPLS environment. Emphasis is placed on key analytical decisions, such as model design, assumption testing, interpretation of coefficients, and goodness-of-fit measures. Practical examples and graphical outputs are included to illustrate the implementation process and to enhance understanding of the results.</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pStyle w:val="Heading2"/>
      </w:pPr>
      <w:r>
        <w:t>642.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2025:</w:t>
      </w:r>
      <w:r>
        <w:t xml:space="preserve"> Still on track for electrification? A qualitative comparative analysis of e-mobility policy mixes in 14 European cities — https://doi.org/10.1016/j.urbmob.2025.100114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 major concern for policymakers in European cities is to identify the right policy mix that promotes the diffusion of battery electric vehicles (BEV's). Existing research focuses mainly on the effect of fiscal policies at the national, aggregated level. Consequently, less is known about policy mixes that include monetary and non-monetary policies implemented at both the national and local level. Building on prior research, we deploy a two-step fuzzy-set Qualitative Comparative Analysis (fsQCA) of BEV policies in 14 European cities to identify policy mixes that successfully promote the urban adoption of BEV's. We find two policy mixes that promote BEV uptake. First, recurring monetary and non-monetary policies that address behavioral aspects of BEV-usage at the local level in conjunction with monetary incentives for home and workplace charging points as well as on-street residential charging points successfully propel BEV uptake. Second, the presence of monetary incentives for home and workplace charging points, as well as on-street residential charging points in conjunction with policies disincentivizing conventional car usage promote the adoption of BEV's. Our study shows that BEV policies must be tailored carefully across different policy levels and individually to BEV-user contexts in cities. QCA provides a helpful tool for evaluating BEV policy mixes.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2023:</w:t>
      </w:r>
      <w:r>
        <w:t xml:space="preserve"> Compact Transformer Tracker with Correlative Masked Modeling — https://doi.org/10.1609/aaai.v37i2.25327</w:t>
      </w:r>
    </w:p>
    <w:p>
      <w:pPr/>
      <w:r>
        <w:rPr>
          <w:b/>
        </w:rPr>
        <w:t>Shared claim-specific concepts:</w:t>
      </w:r>
      <w:r>
        <w:t xml:space="preserve"> find, target, framework, exploring; EU scope not established. This is a provisional connection, not an outcome finding.</w:t>
      </w:r>
    </w:p>
    <w:p>
      <w:pPr>
        <w:pStyle w:val="SourceNote"/>
      </w:pPr>
      <w:r>
        <w:rPr>
          <w:b/>
        </w:rPr>
        <w:t>Available abstract (not full text):</w:t>
      </w:r>
      <w:r>
        <w:t xml:space="preserve"> Transformer framework has been showing superior performances in visual object tracking for its great strength in information aggregation across the template and search image with the well-known attention mechanism. Most recent advances focus on exploring attention mechanism variants for better information aggregation. We find these schemes are equivalent to or even just a subset of the basic self-attention mechanism. In this paper, we prove that the vanilla self-attention structure is sufficient for information aggregation, and structural adaption is unnecessary. The key is not the attention structure, but how to extract the discriminative feature for tracking and enhance the communication between the target and search image. Based on this finding, we adopt the basic vision transformer (ViT) architecture as our main tracker and concatenate the template and search image for feature embedding. To guide the encoder to capture the invariant feature for tracking, we attach a lightweight correlative masked decoder which reconstructs the original template and search image from the corresponding masked tokens. The correlative masked decoder serves as a plugin for the compact transformer tracker and is skipped in inference. Our compact tracker uses the most simple structure which only consists of a ViT backbone and a box head, and can run at 40 fps. Extensive experiments show the propos</w:t>
      </w:r>
    </w:p>
    <w:p>
      <w:pPr>
        <w:pStyle w:val="Heading2"/>
      </w:pPr>
      <w:r>
        <w:t>643.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r>
        <w:rPr>
          <w:b/>
        </w:rPr>
        <w:t>POSSIBLE 2021:</w:t>
      </w:r>
      <w:r>
        <w:t xml:space="preserve"> Metamorphosis: a different history of the Union — https://doi.org/10.1017/9781788214247.003</w:t>
      </w:r>
    </w:p>
    <w:p>
      <w:pPr/>
      <w:r>
        <w:rPr>
          <w:b/>
        </w:rPr>
        <w:t>Shared claim-specific concepts:</w:t>
      </w:r>
      <w:r>
        <w:t xml:space="preserve"> originally, geared, engaging, process; EU scope visible. This is a provisional connection, not an outcome finding.</w:t>
      </w:r>
    </w:p>
    <w:p>
      <w:pPr>
        <w:pStyle w:val="SourceNote"/>
      </w:pPr>
      <w:r>
        <w:rPr>
          <w:b/>
        </w:rPr>
        <w:t>Available abstract (not full text):</w:t>
      </w:r>
      <w:r>
        <w:t xml:space="preserve"> Every true history is contemporary history. Benedetto Croce, Theory and History of Historiography Rules-politics and events-politics The feeling that the slightest hiccough can take the European Union to the edge of the abyss is attributable to the metamorphosis it has undergone over recent decades, from a structure devoted purely to “rules-politics” to a set-up also capable of engaging in “events-politics”. But insight into this gradual transformation is lacking. We will not understand the new Europe as long as we continue to look through the lens of the old. That a revolution is happening before our eyes is the central tenet of this book. Over the past 30 years the operating procedure of the Union has changed fundamentally, with regard not just to who takes the decisions, and how and where they are taken, but to the way the Union is perceived, the way people observe European politics and why now more than ever they are demanding a direct say in a shared political life. It is a process of slow trends, shifting power relations and altered mentalities. All these changes have been accelerated, and sometimes exposed, by the acute shock of the pandemic. The urgency of the Covid crisis makes an interim analysis indispensable. What is happening? What has changed? The institutions of the Union were originally designed principally to create a market and keep it in balance. This rules-p</w:t>
      </w:r>
    </w:p>
    <w:p>
      <w:pPr>
        <w:pStyle w:val="Heading2"/>
      </w:pPr>
      <w:r>
        <w:t>644.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2026:</w:t>
      </w:r>
      <w:r>
        <w:t xml:space="preserve"> Civil Disobedience Across Contexts - Gandhi’s Methods and Eastern European Resistance Movements — https://doi.org/10.58944/mmnt9341</w:t>
      </w:r>
    </w:p>
    <w:p>
      <w:pPr/>
      <w:r>
        <w:rPr>
          <w:b/>
        </w:rPr>
        <w:t>Shared claim-specific concepts:</w:t>
      </w:r>
      <w:r>
        <w:t xml:space="preserve"> application, looks, three; EU scope visible. This is a provisional connection, not an outcome finding.</w:t>
      </w:r>
    </w:p>
    <w:p>
      <w:pPr>
        <w:pStyle w:val="SourceNote"/>
      </w:pPr>
      <w:r>
        <w:rPr>
          <w:b/>
        </w:rPr>
        <w:t>Available abstract (not full text):</w:t>
      </w:r>
      <w:r>
        <w:t xml:space="preserve"> This paper looks at how civil disobedience was practised by Mahatma Gandhi and how the non-violence strategy paralleled or influenced twentieth-century peaceful revolutions in Eastern Europe, such as the Solidarity Movement in Poland, the Velvet Revolution in Czechoslovakia, and the Peaceful Revolution in East Germany. 1 Dr Parvesh Kumar is Assistant Professor in the Department of Political Science at Kurukshetra University, Kurukshetra, Haryana, India. He specialises in Political Thought, Indian Government and Politics, Comparative Politics, and International Relations, with a research focus on Gandhian Philosophy. He has contributed to the study of Gandhian political theory and its contemporary relevance, with particular attention to comparative political frameworks and the global reception of Gandhian thought. 2 Daksh is a Ph.D. Research Scholar in the Department of Political Science at Kurukshetra University, Kurukshetra, Haryana, India. His doctoral research specialises in Political Thought, Indian Government and Politics, Comparative Politics, and International Relations, with a particular focus on Gandhian Philosophy and its application to contemporary political, societal, and cross-cultural challenges. POLIS No. 25, ISSUE 1/ 2026 49 In a qualitative historical-comparative design, the study uses the primary sources of Gandhi, movement documents and secondary sources of a</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pStyle w:val="Heading2"/>
      </w:pPr>
      <w:r>
        <w:t>645.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2025:</w:t>
      </w:r>
      <w:r>
        <w:t xml:space="preserve"> Developing Bioderived CO2-Responsive Polymers as Alternatives to Petroleum-derived Polymers — https://openalex.org/W7127210612</w:t>
      </w:r>
    </w:p>
    <w:p>
      <w:pPr/>
      <w:r>
        <w:rPr>
          <w:b/>
        </w:rPr>
        <w:t>Shared claim-specific concepts:</w:t>
      </w:r>
      <w:r>
        <w:t xml:space="preserve"> about, but, developing, alternative, sustainable, different; EU scope not established. This is a provisional connection, not an outcome finding.</w:t>
      </w:r>
    </w:p>
    <w:p>
      <w:pPr>
        <w:pStyle w:val="SourceNote"/>
      </w:pPr>
      <w:r>
        <w:rPr>
          <w:b/>
        </w:rPr>
        <w:t>Available abstract (not full text):</w:t>
      </w:r>
      <w:r>
        <w:t xml:space="preserve"> Petroleum-derived materials have become essential to society but are detrimental to the Earth. Every day, billions of liters of crude oil are extracted from the Earth, refined, and used as fuel or as starting materials for chemicals and materials. Petroleum is currently an abundant resource but is finite, which means that it will eventually be depleted in the future. Society must prepare for the future by examining renewable resources as alternative starting materials for sustainable material development to ensure that future generations can meet their needs as we currently do. Petroleum-derived products are used for a variety of purposes, all of which contribute some amount of harm to the environment, but petroleum-derived plastic materials receive more scrutiny than many other materials. Plastic makes up a percentage of petrochemical production. However, due to low recycling rates, a significant portion of plastic ends up in the environment. Plastic is persistent in the environment and the damage it causes through chemical leaching and microplastics has raised many societal concerns. Reducing the environmental harm from material production and usage requires knowledge about where the most harm is coming from. A life cycle assessment (LCA) can quantify the harm done by a material during its lifespan. This is a necessary but cumbersome process that can slow the development of n</w:t>
      </w:r>
    </w:p>
    <w:p>
      <w:pPr/>
      <w:r>
        <w:rPr>
          <w:b/>
        </w:rPr>
        <w:t>POSSIBLE 2025:</w:t>
      </w:r>
      <w:r>
        <w:t xml:space="preserve"> Defining complementary and alternative medicine — https://doi.org/10.1007/s11019-025-10291-6</w:t>
      </w:r>
    </w:p>
    <w:p>
      <w:pPr/>
      <w:r>
        <w:rPr>
          <w:b/>
        </w:rPr>
        <w:t>Shared claim-specific concepts:</w:t>
      </w:r>
      <w:r>
        <w:t xml:space="preserve"> not, about, alternative; EU scope not established. This is a provisional connection, not an outcome finding.</w:t>
      </w:r>
    </w:p>
    <w:p>
      <w:pPr>
        <w:pStyle w:val="SourceNote"/>
      </w:pPr>
      <w:r>
        <w:rPr>
          <w:b/>
        </w:rPr>
        <w:t>Available abstract (not full text):</w:t>
      </w:r>
      <w:r>
        <w:t xml:space="preserve"> Discourse about Complementary and alternative medicine (CAM) is also controversial in several respects, including terminology. Understanding and using the term 'CAM' precisely remains necessary in some discussions. This article provides a contribution to a terminologically more reflected debate about CAM. Analytical methods are applied to analyse 'CAM' conceptually: reasons to define CAM are discussed, common definitions are critically analysed in light of argumentative plausibility, and typical conceptual needs in the debate about CAM are described. Based on this, an evidence definition of CAM is sketched. Complementary and alternative medicine is typically defined by positive attributes or (more usefully) by unconventionality. While the latter provides a viable definitional strategy, several questions remain regarding the logic and applicability. Attempts to improve CAM definitions should consider (a) presenting necessary and sufficient conditions, (b) separating 'complementary', 'alternative' and 'integrative', (c) understanding 'CAM' relative to specific diseases and (d) being explicit about possible changes of the CAM status. These requirements are used to develop a definition of CAM centring around the notion of probable specific effectiveness-a definitional strategy that might solve flaws in the current CAM discourse by spelling out some of the reasons why certain practi</w:t>
      </w:r>
    </w:p>
    <w:p>
      <w:pPr/>
      <w:r>
        <w:rPr>
          <w:b/>
        </w:rPr>
        <w:t>POSSIBLE 2025:</w:t>
      </w:r>
      <w:r>
        <w:t xml:space="preserve"> Minority Cultures and the Cosmopolitan Alternative — https://doi.org/10.36646/mjlr.25.3.4.minority</w:t>
      </w:r>
    </w:p>
    <w:p>
      <w:pPr/>
      <w:r>
        <w:rPr>
          <w:b/>
        </w:rPr>
        <w:t>Shared claim-specific concepts:</w:t>
      </w:r>
      <w:r>
        <w:t xml:space="preserve"> not, about, but, alternative, come; EU scope not established. This is a provisional connection, not an outcome finding.</w:t>
      </w:r>
    </w:p>
    <w:p>
      <w:pPr>
        <w:pStyle w:val="SourceNote"/>
      </w:pPr>
      <w:r>
        <w:rPr>
          <w:b/>
        </w:rPr>
        <w:t>Available abstract (not full text):</w:t>
      </w:r>
      <w:r>
        <w:t xml:space="preserve"> I have chosen not to talk in this Article about the warning that Rushdie is sounding in his essay In Good Faith, but to discuss more affirmatively the image of the modern self that he conveys. Still, I hope that we do not lose sight of the warning. The communitarianism that can sound cozy and attractive in a book by Robert Bellah or Michael Sandel can be blinding, dangerous, and disruptive in the real world, where communities do not come ready-packaged and where communal allegiances are as much ancient hatreds of one's neighbors as immemorial traditions of culture.</w:t>
      </w:r>
    </w:p>
    <w:p>
      <w:pPr/>
      <w:r>
        <w:rPr>
          <w:b/>
        </w:rPr>
        <w:t>POSSIBLE 2025:</w:t>
      </w:r>
      <w:r>
        <w:t xml:space="preserve"> Developing alternative and complementary IP strategies case study — https://doi.org/10.2826/295248</w:t>
      </w:r>
    </w:p>
    <w:p>
      <w:pPr/>
      <w:r>
        <w:rPr>
          <w:b/>
        </w:rPr>
        <w:t>Shared claim-specific concepts:</w:t>
      </w:r>
      <w:r>
        <w:t xml:space="preserve"> about, developing, alternative; EU scope visible. This is a provisional connection, not an outcome finding.</w:t>
      </w:r>
    </w:p>
    <w:p>
      <w:pPr>
        <w:pStyle w:val="SourceNote"/>
      </w:pPr>
      <w:r>
        <w:rPr>
          <w:b/>
        </w:rPr>
        <w:t>Available abstract (not full text):</w:t>
      </w:r>
      <w:r>
        <w:t xml:space="preserve"> A German SME connected with the India IP SME Helpdesk team in a prominent Food and Beverages exhibition. During the discussion with the Helpdesk team, the German SME explained key elements of their innovative disinfecting and organic preservative products. The main issues which concerned the German SME were : - Whether patent applications filed in Europe could be extended to India, and additionally they wanted to know the procedure to protect the inventions in India. - Furthermore, they enquired about procedures to obtain the required clearances for the sale of antimicrobial agents in India, and the potential establishment of a subsidiary entity in India.</w:t>
      </w:r>
    </w:p>
    <w:p>
      <w:pPr/>
      <w:r>
        <w:rPr>
          <w:b/>
        </w:rPr>
        <w:t>POSSIBLE 2025:</w:t>
      </w:r>
      <w:r>
        <w:t xml:space="preserve"> Bee Pollen as an Alternative to Growth Promoters in Poultry Production in Developing Countries: A Narrative Review — https://openalex.org/W7220090217</w:t>
      </w:r>
    </w:p>
    <w:p>
      <w:pPr/>
      <w:r>
        <w:rPr>
          <w:b/>
        </w:rPr>
        <w:t>Shared claim-specific concepts:</w:t>
      </w:r>
      <w:r>
        <w:t xml:space="preserve"> about, developing, alternative; EU scope not established. This is a provisional connection, not an outcome finding.</w:t>
      </w:r>
    </w:p>
    <w:p>
      <w:pPr>
        <w:pStyle w:val="SourceNote"/>
      </w:pPr>
      <w:r>
        <w:rPr>
          <w:b/>
        </w:rPr>
        <w:t>Available abstract (not full text):</w:t>
      </w:r>
      <w:r>
        <w:t xml:space="preserve"> Bee pollen, which is a rich food source with numerous health benefits, has become a desirable feed additive due to concerns about antibiotic resistance, drug residues, and environmental impacts, especially in developing countries that need animal protein. The aim of this study is to show the effects of bee pollen as an alternative to growth stimulants in poultry production. To achieve this objective, a narrative review method was employed, which provides a comprehensive understanding of the topic by collecting, analyzing, and synthesizing findings from previous research. The research findings indicate that adding bee pollen to poultry diets improves weight gain, feed conversion ratio, gut health, and boosts the immune system. It is prebiotic, antimicrobial, and antioxidant properties reduce pathogens and improve the quality of meat and eggs. However, the diversity of composition, excessive cost, and scalability limitations are challenges for its widespread use. Further research is essential for standardization and cost-effectiveness evaluation.</w:t>
      </w:r>
    </w:p>
    <w:p>
      <w:pPr/>
      <w:r>
        <w:rPr>
          <w:b/>
        </w:rPr>
        <w:t>POSSIBLE 2025:</w:t>
      </w:r>
      <w:r>
        <w:t xml:space="preserve"> Does concern about falling predict future falls in older adults? A systematic review and meta-analysis — https://doi.org/10.1093/ageing/afaf089</w:t>
      </w:r>
    </w:p>
    <w:p>
      <w:pPr/>
      <w:r>
        <w:rPr>
          <w:b/>
        </w:rPr>
        <w:t>Shared claim-specific concepts:</w:t>
      </w:r>
      <w:r>
        <w:t xml:space="preserve"> not, about, different; EU scope not established. This is a provisional connection, not an outcome finding.</w:t>
      </w:r>
    </w:p>
    <w:p>
      <w:pPr>
        <w:pStyle w:val="SourceNote"/>
      </w:pPr>
      <w:r>
        <w:rPr>
          <w:b/>
        </w:rPr>
        <w:t>Available abstract (not full text):</w:t>
      </w:r>
      <w:r>
        <w:t xml:space="preserve"> BACKGROUND: The 2022 World Falls Guidelines recommend assessing concerns (or 'fears') about falling in multifactorial fall risk assessments. However, the evidence base for this recommendation is limited. This review evaluated the evidence for concerns about falling as an independent predictor of future falls, applying the Bradford Hill criteria for causality. METHODS: Systematic review and meta-analyses were conducted (PROSPERO registration ID: CRD42023387212). MEDLINE, CINAHL Plus, Web of Science and PsycINFO were searched for studies examining associations between baseline concerns about falling and future falls in older adults (minimum 6-month follow-up). Meta-analyses examined associations between concerns about falling and future falls. Risk of bias was assessed using an adapted Newcastle Ottawa Scale for cohort studies, and evidence certainty was rated with GRADE. RESULTS: About 53 studies, comprising 75,076 participants, were included. Meta-analysis showed significant independent association between baseline concerns and future falls when using the Falls Efficacy Scale-International to assess concerns (full scale version, pooled OR = 1.03 [95% CI = 1.02-1.05] per 1-point increase; short scale version, pooled OR = 1.08 [95% CI = 1.05-1.11]). Significant associations were also observed when using single-item measures of concerns (pooled OR = 1.60 [95% CI = 1.36-1.89] for h</w:t>
      </w:r>
    </w:p>
    <w:p>
      <w:pPr/>
      <w:r>
        <w:rPr>
          <w:b/>
        </w:rPr>
        <w:t>POSSIBLE 2025:</w:t>
      </w:r>
      <w:r>
        <w:t xml:space="preserve"> Who cares about caring? Gender stereotypes about communal values emerge early and predict boys’ prosocial preferences. — https://doi.org/10.1037/dev0001908</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 379; 92 girls, 287 boys; majority White and East Asian or Pacific Islander). We assessed children's stereotypes about communal values (Studies 1 and 2; e.g., "Who do you think cares more about always helping other people, even if it takes effort? Boys or girls?"), as well as the extent to which children themselves (a) valued communion and (b) displayed interest in communal activities (Study 2). In both studies, we found that children older than 6 consistently associated communal values with girls more than with boys. Younger children, in contrast, exhibited an ingroup bias-they associated communal values with their own gender. Study 2, which included only boys, found that endorsement of stereotypes associating communal values with girls predicted lower personal endorsement of communal values and lower interest in communal activities among boys older, but not younger, than 6. These results suggest that gender stereotypes about communal values are learned early and predict boys' disengagement from communal domains. Implications for gender differences in values and behavior are discussed. (PsycInfo Database Record (c) 2025 APA, all rights reserved).</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pStyle w:val="Heading2"/>
      </w:pPr>
      <w:r>
        <w:t>646.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2026:</w:t>
      </w:r>
      <w:r>
        <w:t xml:space="preserve"> Leaving Earth behind: the semiotics of the failing planet in NewSpace online corporate imagery — https://doi.org/10.1080/09505431.2025.2607358</w:t>
      </w:r>
    </w:p>
    <w:p>
      <w:pPr/>
      <w:r>
        <w:rPr>
          <w:b/>
        </w:rPr>
        <w:t>Shared claim-specific concepts:</w:t>
      </w:r>
      <w:r>
        <w:t xml:space="preserve"> three, failing, status; EU scope not established. This is a provisional connection, not an outcome finding.</w:t>
      </w:r>
    </w:p>
    <w:p>
      <w:pPr>
        <w:pStyle w:val="SourceNote"/>
      </w:pPr>
      <w:r>
        <w:rPr>
          <w:b/>
        </w:rPr>
        <w:t>Available abstract (not full text):</w:t>
      </w:r>
      <w:r>
        <w:t xml:space="preserve"> Computer-generated imagery (CGI) of Earth published online by the private space industry, or ‘NewSpace’, produces understandings of a failing planet to justify the commercialisation of space and terrestrial extractivism. Drawing on the iconic blue-marble genre of 20th-century NASA Earth photography and more recent digital globe imagery linked to modelling and spectacularising climate crisis, NewSpace CGI contributes to an emergent ‘sociotechnical imaginary’ – a collectively held technology-driven vision of the future with practical applications – that anticipates departure from Earth for some by allowing for disaster capitalism on a planetary scale. Semiotic analysis of a sample of images obtained from the Blue Origin, SpaceX and Virgin Galactic websites in 2019-20 identified three representational themes that reconstruct Earth as anachronistic and inhospitable: a parting perspective in which Earth is depicted as a point of departure; Earth as incidental to futuristic space technologies; compulsory ultrablue colouration that evokes an untenably pristine environment. Together, these formal and stylistic elements constitute a new convention for Earth representation common across the NewSpace sector that crystallises a broader shift in the ontological status of Earth in the context of 21st-century climate crisis, from home planet – a place of return – to failing planet of origin t</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2025:</w:t>
      </w:r>
      <w:r>
        <w:t xml:space="preserve"> Continuing recovery of wolves in Europe — https://doi.org/10.1371/journal.pstr.0000158</w:t>
      </w:r>
    </w:p>
    <w:p>
      <w:pPr/>
      <w:r>
        <w:rPr>
          <w:b/>
        </w:rPr>
        <w:t>Shared claim-specific concepts:</w:t>
      </w:r>
      <w:r>
        <w:t xml:space="preserve"> increasing, sustainable, policies;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three, produced, case, increasing, sustainable;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EXPANDING POLITICAL GOALS: AMERICA’S FAILING STRATEGY IN UKRAINE WAR — https://doi.org/10.54690/ndujournal.39.223</w:t>
      </w:r>
    </w:p>
    <w:p>
      <w:pPr/>
      <w:r>
        <w:rPr>
          <w:b/>
        </w:rPr>
        <w:t>Shared claim-specific concepts:</w:t>
      </w:r>
      <w:r>
        <w:t xml:space="preserve"> failing, case, states, maintain; EU scope not established. This is a provisional connection, not an outcome finding.</w:t>
      </w:r>
    </w:p>
    <w:p>
      <w:pPr>
        <w:pStyle w:val="SourceNote"/>
      </w:pPr>
      <w:r>
        <w:rPr>
          <w:b/>
        </w:rPr>
        <w:t>Available abstract (not full text):</w:t>
      </w:r>
      <w:r>
        <w:t xml:space="preserve"> Understanding the political goal of a war is essential, as it helps assess the nature of the conflict, its likely duration, the risks adversaries are willing to take, and the costs they are prepared to bear. A political goal can be offensive, as seen in the case of U.S. civil and military support for Ukraine and NATO’s enlargement, which Russia perceives as provocative, aiming to diminish its strategic buffer zone. Conversely, a political goal can be defensive, as in Russia’s efforts to maintain its sphere of influence over Ukraine, which it has consistently regarded as a red line. Setting the right political objective in war is crucial, as it shapes strategic decisions, the defense of vital national interests, and ultimately, the difference between victory and defeat. This paper analyzes the United States' political goal in the war in Ukraine and examines its implications for how the conflict might end.</w:t>
      </w:r>
    </w:p>
    <w:p>
      <w:pPr>
        <w:pStyle w:val="Heading2"/>
      </w:pPr>
      <w:r>
        <w:t>647.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648.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Addressing Medical Deserts in Europe: Lessons From a Comparative Analysis — https://doi.org/10.1111/hex.70606</w:t>
      </w:r>
    </w:p>
    <w:p>
      <w:pPr/>
      <w:r>
        <w:rPr>
          <w:b/>
        </w:rPr>
        <w:t>Shared claim-specific concepts:</w:t>
      </w:r>
      <w:r>
        <w:t xml:space="preserve"> article, comprehensive, overview, framework, also; EU scope visible. This is a provisional connection, not an outcome finding.</w:t>
      </w:r>
    </w:p>
    <w:p>
      <w:pPr>
        <w:pStyle w:val="SourceNote"/>
      </w:pPr>
      <w:r>
        <w:rPr>
          <w:b/>
        </w:rPr>
        <w:t>Available abstract (not full text):</w:t>
      </w:r>
      <w:r>
        <w:t xml:space="preserve"> BACKGROUND: European countries face a common problem of medical deserts-areas where the population has limited access to healthcare services. OBJECTIVE: This article aims to define medical deserts and provide an in-depth overview of the factors driving desertification and the solutions applied to reduce its negative consequences across six European countries: the Netherlands, Spain, Poland, Croatia, Germany and Ireland. METHODS: Applied methods include five consecutive steps: (1) development of a case study template; (2) defining criteria and selecting case study countries, (3) desk research, (4) consultation with national experts and (5) comparative analysis. RESULTS: There is no formally recognised definition of medical deserts in all the analysed countries. Nevertheless, the concept is often associated with sparsely populated, isolated areas with limited access to healthcare services. The factors driving desertification are similar across the six countries and include: ageing and depopulation, health workforce deficits, unattractive working conditions and geographical factors. Solutions implemented to mitigate the negative effects of medical deserts can be classified into several broad categories: health workforce planning and monitoring, training and career pathways, innovative healthcare models, support mechanisms and infrastructure development. CONCLUSIONS: The factors dr</w:t>
      </w:r>
    </w:p>
    <w:p>
      <w:pPr/>
      <w:r>
        <w:rPr>
          <w:b/>
        </w:rPr>
        <w:t>POSSIBLE 2026:</w:t>
      </w:r>
      <w:r>
        <w:t xml:space="preserve"> Application of Article 2 of the European Convention on Human Rights in conditions of armed conflict: the practice of the ECtHR — https://doi.org/10.61345/1339-7915.2025.5.9</w:t>
      </w:r>
    </w:p>
    <w:p>
      <w:pPr/>
      <w:r>
        <w:rPr>
          <w:b/>
        </w:rPr>
        <w:t>Shared claim-specific concepts:</w:t>
      </w:r>
      <w:r>
        <w:t xml:space="preserve"> article, provides, comprehensive, law; EU scope visible. This is a provisional connection, not an outcome finding.</w:t>
      </w:r>
    </w:p>
    <w:p>
      <w:pPr>
        <w:pStyle w:val="SourceNote"/>
      </w:pPr>
      <w:r>
        <w:rPr>
          <w:b/>
        </w:rPr>
        <w:t>Available abstract (not full text):</w:t>
      </w:r>
      <w:r>
        <w:t xml:space="preserve"> The article provides a comprehensive analysis of the application of Article 2 of the European Convention on Human Rights in armed conflict based on the practice of the European Court of Human Rights. The content of the substantive and procedural obligations of the state to protect the right to life is examined, the criteria of “absolute necessity” and proportionality are determined as key standards for the lawful use of lethal force. The correlation of the norms of international humanitarian law and international human rights law in the context of regulating the right to life during armed conflicts is analyzed, in particular the principle of lex specialis and the concept of “military necessity”. Special attention is paid to the procedural aspect of Article 2 of the ECHR - the obligation of the state to conduct an effective official investigation into each case of deprivation of life, including in extraterritorial conditions and in situations of enforced disappearance. Based on the analysis of key decisions of the ECHR - in the cases of McCann and Others v. the United Kingdom, Ergi v. Turkey, Isaeva v. Russia, Georgia v. Russia, Hanan v. Germany, Cyprus v. Turkey, Varnava and Others v. Turkey, “Ukraine and the Netherlands v. Russia” — formulated conclusions regarding the obligations of the state in the field of protecting the right to life of the civilian population in condition</w:t>
      </w:r>
    </w:p>
    <w:p>
      <w:pPr/>
      <w:r>
        <w:rPr>
          <w:b/>
        </w:rPr>
        <w:t>POSSIBLE 2026:</w:t>
      </w:r>
      <w:r>
        <w:t xml:space="preserve"> THE BURDEN OF HIGH TAXATION ON ADVOCATES' FEES: A COMPREHENSIVE COMPARATIVE ANALYSIS OF UZBEKISTAN, CIS, EUROPEAN, AND US PRACTICE AND LEGISLATIVE REFORMS — https://doi.org/10.61796/ijblps.v3i9.559</w:t>
      </w:r>
    </w:p>
    <w:p>
      <w:pPr/>
      <w:r>
        <w:rPr>
          <w:b/>
        </w:rPr>
        <w:t>Shared claim-specific concepts:</w:t>
      </w:r>
      <w:r>
        <w:t xml:space="preserve"> article, provides, comprehensive, law, framework; EU scope visible. This is a provisional connection, not an outcome finding.</w:t>
      </w:r>
    </w:p>
    <w:p>
      <w:pPr>
        <w:pStyle w:val="SourceNote"/>
      </w:pPr>
      <w:r>
        <w:rPr>
          <w:b/>
        </w:rPr>
        <w:t>Available abstract (not full text):</w:t>
      </w:r>
      <w:r>
        <w:t xml:space="preserve"> Objective: This article provides a comprehensive and systematic analysis of the heavy tax burden imposed on advocates' fees in the Republic of Uzbekistan (totaling 24% from personal income and social taxes) and the resulting challenges of the shadow economy and informal cash transactions. Method: A deep comparative study of the taxation of legal services across CIS countries (Russia, Kazakhstan), Europe (Germany, United Kingdom), and the United States is conducted. Results: Based on the findings, concrete theoretical and legislative proposals are developed to amend the Law "On Advocacy" and the Tax Code to introduce a specialized simplified tax regime and a system of professional tax deductions for advocates. Novelty: The novelty of this article lies in integrating a comparative analysis of advocates’ taxation across CIS countries, Europe, and the United States with the specific problem of the 24% tax burden on advocates’ fees in Uzbekistan. The study goes beyond identifying the tax burden by linking it to the risks of shadow economic activity and informal cash transactions and translating the comparative findings into concrete legislative proposals. In particular, the proposed specialized simplified tax regime and professional tax deduction system provide a specific legal and fiscal framework tailored to advocates in Uzbekistan.</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pStyle w:val="Heading2"/>
      </w:pPr>
      <w:r>
        <w:t>649.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2026:</w:t>
      </w:r>
      <w:r>
        <w:t xml:space="preserve"> Healthcare utilisation among migrants in the Netherlands’ unique hybrid healthcare system: the HELIUS study — https://doi.org/10.1136/bmjgh-2025-020024</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BACKGROUND: Migrants in Europe often face barriers to healthcare, contributing to poorer health outcomes. While healthcare utilisation has been studied within Beveridge systems (eg, the UK) and Bismarck systems (eg, Germany), less is known about healthcare use by migrants within the Netherlands' hybrid model. The Dutch model combines a Bismarckian base with Beveridge-like supplements. We investigated the use of general practitioner (GP) services, specialist care, allied health services and complementary medicine among major migrant groups in Amsterdam (South Asian Surinamese, African Surinamese, Ghanaian, Turkish and Moroccan origin) compared with the Dutch-origin population. METHODS: We used pre-pandemic Healthy Life in an Urban Setting data (2015; n=21 614) to avoid biases from intra-COVID-19 and post-COVID-19 healthcare disruptions/alterations. Structured questionnaires assessed healthcare use and reasons for seeking care. Poisson regression with a log link and robust (sandwich) standard errors examined associations between migration background and healthcare utilisation, adjusting for demographics, acculturation, health literacy, lifestyle and chronic conditions. Sensitivity analyses explored motivations for care use and overall health status. RESULTS: All migrant groups reported higher or similar use of GP services compared with the Dutch-origin population. Most migrant gr</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pStyle w:val="Heading2"/>
      </w:pPr>
      <w:r>
        <w:t>650.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2025:</w:t>
      </w:r>
      <w:r>
        <w:t xml:space="preserve"> Entrepreneurship for Self-Reliance: Examining the role of Perceived Desirability in the relationship between Social Capital and Entrepreneurial Resilience among small business owners in Nasarawa State, Nigeria — https://doi.org/10.47505/ijrss.2025.11.14</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This study examined the mediating role of perceived desirability in the relationship between social capital and entrepreneurial resilience amongsmall business owners in Nasarawa State, Nigeria. Cross-sectional research approach was usedand a total of 384 comprising 77 (46.1%) males and 207 (53.9%) females within the age range of 20 –70 years and mean age of 43.00(SD=9.08) participants were selected through a multi-stage sampling technique for the study. Perceived Social Capital Scale, perceived Desirability and Entrepreneurialresilience Scales were used for data collection. Results showed that there is a significant indirect effect of family social capital on entrepreneurial resilience through perceived desirability(β=8186; BootSE=.1668; 95%CI (.4932 to 1.1481). The results also revealed that there is a significant indirect effect of community social capital on entrepreneurial resilience through perceived desirability(β=6446; BootSE=.1024; 95%CI (.4520 to .8494). Furthermore, the relationship between perceived peer social capital and entrepreneurial resiliencewas mediated by perceived desirability (β=.7052; BootSE=.0909; 95%CI (.3361 to .6900). It was concluded that perceived desirability is a significant factor that strengthen the relationship between perceived social capital and entrepreneurial resilience amongsmall business owners in Nasarawa State. Based on the findings, it</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2024:</w:t>
      </w:r>
      <w:r>
        <w:t xml:space="preserve"> Expanding financial inclusion participation in Muslim-dominated communities through Islamic finance products (IFP) adoption — https://doi.org/10.1108/jiabr-09-2023-0308</w:t>
      </w:r>
    </w:p>
    <w:p>
      <w:pPr/>
      <w:r>
        <w:rPr>
          <w:b/>
        </w:rPr>
        <w:t>Shared claim-specific concepts:</w:t>
      </w:r>
      <w:r>
        <w:t xml:space="preserve"> desirable, strong, knowledge; EU scope not established. This is a provisional connection, not an outcome finding.</w:t>
      </w:r>
    </w:p>
    <w:p>
      <w:pPr>
        <w:pStyle w:val="SourceNote"/>
      </w:pPr>
      <w:r>
        <w:rPr>
          <w:b/>
        </w:rPr>
        <w:t>Available abstract (not full text):</w:t>
      </w:r>
      <w:r>
        <w:t xml:space="preserve"> Purpose This study aims to expand the theory of planned behaviour (TPB) to understand determinants of financial inclusion participation behaviour through the mediating effect of Islamic finance product (IFP) adoption. Design/methodology/approach A quantitative research design was deployed using primary data from a survey conducted within the Muslim-dominated regions in Nigeria, which was analysed using partial least squares structural equation modelling. Findings It was found that the original TPB variables, attitude, subjective norms, perceived behavioural control (PBC) and behavioural intention have strong positive influences on financial inclusion participation behaviour, however, among the new variables, government support and IFPs adoption directly influence, while awareness and access to banking and digital channels were not. Furthermore, IFPs adoption significantly mediates the relationship between attitude, behavioural intention, government support and access to banking and digital channels and financial inclusion participation, but it failed to mediate that of subjective norms, PBC and awareness. Research limitations/implications These findings imply the need to establish more Islamic financial institutions or conventional banks to introduce IFPs in Muslim-dominated regions in Nigeria, as such products are desirable in expanding financial inclusion. While such is being</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651.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2026:</w:t>
      </w:r>
      <w:r>
        <w:t xml:space="preserve"> Plan for a Structural Peace and a New European Security Architecture — https://doi.org/10.5281/zenodo.18623705</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This document presents a comprehensive three‑phase strategy for resolving the Russo‑Ukrainian conflict and establishing a new European security architecture. Building on the military framework outlined in Towards a United European Army (DOI: 10.5281/zenodo.17350350), the proposal integrates political, diplomatic, and legal mechanisms to create a stable and resilient continental order. The plan introduces: 1) a Foundational Peace Compromise based on a contextual territorial freeze, a verified Russian withdrawal, and a legally binding snap‑back mechanism; 2) a Reinforced EU Association pathway for Ukraine under Article 49 TEU, including observer rights in EU institutions and a 100‑km Special Security Zone monitored by OSCE/EU; 3) a New European Security Architecture built on a Complementary EU‑NATO Defence Protocol (Art. 51 UN Charter), the creation of a European Pillar of NATO, and a redefined Ukrainian constitutional neutrality. The proposal offers a realistic alternative to perpetual conflict, linking peace, EU integration, and European strategic autonomy into a coherent and actionable framework.</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pStyle w:val="Heading2"/>
      </w:pPr>
      <w:r>
        <w:t>652.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2026:</w:t>
      </w:r>
      <w:r>
        <w:t xml:space="preserve"> Beyond the Verdict: FDI Consequences of ICSID Arbitration in South Asia — https://openalex.org/W7216962468</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research paper considers whether investment arbitration outcome at International Centre of Settlement of Investment Disputes (ICSID) has any effects on future foreign direct investment (FDI) in South Asian economies. Although, existing literature is mainly concerned with the existence of bilateral investment treaties (BITs), little has been done to establish the economic implications of real-life outcomes of arbitrations. This paper uses fixed effects panel estimation on a balanced sample of five South Asian countries for the years 2000-2022 to determine the effect of losing ICSID cases and the size of damages awarded on future inflows of FDI. The empirical findings offer strong support to the idea that negative ICSID arbitration outcomes are a strong deterrent of future FDI inflows. In particular, the loss in an arbitration case causes statistically and economically significant negative impact on FDI. Furthermore, hefty monetary awards enhance the negative impact. These results are stronger in other specifications and sensitivity tests. The behaviour of control variables is consistent with theoretical expectations. Thus, market size, trade openness, macroeconomic stability and healthy political institutions are significant in shaping investment decisions. The research adds to investment treaties literature by showing that credibility in international investments governanc</w:t>
      </w:r>
    </w:p>
    <w:p>
      <w:pPr/>
      <w:r>
        <w:rPr>
          <w:b/>
        </w:rPr>
        <w:t>POSSIBLE 2026:</w:t>
      </w:r>
      <w:r>
        <w:t xml:space="preserve"> Decoupling strength-damage trade-offs in additively manufactured alloys via engineered strain gradient — https://doi.org/10.1007/s10483-026-3386-8</w:t>
      </w:r>
    </w:p>
    <w:p>
      <w:pPr/>
      <w:r>
        <w:rPr>
          <w:b/>
        </w:rPr>
        <w:t>Shared claim-specific concepts:</w:t>
      </w:r>
      <w:r>
        <w:t xml:space="preserve"> damage, but; EU scope not established. This is a provisional connection, not an outcome finding.</w:t>
      </w:r>
    </w:p>
    <w:p>
      <w:pPr>
        <w:pStyle w:val="SourceNote"/>
      </w:pPr>
      <w:r>
        <w:rPr>
          <w:b/>
        </w:rPr>
        <w:t>Available abstract (not full text):</w:t>
      </w:r>
      <w:r>
        <w:t xml:space="preserve"> Abstract The strength and damage tolerance of additively manufactured (AM) alloys are significantly influenced by their heterogeneous microstructures. However, establishing quantitative relationships between these microstructural characteristics and the resulting mechanical properties remains a challenge. Here, a microstructure-based mechanical model is established based on the heterogeneous grain distribution within the melt pool, with particular emphasis on the strain gradient effect arising from the deformation incompatibility between distinct grain regions. The strengthening mechanisms and local deformation response of AM alloys are elucidated with the finite element method (FEM). The strain gradient effect generated by the deformation incompatibility between the columnar and equiaxed grain regions enhances the local stress near the equiaxed-columnar interface, which is an important reason for the overall work hardening. Concurrently, the local stress concentration makes it easier to reach the critical stress for microcrack nucleation at the interface, leading to failure and a lack of synergy between the strength and damage tolerance. The prediction of the crack initiation location based on the simulation results is consistent with the previous experiments. By further quantitatively predicting the comprehensive effects of melt pool size on strength, strain hardening, and da</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pStyle w:val="Heading2"/>
      </w:pPr>
      <w:r>
        <w:t>653.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Association of estimated glucose disposal rate with incident stroke in circadian syndrome: a prospective cohort study — https://doi.org/10.1038/s41598-026-64746-8</w:t>
      </w:r>
    </w:p>
    <w:p>
      <w:pPr/>
      <w:r>
        <w:rPr>
          <w:b/>
        </w:rPr>
        <w:t>Shared claim-specific concepts:</w:t>
      </w:r>
      <w:r>
        <w:t xml:space="preserve"> estimated, incident, strokes; EU scope not established. This is a provisional connection, not an outcome finding.</w:t>
      </w:r>
    </w:p>
    <w:p>
      <w:pPr>
        <w:pStyle w:val="SourceNote"/>
      </w:pPr>
      <w:r>
        <w:rPr>
          <w:b/>
        </w:rPr>
        <w:t>Available abstract (not full text):</w:t>
      </w:r>
      <w:r>
        <w:t xml:space="preserve"> The estimated glucose disposal rate (eGDR) is associated with the incidence of incident stroke (IS). However, its role in predicting IS within the Circadian Syndrome (CircS), a multisystem metabolic disorder, remains unclear. A prospective cohort study was conducted with 3,128 adults (≥ 45 years) diagnosed with CircS and without baseline stroke, utilizing data from the China Health and Retirement Longitudinal Study (CHARLS). The primary outcome was the incidence of IS during the follow-up period. Analyses were performed using Cox proportional hazards models, restricted cubic spline (RCS), subgroup analysis, and area under the curve (AUC) assessments. Followed for a median of 108 months (2012–2020), 409 first-onset strokes (13.07%) occurred. After fully adjusting, eGDR (HR = 0.85, 95% CI: 0.80–0.89, p &lt; 0.001), eGDR/CircS scores (eGDR divided by CircS component count, HR = 0.53, 95% CI: 0.44–0.63, p &lt; 0.001), and cumulative eGDR (HR = 0.93, 95% CI: 0.91–0.95, p &lt; 0.001) were associated with IS. Graded inverse associations were observed across quartile/tertile, with the highest eGDR quartile halving the risk compared to Q1 (HR = 0.42, 95% CI: 0.30–0.59, p &lt; 0.001). Optimal eGDR level control (cluster class) conferred a lower risk than the poorest control (HR = 0.38, 95% CI: 0.28–0.53, p &lt; 0.001). Dose–response relationships were significantly linear (p for overall &lt; 0.001) for eG</w:t>
      </w:r>
    </w:p>
    <w:p>
      <w:pPr/>
      <w:r>
        <w:rPr>
          <w:b/>
        </w:rPr>
        <w:t>POSSIBLE 2026:</w:t>
      </w:r>
      <w:r>
        <w:t xml:space="preserve"> Population-Level Co-Distribution and Spatiotemporal Burden Trends of Endometriosis and Polycystic Ovary Syndrome Among Reproductive-Age Women in Europe, 1990–2023: An Analysis of the Global Burden of Disease 2023 — https://doi.org/10.2147/ijwh.s640643</w:t>
      </w:r>
    </w:p>
    <w:p>
      <w:pPr/>
      <w:r>
        <w:rPr>
          <w:b/>
        </w:rPr>
        <w:t>Shared claim-specific concepts:</w:t>
      </w:r>
      <w:r>
        <w:t xml:space="preserve"> estimated, additional, incident, prevalent, cases; EU scope visible. This is a provisional connection, not an outcome finding.</w:t>
      </w:r>
    </w:p>
    <w:p>
      <w:pPr>
        <w:pStyle w:val="SourceNote"/>
      </w:pPr>
      <w:r>
        <w:rPr>
          <w:b/>
        </w:rPr>
        <w:t>Available abstract (not full text):</w:t>
      </w:r>
      <w:r>
        <w:t xml:space="preserve"> Background: Endometriosis (EM) and polycystic ovary syndrome (PCOS) are two prevalent endocrine-related gynecological conditions with shared pathophysiological pathways, yet their population-level burden patterns and socioeconomic correlates across Europe remain unclear. This study examines the geographic overlap in population-level disease burden patterns of EM and PCOS (hereafter referred to as ecological co-distribution), which does not represent individual-level comorbidity. Methods: Using the Global Burden of Disease (GBD) 2023 dataset, we retrieved incident cases and disability-adjusted life years (DALYs) data for EM and PCOS among women aged 15-49 years covering 44 European countries (1990-2023). Countries were classified into three population-level burden phenotypes (consistent pattern, EM-predominant pattern, PCOS-predominant pattern) by cross-tabulating quartiles of age-standardized incidence rates (ASIR). Temporal trajectories were quantified via the estimated annual percentage change (EAPC) method combined with Joinpoint regression modeling. Additional analyses included age-stratified burden distribution, correlation with the Socio-demographic Index (SDI), and decomposition analysis of burden drivers. Results: EM and PCOS exhibited diametrically opposite spatial gradients: EM burden concentrated in Central and Eastern Europe, while PCOS burden predominated in Wester</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2024:</w:t>
      </w:r>
      <w:r>
        <w:t xml:space="preserve"> Abstract 4139533: Epigenetic Factors Predict Incident Heart Failure with Preserved Ejection Fraction — https://doi.org/10.1161/circ.150.suppl_1.4139533</w:t>
      </w:r>
    </w:p>
    <w:p>
      <w:pPr/>
      <w:r>
        <w:rPr>
          <w:b/>
        </w:rPr>
        <w:t>Shared claim-specific concepts:</w:t>
      </w:r>
      <w:r>
        <w:t xml:space="preserve"> estimated, additional, incident, million; EU scope visible. This is a provisional connection, not an outcome finding.</w:t>
      </w:r>
    </w:p>
    <w:p>
      <w:pPr>
        <w:pStyle w:val="SourceNote"/>
      </w:pPr>
      <w:r>
        <w:rPr>
          <w:b/>
        </w:rPr>
        <w:t>Available abstract (not full text):</w:t>
      </w:r>
      <w:r>
        <w:t xml:space="preserve"> Background: Heart failure (HF) is a life-threatening aging-related syndrome with growing impact on the global population. It is estimated that &gt;8 million adults in the US will be living with HF by 2030. HF with preserved EF (HFpEF), defined by an ejection fraction ≥50%, frequently has delayed diagnosis and limited treatment options. HFpEF progression can be affected by both gene and environment via different molecular pathways, which can be assessed by epigenetic factors measured by DNA methylation (DNAm). Methods: The DNAm levels of peripheral blood cells at enrollment into the Million Veteran Program (MVP) were profiled using the Illumina’s EPIC array. After excluding samples with low quality or discordant sex, and merging with the phenotypic data, the multi-ancestry (~70%, 24%, 5.4%, and 0.6% are European, African, Hispanic, and Asian Americans, respectively) epigenetic association study in the MVP included 1658 with incident HFpEF and 33926 controls without any record of HF. Incident HFpEF was defined as the presence of a diagnostic code for HF after enrollment into MVP and a measured left ventricle ejection fraction ≥50% within 90 days of first appearance of HF diagnosis code. For each DNAm site, the association with HFpEF was examined in a multiple regression model adjusted for age, sex, race/ethnicity, calculated cell type proportions, and potential batch effects. Epigen</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pStyle w:val="Heading2"/>
      </w:pPr>
      <w:r>
        <w:t>654.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2026:</w:t>
      </w:r>
      <w:r>
        <w:t xml:space="preserve"> Marine Protected Areas for Europe (MPA Europe) — https://doi.org/10.3897/rio.12.e218514</w:t>
      </w:r>
    </w:p>
    <w:p>
      <w:pPr/>
      <w:r>
        <w:rPr>
          <w:b/>
        </w:rPr>
        <w:t>Shared claim-specific concepts:</w:t>
      </w:r>
      <w:r>
        <w:t xml:space="preserve"> contribute, climate, data, includes;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Trends in Extent and Size of European Ecosystem Units From 2000 to 2018 — https://doi.org/10.1111/ddi.70179</w:t>
      </w:r>
    </w:p>
    <w:p>
      <w:pPr/>
      <w:r>
        <w:rPr>
          <w:b/>
        </w:rPr>
        <w:t>Shared claim-specific concepts:</w:t>
      </w:r>
      <w:r>
        <w:t xml:space="preserve"> climate, data, annual; EU scope visible. This is a provisional connection, not an outcome finding.</w:t>
      </w:r>
    </w:p>
    <w:p>
      <w:pPr>
        <w:pStyle w:val="SourceNote"/>
      </w:pPr>
      <w:r>
        <w:rPr>
          <w:b/>
        </w:rPr>
        <w:t>Available abstract (not full text):</w:t>
      </w:r>
      <w:r>
        <w:t xml:space="preserve"> ABSTRACT Introduction and Aim The mapping and monitoring of ecosystem size and extent is critical for assessing changes in the environment. Mapping approaches typically include the use of expert‐based assessments and remotely sensed products. In this work, we present a new annual high‐resolution time series dataset of ecosystem units for Europe that integrates a range of different data sources. In total, 411 different distinct ecosystem units were identified in the EU27+, with large patches of woodland and forest in cold climates and temperate climate croplands on plain terrain as the two most commonly occurring types in 2000. Over the 18 year period, only 56 ecosystems remained stable, with area increases in 192 ecosystem types but losses in area in 163 of them. Furthermore, we highlight gaps in representation for 16.8% of all ecosystem units in the current protected area network. Main Variables Included Corine Land cover time series, Landforms, climate, patch size. Time Coverage 2000 to 2018. Spatial Coverage 100 m spatial resolution at pan‐European extent. Taxa Ecosystem assessment. Applications The dataset is consistent with previous EU ecosystem accounting assessments, while providing additional detail on climate, landform and fragmentation. It can serve as a data source, for example, for ecosystem accounting, conservation planning, or species distribution modelling.</w:t>
      </w:r>
    </w:p>
    <w:p>
      <w:pPr/>
      <w:r>
        <w:rPr>
          <w:b/>
        </w:rPr>
        <w:t>POSSIBLE 2026:</w:t>
      </w:r>
      <w:r>
        <w:t xml:space="preserve"> Unveiling the environmental impact of earthquakes in Europe — https://doi.org/10.1038/s41467-025-68120-6</w:t>
      </w:r>
    </w:p>
    <w:p>
      <w:pPr/>
      <w:r>
        <w:rPr>
          <w:b/>
        </w:rPr>
        <w:t>Shared claim-specific concepts:</w:t>
      </w:r>
      <w:r>
        <w:t xml:space="preserve"> here, comprehensive, database, data;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pStyle w:val="Heading2"/>
      </w:pPr>
      <w:r>
        <w:t>655.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2026:</w:t>
      </w:r>
      <w:r>
        <w:t xml:space="preserve"> Democratic representation of dependent claim makers — https://doi.org/10.1080/14754835.2025.2600953</w:t>
      </w:r>
    </w:p>
    <w:p>
      <w:pPr/>
      <w:r>
        <w:rPr>
          <w:b/>
        </w:rPr>
        <w:t>Shared claim-specific concepts:</w:t>
      </w:r>
      <w:r>
        <w:t xml:space="preserve"> argue, makers; EU scope visible. This is a provisional connection, not an outcome finding.</w:t>
      </w:r>
    </w:p>
    <w:p>
      <w:pPr>
        <w:pStyle w:val="SourceNote"/>
      </w:pPr>
      <w:r>
        <w:rPr>
          <w:b/>
        </w:rPr>
        <w:t>Available abstract (not full text):</w:t>
      </w:r>
      <w:r>
        <w:t xml:space="preserve"> Despite its focus on politically underrepresented groups, the representation literature has excluded persons (e.g., those with cognitive disabilities and severe somatic diseases) who temporarily or permanently cannot make political claims and represent themselves independently. I conceptualize these persons as dependent claim makers and argue that their inclusion in the literature is vital for understanding how citizens can have their interests attended to in all phases and variations of life. I propose and specify a theoretical framework for understanding dependent claim makers’ (lack of) substantive democratic representation, focusing on public policymaking processes. Building on unique interviews with civil servants and a minister in charge of creating a new governmental policy on the human rights of persons with intellectual disabilities in Norway and my own participation in this process, I suggest how representation can take place by emphasizing policymakers’ identification with the underrepresented group and knowledge on group-specific operationalizations of general policy goals, and by implementing mandatory accountability mechanisms.</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2025:</w:t>
      </w:r>
      <w:r>
        <w:t xml:space="preserve"> From the ground up: exploring European carbon farming through social practice theory — https://doi.org/10.1016/j.jrurstud.2025.103850</w:t>
      </w:r>
    </w:p>
    <w:p>
      <w:pPr/>
      <w:r>
        <w:rPr>
          <w:b/>
        </w:rPr>
        <w:t>Shared claim-specific concepts:</w:t>
      </w:r>
      <w:r>
        <w:t xml:space="preserve"> argue, approach, makers; EU scope visible. This is a provisional connection, not an outcome finding.</w:t>
      </w:r>
    </w:p>
    <w:p>
      <w:pPr>
        <w:pStyle w:val="SourceNote"/>
      </w:pPr>
      <w:r>
        <w:rPr>
          <w:b/>
        </w:rPr>
        <w:t>Available abstract (not full text):</w:t>
      </w:r>
      <w:r>
        <w:t xml:space="preserve"> The IPCC has highlighted the role of Carbon Dioxide Removals (CDR) to limit global warming to 1,5 °C, as hard-to-abate emissions fail to reach target reductions. Many academics, policy makers, private actors and civil society organisations argue that rewarding carbon farming could be a key approach to increasing CDR despite the uncertainty around the potential of carbon farming to contribute to net-zero efforts. The experiences and lived realities of farmers have largely been overlooked in the scientific and policy debates around carbon farming. Nevertheless, the EU is heavily investing in the development of carbon certificates for land managers through policies such as the Carbon Removal and Carbon Farming regulation (CRCF). This study provides a bottom-up perspective to carbon farming, by learning from farmers who have already implemented the ground-level changes sought by policy-makers. We collected data on the practices of 21 front-runners across Europe who are already involved in carbon farming initiatives. We find that carbon farming practices are deeply entangled in complexes across space and time, which leads to unique trade-offs and choices borne by the farmer. We also find that front-runner farmers are in a constant state of adapting practices to fit the context of their farm through experimentation. This leads to alternative entry points worthy of further exploration</w:t>
      </w:r>
    </w:p>
    <w:p>
      <w:pPr/>
      <w:r>
        <w:rPr>
          <w:b/>
        </w:rPr>
        <w:t>POSSIBLE 2025:</w:t>
      </w:r>
      <w:r>
        <w:t xml:space="preserve"> Understanding the Challenges of Maker Entrepreneurship — https://doi.org/10.1145/3711096</w:t>
      </w:r>
    </w:p>
    <w:p>
      <w:pPr/>
      <w:r>
        <w:rPr>
          <w:b/>
        </w:rPr>
        <w:t>Shared claim-specific concepts:</w:t>
      </w:r>
      <w:r>
        <w:t xml:space="preserve"> makers, support, help; EU scope not established. This is a provisional connection, not an outcome finding.</w:t>
      </w:r>
    </w:p>
    <w:p>
      <w:pPr>
        <w:pStyle w:val="SourceNote"/>
      </w:pPr>
      <w:r>
        <w:rPr>
          <w:b/>
        </w:rPr>
        <w:t>Available abstract (not full text):</w:t>
      </w:r>
      <w:r>
        <w:t xml:space="preserve"> The maker movement embodies a resurgence in DIY creation, merging physical craftsmanship and arts with digital technology support. However, mere technological skills and creativity are insufficient for economically and psychologically sustainable practice. By illuminating and smoothing the path from "maker" to "maker entrepreneur," we can help broaden the viability of making as a livelihood. Our research centers on makers who design, produce, and sell physical goods. In this work, we explore the transition to entrepreneurship for these makers and how technology can facilitate this transition online and offline. We present results from interviews with 20 USA-based maker entrepreneurs (i.e., lamps, stickers), six creative service entrepreneurs (i.e., photographers, fabrication), and seven support personnel (i.e., art curator, incubator director). Our findings reveal that many maker entrepreneurs 1) are makers first and entrepreneurs second; 2) struggle with business logistics and learn business skills as they go; and 3) are motivated by non-monetary values. We discuss training and technology-based design implications and opportunities for addressing challenges in developing economically sustainable businesses around making.</w:t>
      </w:r>
    </w:p>
    <w:p>
      <w:pPr>
        <w:pStyle w:val="Heading2"/>
      </w:pPr>
      <w:r>
        <w:t>656.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2026:</w:t>
      </w:r>
      <w:r>
        <w:t xml:space="preserve"> Crisis and Conversion: Lessons from Conversion in the Middle East — https://openalex.org/W7220889087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article investigates the dynamics of conversion among Arab Muslims from Islam to Christianity. Utilizing Lewis Rambo's Model of Conversion as the theoretical lens, the study analyzes original qualitative research of conversion narratives. The article discusses: (1) the role of crisis in initiating conversion journeys; (2) the relationship between conversion barriers and crisis; (3) the nature of crisis and its relationship to the converts’ decision to repent and commit to Christ; and (4) a comparison of this conversion trajectory with a stereotypical model. The article concludes with concrete suggestions for evangelistic ministry that can be applied in any context.</w:t>
      </w:r>
    </w:p>
    <w:p>
      <w:pPr/>
      <w:r>
        <w:rPr>
          <w:b/>
        </w:rPr>
        <w:t>POSSIBLE 2026:</w:t>
      </w:r>
      <w:r>
        <w:t xml:space="preserve"> Transforming the neoliberal state in times of crisis: pathways of democratization and sustainabilization — https://doi.org/10.1080/15487733.2026.2676224</w:t>
      </w:r>
    </w:p>
    <w:p>
      <w:pPr/>
      <w:r>
        <w:rPr>
          <w:b/>
        </w:rPr>
        <w:t>Shared claim-specific concepts:</w:t>
      </w:r>
      <w:r>
        <w:t xml:space="preserve"> conclude, discussing, crisis, role; EU scope not established. This is a provisional connection, not an outcome finding.</w:t>
      </w:r>
    </w:p>
    <w:p>
      <w:pPr>
        <w:pStyle w:val="SourceNote"/>
      </w:pPr>
      <w:r>
        <w:rPr>
          <w:b/>
        </w:rPr>
        <w:t>Available abstract (not full text):</w:t>
      </w:r>
      <w:r>
        <w:t xml:space="preserve"> Western liberal societies are currently facing two intertwined crises: a crisis of democracy and a crisis of sustainability. In this article, we argue that this dual crisis has its roots in neoliberalism and neoliberal statehood. While the state is partly complicit in bringing about the crisis, it can also play a pivotal role in addressing it. However, to do so, it must fundamentally transform its institutional structures and processes to become more democratic and sustainable. Based on an analysis of the current crises and the role of the neoliberal state, we outline the normative contours of sustainable statehood and clarify its democratic prerequisites. Drawing on an examination of four practical transformation pathways to a democratic and sustainable state, we argue that initial steps toward this ideal may already be underway. We conclude by discussing the state’s potential and limitations in promoting a virtuous cycle of “democratization” and “sustainabilization” to overcome the current double crisis.</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2025:</w:t>
      </w:r>
      <w:r>
        <w:t xml:space="preserve"> Making Sense of the Climate Crisis — https://doi.org/10.4324/9781003505006-17</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This chapter shares the experience and reflections from setting up the Climate Change &amp; Sustainability Law Clinic (CCSLC) at Vrije Universiteit Amsterdam, as one of the first law clinics fully dedicated to climate justice. It discusses its rationale and vision and reflects on the question of embedding a climate law clinic in the law curriculum, since questions of embedment can raise barriers for the long-term running of a clinic of this kind. This chapter also reflects on the CCSLC’s transition from an experimental initiative to a structured course, sharing elements that promote a deep learning approach about the role of law in the climate crisis, as well as limitations linked to the small scale and cyclical nature of the Clinic. The piece concludes with the recognition of the growing phenomenon of climate law clinics, particularly in the Global South, and the potential for transnational collaborations.</w:t>
      </w:r>
    </w:p>
    <w:p>
      <w:pPr/>
      <w:r>
        <w:rPr>
          <w:b/>
        </w:rPr>
        <w:t>POSSIBLE 2025:</w:t>
      </w:r>
      <w:r>
        <w:t xml:space="preserve"> The role of credit rating agencies in the ‘debt crisis’ — https://doi.org/10.35188/unu-wider/psvc1263</w:t>
      </w:r>
    </w:p>
    <w:p>
      <w:pPr/>
      <w:r>
        <w:rPr>
          <w:b/>
        </w:rPr>
        <w:t>Shared claim-specific concepts:</w:t>
      </w:r>
      <w:r>
        <w:t xml:space="preserve"> nature, crisis, role, means; EU scope not established. This is a provisional connection, not an outcome finding.</w:t>
      </w:r>
    </w:p>
    <w:p>
      <w:pPr>
        <w:pStyle w:val="SourceNote"/>
      </w:pPr>
      <w:r>
        <w:rPr>
          <w:b/>
        </w:rPr>
        <w:t>Available abstract (not full text):</w:t>
      </w:r>
      <w:r>
        <w:t xml:space="preserve"> The impact of credit rating agencies (CRAs) on development—particularly their influence on interest rates for sovereign bonds and therefore the debt-financing costs for Global South countries—is increasingly being identified as a critical issue on the development finance agenda. The UN Secretary General’s continued engagement with the CRAs was noted in the Pact for the Future, whilst the South African President referred to the role of CRAs when launching South Africa’s Presidency of the G20 which comes on the back of Brazil focusing on the role of CRAs in aiding greater lending from multilateral development banks (MDBs). All this focus is aimed at one particular issue—the cost of capital. As capital is required for developing nations to meet their developmental needs, the cost of acquiring that capital is all important. How that cost is calculated and implemented is increasingly becoming a critical debate for the global agenda. Due to their role in determining the cost of capital, credit ratings from the leading international CRAs—S&amp;P Global, Moody’s, and Fitch—are intrinsically important to national development prospects. CRAs exist primarily to provide opinions on creditworthiness. With respect to sovereign debt, these opinions are designed to be used by private creditors, banks and institutional investors like asset managers, pension funds, and insurance companies. Creditors</w:t>
      </w:r>
    </w:p>
    <w:p>
      <w:pPr/>
      <w:r>
        <w:rPr>
          <w:b/>
        </w:rPr>
        <w:t>POSSIBLE 2025:</w:t>
      </w:r>
      <w:r>
        <w:t xml:space="preserve"> THE ROLE OF DECENTRALIZED GOVERNANCE IN PUBLIC HEALTH CRISIS MANAGEMENT AND LESSONS LEARNED FROM GLOBAL RESPONSES — https://openalex.org/W7217974950</w:t>
      </w:r>
    </w:p>
    <w:p>
      <w:pPr/>
      <w:r>
        <w:rPr>
          <w:b/>
        </w:rPr>
        <w:t>Shared claim-specific concepts:</w:t>
      </w:r>
      <w:r>
        <w:t xml:space="preserve"> crisis, role; EU scope visible. This is a provisional connection, not an outcome finding.</w:t>
      </w:r>
    </w:p>
    <w:p>
      <w:pPr>
        <w:pStyle w:val="SourceNote"/>
      </w:pPr>
      <w:r>
        <w:rPr>
          <w:b/>
        </w:rPr>
        <w:t>Available abstract (not full text):</w:t>
      </w:r>
      <w:r>
        <w:t xml:space="preserve"> This paper explores the role of decentralized governance in public health crisis management, with a focus on lessons learned from global responses to health emergencies like the COVID-19 pandemic. Decentralized governance, characterized by the distribution of authority from central to local levels of government, can significantly influence the effectiveness of public health responses. By enabling local authorities to make context-specific decisions, decentralized systems have the potential to enhance responsiveness and community engagement. However, the paper also discusses the challenges associated with decentralized governance, such as coordination difficulties, resource inequalities, and inconsistent policy implementation. Through a systematic review of literature spanning from 2000 to 2021, the study evaluates the advantages and drawbacks of decentralized governance during public health crises. Case studies, including responses from countries like India, Germany, and South Korea, are analyzed to derive key insights. The paper concludes with recommendations for optimizing decentralized governance structures to improve future public health crisis management, focusing on better coordination, resource equity, and policy alignment.</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2024:</w:t>
      </w:r>
      <w:r>
        <w:t xml:space="preserve"> Transnational Solidarity in Crisis — https://doi.org/10.5771/9783748919865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Crises are privileged moments of solidarization and desolidarisation. On one hand, solidarity-based institutions are often at issue in times of crises. On the other hand, solidarity is invoked to mitigate or overcome crises. This puts political and legal authorities, in which solidarity is negotiated, under pressure. This book analyses the impact of such dynamics from a legal and political science perspective by focusing on three societal crises of our time: economic crises, migration crises, and pandemics. The authors combine theoretical and empirical analysis with legal considerations to highlight the role of institutions and law in shaping the dynamic between solidarity and crisis. eepl.com), die nach unseren Erfahrungen sehr gute Ergebnisse liefert.</w:t>
      </w:r>
    </w:p>
    <w:p>
      <w:pPr>
        <w:pStyle w:val="Heading2"/>
      </w:pPr>
      <w:r>
        <w:t>657.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658.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2026:</w:t>
      </w:r>
      <w:r>
        <w:t xml:space="preserve"> The growing burden of dementia in Asia: Comparative insights from Japan, China, and India — https://doi.org/10.1016/j.tjpad.2026.100614</w:t>
      </w:r>
    </w:p>
    <w:p>
      <w:pPr/>
      <w:r>
        <w:rPr>
          <w:b/>
        </w:rPr>
        <w:t>Shared claim-specific concepts:</w:t>
      </w:r>
      <w:r>
        <w:t xml:space="preserve"> dementia, leading, mortality, disease, burden, health; EU scope not established. This is a provisional connection, not an outcome finding.</w:t>
      </w:r>
    </w:p>
    <w:p>
      <w:pPr>
        <w:pStyle w:val="SourceNote"/>
      </w:pPr>
      <w:r>
        <w:rPr>
          <w:b/>
        </w:rPr>
        <w:t>Available abstract (not full text):</w:t>
      </w:r>
      <w:r>
        <w:t xml:space="preserve"> BACKGROUND: Alzheimer's disease and other dementias (ADODs) are increasingly becoming a major public health concern in rapidly ageing Asia. We compared the disease burden across Japan, China, and India at different demographic stages. DESIGN: The Global Burden of Disease Study of 2023 was used to analyze the incidence, prevalence, mortality, and disability-adjusted life years (DALYs) in 1990-2023. Decomposition analysis identified drivers of DALYs trends. DALYs associated risk factors were quantified. The Auto-Regressive Integrated Moving Average model was used to predict future disease burden. RESULTS: In 2023, China had the highest absolute burden, with age-standardized incidence and prevalence rates of 156.63 (95% uncertainty interval [UI]: 136.58-175.49) and 918.83(95% UI: 784.59-1,058.24) per 100,000, respectively. Japan recorded the highest age-standardized mortality rate (31.25 [8.47-71.42] per 100,000). India had the highest annual increase in mortality and DALYs, with estimated annual percentage changes of 0.91 (95% confidence interval [95% CI] 0.80-1.03) and 0.51 (0.45-0.56), respectively. Decomposition analysis revealed distinct drivers: Japan was dominated by epidemiological changes; China was driven by both aging and epidemiological changes; India was mainly due to population growth and epidemiological changes. Ambient particulate matter was the leading risk factor</w:t>
      </w:r>
    </w:p>
    <w:p>
      <w:pPr>
        <w:pStyle w:val="Heading2"/>
      </w:pPr>
      <w:r>
        <w:t>659.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2026:</w:t>
      </w:r>
      <w:r>
        <w:t xml:space="preserve"> The Global Left in a Multipolar World — https://openalex.org/W7160461154</w:t>
      </w:r>
    </w:p>
    <w:p>
      <w:pPr/>
      <w:r>
        <w:rPr>
          <w:b/>
        </w:rPr>
        <w:t>Shared claim-specific concepts:</w:t>
      </w:r>
      <w:r>
        <w:t xml:space="preserve"> world, era, made, energy, well; EU scope not established. This is a provisional connection, not an outcome finding.</w:t>
      </w:r>
    </w:p>
    <w:p>
      <w:pPr>
        <w:pStyle w:val="SourceNote"/>
      </w:pPr>
      <w:r>
        <w:rPr>
          <w:b/>
        </w:rPr>
        <w:t>Available abstract (not full text):</w:t>
      </w:r>
      <w:r>
        <w:t xml:space="preserve"> The Global Left in a Multipolar World: Towards a Planetary Politics of Justice and Survival explores how a transformative global left politics might be advanced in the context of the emerging multipolar world order and the urgent climate crisis. The book argues that the era of the purely national left is over. Instead, the twenty-first century needs a new global left that will address the critical four elements of class, imperialism, ecology and democracy in a unified way, and that will combine ideas and interventions at a multiplicity of scales from the local to the global. Chapters written by leading left scholars from the global North and the global South explore different aspects of contemporary left thought and practice and articulate different visions of potential global lefts. They offer radical and inspiring suggestions for global left programmes that can tackle both the injustices of neoliberal globalisation as well as the new threats from an advancing global right, continued neo-imperialism and the increasingly critical climate-ecological planetary crisis. Taken together, they offer a compelling vision of a global left that seeks justice – for labour, for the global South and for oppressed peoples everywhere – and survival – for everyone on our warming planet – based on and secured by a truly democratic planetary politics. The Global Left in a Multipolar World injects</w:t>
      </w:r>
    </w:p>
    <w:p>
      <w:pPr/>
      <w:r>
        <w:rPr>
          <w:b/>
        </w:rPr>
        <w:t>POSSIBLE 2026:</w:t>
      </w:r>
      <w:r>
        <w:t xml:space="preserve"> The Empirical Concentration of Political Authority in the Era of Algorithmic Geopolitics Big Tech as World Makers (Vol -II) The Empirical Concentration of Political Authority in the Era of Algorithmic Geopolitics (Vol-1) — https://doi.org/10.5281/zenodo.22991445</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This volume provides an exhaustive empirical analysis of how political authority is concentrating in apex technology firms—specifically NVIDIA, Google, Amazon, IBM, and Meta—fundamentally restructuring the traditional Westphalian state in the era of algorithmic geopolitics. Transitioning from theoretical frameworks, the report examines three distinct modalities of corporate power: (1) Infrastructural Co-optation (Google/Amazon's 'cloudification' of state apparatuses, exemplified by Project Nimbus, which subordinates state functions and uses covert contractual mechanisms like the 'winking mechanism' to neutralise foreign legal authority); (2) Hardware Hegemony (NVIDIA's monopolistic control over 'compute' through the 'Sovereign AI' doctrine, creating an absolute, neo-feudal dependency on proprietary hardware for national security); and (3) Normative Capture (IBM/Meta's strategic influence over global governance, including successfully shaping the EU AI Act through 'precision regulation' and using the AI Alliance to set de facto international standards). The research KSCCN Mamun, SM (2026) ……………………………………….1 The Empirical Concentration of Political Authority in the Era of Algorithmic Geopolitics Big Tech as World Makers (Vol - II) demonstrates that Big Tech firms are now hyper-sovereign entities, actively designing the infrastructural, material, and legal realities within which tr</w:t>
      </w:r>
    </w:p>
    <w:p>
      <w:pPr/>
      <w:r>
        <w:rPr>
          <w:b/>
        </w:rPr>
        <w:t>POSSIBLE 2026:</w:t>
      </w:r>
      <w:r>
        <w:t xml:space="preserve"> Multipolarity in the 21st Century: Challenges and Opportunities in Political Economy—A Review of the 18th Forum of World Association for Political Economy — https://doi.org/10.13169/worlrevipoliecon.17.1.0005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18th Annual Forum of the World Association for Political Economy (WAPE), hosted by WAPE, and co-organized by Turkish-Chinese Business Development and Friendship Association and Yeditepe University, was successfully held in Istanbul, Türkiye, on August 6–8, 2025, with the theme “Multipolarity in the 21st Century: Challenges and Opportunities in Political Economy.” More than 100 political economy scholars from around the world conducted in-depth discussions and communications on the reflections on political economy in a multipolar era, revisiting the classical theories of Marxist political economy, digital civilization and the era of transformation, critique of contemporary capitalism, multipolarity and global governance, rethinking classical political economy, studies in mathematical political economy and the economic theory and practice of Socialism with Chinese Characteristics for a New Era. This forum openly revealed and counterattacked the evil deeds and hypocritical nature of Neo-imperialism, Neo-hegemonism, Neo-fascism, Neo-liberalism, and Neo-colonialism, calling for an academic unification, especially in field of global political economy, to fight against them under current condition of profound changes unseen in a century.</w:t>
      </w:r>
    </w:p>
    <w:p>
      <w:pPr/>
      <w:r>
        <w:rPr>
          <w:b/>
        </w:rPr>
        <w:t>POSSIBLE 2026:</w:t>
      </w:r>
      <w:r>
        <w:t xml:space="preserve"> Global changes taking place in the world and their impact on the process of social and political transformation — https://openalex.org/W7220781405</w:t>
      </w:r>
    </w:p>
    <w:p>
      <w:pPr/>
      <w:r>
        <w:rPr>
          <w:b/>
        </w:rPr>
        <w:t>Shared claim-specific concepts:</w:t>
      </w:r>
      <w:r>
        <w:t xml:space="preserve"> political, world, era, complex, well; EU scope not established. This is a provisional connection, not an outcome finding.</w:t>
      </w:r>
    </w:p>
    <w:p>
      <w:pPr>
        <w:pStyle w:val="SourceNote"/>
      </w:pPr>
      <w:r>
        <w:rPr>
          <w:b/>
        </w:rPr>
        <w:t>Available abstract (not full text):</w:t>
      </w:r>
      <w:r>
        <w:t xml:space="preserve"> The modern world is experiencing significant and rapidly evolving global changes that are fundamentally altering the social and political foundations of human life. The 21st century is characterised by technological progress, economic integration, geopolitical redistribution, and global challenges, all of which determine the formation of a new world order to some extent. Global processes related to the evolution of the digital space, climate change, and international crises create an environment in which state institutions cannot always respond to the demands of modern reality. The pandemic caused by the novel coronavirus (SARS-CoV-2) has clearly demonstrated the interconnectedness of the world and how quickly a local crisis can escalate into a global one. Therefore, it is crucial to understand global changes and analyse their impact on social and political transformations. In-depth study of this issue allows us to better understand how societies change, the direction in which states are developing and the challenges facing the modern international system. In recent decades, global changes have had a considerable impact on the development of social and political structures. During this ongoing transformation, social norms have undergone change within states, societies and institutions, as well as in terms of political approaches. The phenomenon of economic globalisation has bee</w:t>
      </w:r>
    </w:p>
    <w:p>
      <w:pPr>
        <w:pStyle w:val="Heading2"/>
      </w:pPr>
      <w:r>
        <w:t>660.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2026:</w:t>
      </w:r>
      <w:r>
        <w:t xml:space="preserve"> Benefits and risks of consuming Cannabis sativa L. in food — https://doi.org/10.38212/2224-6614.3578</w:t>
      </w:r>
    </w:p>
    <w:p>
      <w:pPr/>
      <w:r>
        <w:rPr>
          <w:b/>
        </w:rPr>
        <w:t>Shared claim-specific concepts:</w:t>
      </w:r>
      <w:r>
        <w:t xml:space="preserve"> food, sustainable, presents; EU scope not established. This is a provisional connection, not an outcome finding.</w:t>
      </w:r>
    </w:p>
    <w:p>
      <w:pPr>
        <w:pStyle w:val="SourceNote"/>
      </w:pPr>
      <w:r>
        <w:rPr>
          <w:b/>
        </w:rPr>
        <w:t>Available abstract (not full text):</w:t>
      </w:r>
      <w:r>
        <w:t xml:space="preserve"> Cannabis sativa L. or hemp is a cosmopolitan, multi-purpose plant and area of its cultivation has been growing in recent years. Its public perception is influenced by potential to produce narcotic substances. However, hemp seed can be a valuable source of nutrients for humans and may be of particular interest in more sustainable food consumption patterns, including vegetarian and flexitarian diets. The paper presents benefits and risks of hemp seeds in case of their consumption in food. Low cannabinoids varieties are considered only. The biological activity of cannabinoids and related effects are considered out of scope of the study. Nutritional value of hemp seeds regarding content of amino acids is comparable to the value of egg whites and soya. Oil is a source of two essential fatty acids: linoleic acid and alpha-linolenic acid in a desirable ratio of 3:1. Hemp seeds are also a source of minerals, vitamins and carbohydrates, including fiber. The most characteristic hazardous properties of hemp are ability to accumulate toxic heavy metals and produce anti-nutritional substances. Breeding hemp to reduce the anti-nutritional compounds content may be promising in view of its growing popularity as a food source.</w:t>
      </w:r>
    </w:p>
    <w:p>
      <w:pPr/>
      <w:r>
        <w:rPr>
          <w:b/>
        </w:rPr>
        <w:t>POSSIBLE 2026:</w:t>
      </w:r>
      <w:r>
        <w:t xml:space="preserve"> A gridded dataset of European Forest Types to support forest monitoring, modelling and reporting — https://doi.org/10.5194/essd-18-6435-2026</w:t>
      </w:r>
    </w:p>
    <w:p>
      <w:pPr/>
      <w:r>
        <w:rPr>
          <w:b/>
        </w:rPr>
        <w:t>Shared claim-specific concepts:</w:t>
      </w:r>
      <w:r>
        <w:t xml:space="preserve"> types, climate, system; EU scope visible. This is a provisional connection, not an outcome finding.</w:t>
      </w:r>
    </w:p>
    <w:p>
      <w:pPr>
        <w:pStyle w:val="SourceNote"/>
      </w:pPr>
      <w:r>
        <w:rPr>
          <w:b/>
        </w:rPr>
        <w:t>Available abstract (not full text):</w:t>
      </w:r>
      <w:r>
        <w:t xml:space="preserve"> A standardized system of nomenclature for forest types is essential for effectively monitoring and understanding the impacts of climate change on diverse ecosystems in Europe and beyond. A comprehensive classification system, such as the European Forest Types (EFTs) scheme, is essential for assessing baseline conditions, tracking changes, and guiding conservation decisions. A unified forest type nomenclature supports international collaboration, enables researchers and policymakers to accurately compare data across regions and time periods, and enhances the development of targeted conservation strategies and adaptive management practices aimed at preserving biodiversity and ecosystem services. This classification breaks down forested areas in Europe into a handful of ecologically homogeneous units, thus facilitating the analysis of data related to forest conditions and management practices across a wide range of climatic and edaphic conditions. The current lack of an EFTs map for Europe prompted its processing, using a shared rule-based expert system algorithm. Utilizing a dataset featuring 39 “relative probability of presence (RPP) maps” of tree species and various forest masks, the algorithm identified 14 EFT categories. This initiative filled a critical gap in spatial monitoring, providing the first consistent pan-European EFT maps gridded dataset. The availability of standa</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demonstrate, dynamics, climate;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pStyle w:val="Heading2"/>
      </w:pPr>
      <w:r>
        <w:t>661.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2026:</w:t>
      </w:r>
      <w:r>
        <w:t xml:space="preserve"> Road transport carbon pricing creates uneven burdens across Europe and requires targeted revenue recycling — https://doi.org/10.1038/s44458-026-00129-4</w:t>
      </w:r>
    </w:p>
    <w:p>
      <w:pPr/>
      <w:r>
        <w:rPr>
          <w:b/>
        </w:rPr>
        <w:t>Shared claim-specific concepts:</w:t>
      </w:r>
      <w:r>
        <w:t xml:space="preserve"> show, road, transport; EU scope visible. This is a provisional connection, not an outcome finding.</w:t>
      </w:r>
    </w:p>
    <w:p>
      <w:pPr>
        <w:pStyle w:val="SourceNote"/>
      </w:pPr>
      <w:r>
        <w:rPr>
          <w:b/>
        </w:rPr>
        <w:t>Available abstract (not full text):</w:t>
      </w:r>
      <w:r>
        <w:t xml:space="preserve"> Abstract Road transport is a major source of planet-warming emissions, and carbon pricing of fuels is increasingly used to encourage cleaner mobility. Yet higher fuel prices can affect households differently depending on income, location and transport options. Here we show how a forthcoming European carbon price on road fuels could affect households in 23 countries. Using harmonized household budget data adjusted for underreported fuel purchases, we simulate higher petrol and diesel prices and compare burdens across and within income groups. Effects differ strongly across regions. In richer western countries, lower-income households often bear a larger relative burden. In several lower-income eastern countries, the policy appears less burdensome for poorer households, but this often reflects their limited access to private mobility rather than greater fairness. Across countries, households are more exposed when they depend on cars, live in less accessible areas, or lack public transport alternatives. Fair carbon pricing therefore requires targeted revenue recycling and investment in low-carbon mobility options.</w:t>
      </w:r>
    </w:p>
    <w:p>
      <w:pPr/>
      <w:r>
        <w:rPr>
          <w:b/>
        </w:rPr>
        <w:t>POSSIBLE 2026:</w:t>
      </w:r>
      <w:r>
        <w:t xml:space="preserve"> Uncovering patterns in fleet structure, activity intensity and emissions using cluster analysis of European road transport — https://doi.org/10.3846/bm.2026.2416</w:t>
      </w:r>
    </w:p>
    <w:p>
      <w:pPr/>
      <w:r>
        <w:rPr>
          <w:b/>
        </w:rPr>
        <w:t>Shared claim-specific concepts:</w:t>
      </w:r>
      <w:r>
        <w:t xml:space="preserve"> road, transport, emission, fleet, electrification; EU scope visible. This is a provisional connection, not an outcome finding.</w:t>
      </w:r>
    </w:p>
    <w:p>
      <w:pPr>
        <w:pStyle w:val="SourceNote"/>
      </w:pPr>
      <w:r>
        <w:rPr>
          <w:b/>
        </w:rPr>
        <w:t>Available abstract (not full text):</w:t>
      </w:r>
      <w:r>
        <w:t xml:space="preserve"> The decarbonization of European transport is accelerating under the combined influence of regulatory pressure, sustainable finance mechanisms, and technological innovation. According to the literature such regulatory instruments as the European Green Deal, emissions trading, and fiscal incentives remain the most decisive drivers of early-stage fleet electrification. The research aims to identify and categorize distinct patterns of road transport fleet structures, activity intensities, and emission profiles across the EU countries. K-means cluster analysis that employs road transport indicators of emissions, vehicle type and other characteristics based on 2024 data shows that Sweden, Denmark, Netherlands, Austria, and Belgium form one group. It can be characterized by the highest use of electric road vehicles and thus can be considered as “trendsetters” potentially serving as models for other countries to follow. The second cluster consists of Germany, Spain, France, Italy, Poland, Czechia, and Romania with the highest use of new freight vehicles or fastest progress towards it. Other countries form the third cluster, while Luxembourg, Estonia and Cyprus can be considered as outliers. The results are valuable for policymakers and stakeholders in designing targeted strategies for accelerating fleet electrification and low-carbon innovation across diverse national contexts, fosteri</w:t>
      </w:r>
    </w:p>
    <w:p>
      <w:pPr/>
      <w:r>
        <w:rPr>
          <w:b/>
        </w:rPr>
        <w:t>POSSIBLE 2026:</w:t>
      </w:r>
      <w:r>
        <w:t xml:space="preserve"> Development of a welfare assessment protocol for dromedary camels during road transport — https://doi.org/10.3389/fvets.2026.1868838</w:t>
      </w:r>
    </w:p>
    <w:p>
      <w:pPr/>
      <w:r>
        <w:rPr>
          <w:b/>
        </w:rPr>
        <w:t>Shared claim-specific concepts:</w:t>
      </w:r>
      <w:r>
        <w:t xml:space="preserve"> road, transport, measures; EU scope not established. This is a provisional connection, not an outcome finding.</w:t>
      </w:r>
    </w:p>
    <w:p>
      <w:pPr>
        <w:pStyle w:val="SourceNote"/>
      </w:pPr>
      <w:r>
        <w:rPr>
          <w:b/>
        </w:rPr>
        <w:t>Available abstract (not full text):</w:t>
      </w:r>
      <w:r>
        <w:t xml:space="preserve"> Transporting dromedary camels, like other farm animals, may be stressful and impair their welfare and health. The lack of standardized practices regarding loading and unloading, vehicle design and size, journey duration, and space allowance complicates camel transportation, leading to greater welfare compromise and risk. The study aimed to develop a protocol for assessing the welfare of dromedary camels during road transportation. A group of researchers and experts ( n = 10) conducted an extensive literature search and frequent meetings, during which several unstructured expert knowledge elicitation (EKE) sessions were conducted to develop the protocol. The literature search was conducted in Scopus and Web of Science databases; additionally, a snowball search was conducted to locate relevant literature. Overall, 24 articles from the databases, 10 initial articles, and 20 articles from the snowball search were used. Due to limited research on the transportation of dromedary camels, the authors primarily considered studies on the welfare assessment of other species during transport, such as horses, pigs, and ruminants. Accordingly, the checklists were prepared to assess the welfare of dromedary camels at five stages during transportation: before loading (24 indicators), after loading (18 indicators), during the journey (14 indicators), upon arrival (24 indicators), and 1 h after </w:t>
      </w:r>
    </w:p>
    <w:p>
      <w:pPr>
        <w:pStyle w:val="Heading2"/>
      </w:pPr>
      <w:r>
        <w:t>662.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2026:</w:t>
      </w:r>
      <w:r>
        <w:t xml:space="preserve"> From Data to Decision: Interpretable and Reliable Heart Disease Risk Prediction. — https://doi.org/10.12865/chsj.52.02.06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Heart disease is the leading cause of morbidity and mortality worldwide, highlighting the need for accurate and clinically meaningful risk prediction tool. METHODOLOGY: A retrospective analysis was performed on a dataset of 918 patients with complete clinical information. The relationship between variables and disease presence were explored using correlation and dependence measure. To prediction was made using logistic regression, linear discriminant analysis, and generalized additive models. The performances were evaluated using cross-validation, discrimination metrics, and calibration analysis. RESULTS: Functional and exercise-related variables, particularly Oldpeak, maximum heart rate, chest pain type, and ST slope showed the strongest correlation with disease presence. All models achieved AUROC values higher than 0.91. Logistic regression and generalized additive models performed similarly, with no statistically significant difference between them. Calibration analysis showed a good agreement between predicted and observed probabilities. CONCLUSION: Heart disease prediction can be achieved with high accuracy using clinically accessible variables and interpretable models. Our findings suggest that simpler approaches remain suitable for practical clinical applications, while preserving transparency and usability.</w:t>
      </w:r>
    </w:p>
    <w:p>
      <w:pPr/>
      <w:r>
        <w:rPr>
          <w:b/>
        </w:rPr>
        <w:t>POSSIBLE 2026:</w:t>
      </w:r>
      <w:r>
        <w:t xml:space="preserve"> Qualitative effects of resistivity in JET-ILW Europed pedestal predictions — https://doi.org/10.1088/1741-4326/ae5721</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Abstract The effect of resistive MHD in the pedestal predictions for JET-ILW has been investigated, using the Europed workflow (Saarelma et al 2018 Plasma Phys. Control. Fusion 60 014042) with the resistive MHD stability code CASTOR (Kerner et al 1998 J. Comput. Phys. 142 271–303). The inclusion of resistivity in the MHD stability calculations leads to a destabilisation of the peeling-ballooning modes. The effect of resistivity is shown for different plasma conditions with scans of the following parameters: the electron pedestal top density, the electron separatrix density and the normalised plasma pressure. The effect of resistivity is largely dependent on the input electron density pedestal profile, and less dependent on the normalised plasma pressure. Overall, at high temperatures, the predictions performed with ideal and resistive MHD are comparable. At low temperature, resistive effects are not negligible and the resistive MHD predictions produce a pedestal pressure height and gradient lower than ideal MHD predictions. Europed predictions with resistive MHD are also compared to experimental values from power scans and gas scans in JET-ILW. While at low gas both ideal and resistive predictions are reasonable, at high gas the resistive Europed predictions show a better agreement with the experimental pedestal height than ideal predictions. The improvement in the predictions </w:t>
      </w:r>
    </w:p>
    <w:p>
      <w:pPr/>
      <w:r>
        <w:rPr>
          <w:b/>
        </w:rPr>
        <w:t>POSSIBLE 2026:</w:t>
      </w:r>
      <w:r>
        <w:t xml:space="preserve"> Radiation Above the Clouds — https://doi.org/10.67690/n4vcq271</w:t>
      </w:r>
    </w:p>
    <w:p>
      <w:pPr/>
      <w:r>
        <w:rPr>
          <w:b/>
        </w:rPr>
        <w:t>Shared claim-specific concepts:</w:t>
      </w:r>
      <w:r>
        <w:t xml:space="preserve"> radiation, events, crew, space, weather; EU scope not established. This is a provisional connection, not an outcome finding.</w:t>
      </w:r>
    </w:p>
    <w:p>
      <w:pPr>
        <w:pStyle w:val="SourceNote"/>
      </w:pPr>
      <w:r>
        <w:rPr>
          <w:b/>
        </w:rPr>
        <w:t>Available abstract (not full text):</w:t>
      </w:r>
      <w:r>
        <w:t xml:space="preserve"> Commercial cabin crew are occupationally exposed to cosmic ionizing radiation on every flight. At cruising altitude, the atmosphere provides less shielding from galactic cosmic radiation and, during uncommon solar energetic particle events, radiation from the Sun. Dose varies substantially with altitude, geomagnetic latitude, flight duration, route, solar-cycle conditions, and space weather. This narrative review asks how much radiation cabin crew receive, what health effects are supported by evidence, what is commonly misunderstood, and how exposure should be communicated and managed. Recent models place a representative 700-hour annual flight profile in a range of approximately 2.8 – 7.3 mSv across four modeling systems, although real individual doses depend on the routes actually flown and model choice. Earlier flight-attendant assessments commonly estimated annual effective doses of roughly 2–5 mSv, with higher values on long-haul and high-latitude schedules. These are meaningful occupational doses but remain far below levels that cause acute radiation injury. Epidemiologic studies report mixed patterns for cancer and reproductive outcomes; they support continued concern and surveillance but do not isolate cosmic radiation cleanly from circadian disruption, ultraviolet exposure, reproductive history, historical cabin exposures, and other factors. A 2026 U.S. mortality study</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2025:</w:t>
      </w:r>
      <w:r>
        <w:t xml:space="preserve"> Combined Radiations: Biological Effects of Mixed Exposures Across the Radiation Spectrum — https://doi.org/10.3390/biom15091282</w:t>
      </w:r>
    </w:p>
    <w:p>
      <w:pPr/>
      <w:r>
        <w:rPr>
          <w:b/>
        </w:rPr>
        <w:t>Shared claim-specific concepts:</w:t>
      </w:r>
      <w:r>
        <w:t xml:space="preserve"> tool, radiation, space; EU scope visible. This is a provisional connection, not an outcome finding.</w:t>
      </w:r>
    </w:p>
    <w:p>
      <w:pPr>
        <w:pStyle w:val="SourceNote"/>
      </w:pPr>
      <w:r>
        <w:rPr>
          <w:b/>
        </w:rPr>
        <w:t>Available abstract (not full text):</w:t>
      </w:r>
      <w:r>
        <w:t xml:space="preserve"> Combined radiation exposures-pairings of ionizing and non-ionizing radiation-are increasingly relevant in medical, spaceflight, and environmental contexts. This systematic review evaluates their radiobiological effects and therapeutic applications, focusing on synergistic interactions and underlying biological mechanisms. A comprehensive search of PubMed, Google Scholar, Semantic Scholar, bioRxiv, and Europe PMC identified studies published from the 1960s through 2025. Eligible studies assessed biological responses to different radiation types applied either simultaneously or within 24 h, with minor exceptions. A total of 172 studies were included and categorized into radiobiological, therapeutic, and space radiation domains. Due to the predominance of mechanistic research, no formal risk-of-bias tool was applied; methodological limitations were assessed qualitatively. Findings were synthesized narratively by radiation type and domain. Synergistic and additive effects were frequently observed, with responses influenced by dose, sequence, radiation type, and DNA repair dynamics. Therapeutic combinations often enhanced efficacy, while space radiation studies revealed multifaceted biological damage. This review provides a consolidated reference for advancing research and applications involving combined radiation exposures, emphasizing the need for mechanistic insight and standardi</w:t>
      </w:r>
    </w:p>
    <w:p>
      <w:pPr/>
      <w:r>
        <w:rPr>
          <w:b/>
        </w:rPr>
        <w:t>POSSIBLE 2025:</w:t>
      </w:r>
      <w:r>
        <w:t xml:space="preserve"> HYDROGEN HAZARDS, RISKS, AND PROTECTION: AN IN-DEPTH REVIEW — https://doi.org/10.12709/mest.13.13.sp.02</w:t>
      </w:r>
    </w:p>
    <w:p>
      <w:pPr/>
      <w:r>
        <w:rPr>
          <w:b/>
        </w:rPr>
        <w:t>Shared claim-specific concepts:</w:t>
      </w:r>
      <w:r>
        <w:t xml:space="preserve"> reliable, hazards, power, grid; EU scope not established. This is a provisional connection, not an outcome finding.</w:t>
      </w:r>
    </w:p>
    <w:p>
      <w:pPr>
        <w:pStyle w:val="SourceNote"/>
      </w:pPr>
      <w:r>
        <w:rPr>
          <w:b/>
        </w:rPr>
        <w:t>Available abstract (not full text):</w:t>
      </w:r>
      <w:r>
        <w:t xml:space="preserve"> This paper delves into the significance of hydrogen as a clean energy source, focusing on its properties, production, storage, and distribution. The study highlights the general risks associated with hydrogen usage in various sectors, including hydrogen stations, vehicles, and industrial applications. It presents a comprehensive analysis of hydrogen hazards with safety measures, protocols, and regulations at international, national, and occupational levels. A key section of the paper examines several known hydrogen-related incidents, such as explosions and fires at various facilities and locations worldwide, from the BP Texas City Refinery explosion in 2005 to more recent incidents. Each case study provides an in-depth analysis and extracts valuable lessons learned to improve safety standards and protection measures. The paper explores the future of hydrogen and risk management, emphasizing the development of new technologies and innovative solutions for safer hydrogen use. That includes hydrogen fuel cells coupled with renewable energy sources like wind and solar power to ensure a reliable energy supply and enhance grid stability. By integrating hydrogen as an energy storage medium, the study addresses the intermittent nature of renewable energy sources, ultimately contributing to a more stable and flexible energy system. In conclusion, this paper underscores the importance of</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pStyle w:val="Heading2"/>
      </w:pPr>
      <w:r>
        <w:t>663.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Electricity consumption in the mining sector in Spain: Key factors for the energy transition and the supply of critical raw materials to Europe — https://doi.org/10.1007/s13563-025-00567-x</w:t>
      </w:r>
    </w:p>
    <w:p>
      <w:pPr/>
      <w:r>
        <w:rPr>
          <w:b/>
        </w:rPr>
        <w:t>Shared claim-specific concepts:</w:t>
      </w:r>
      <w:r>
        <w:t xml:space="preserve"> key, union, transition, total; EU scope visible. This is a provisional connection, not an outcome finding.</w:t>
      </w:r>
    </w:p>
    <w:p>
      <w:pPr>
        <w:pStyle w:val="SourceNote"/>
      </w:pPr>
      <w:r>
        <w:rPr>
          <w:b/>
        </w:rPr>
        <w:t>Available abstract (not full text):</w:t>
      </w:r>
      <w:r>
        <w:t xml:space="preserve"> Abstract This paper aims to identify the key factors driving changes in electricity consumption in the Spanish mining industry between 2005 and 2019, a period marked by two major structural shifts: the reactivation of the Iberian Pyrite Belt in 2009 and the progressive closure of coal mines beginning in 2015. Using the Logarithmic Mean Divisia Index (LMDI) method, the analysis disaggregates the effects by regions and by type of mineral product, allowing the identification of both drivers and inhibitors. The results highlight the intensity effect as the primary driver of increased electricity consumption, particularly for quarry products and metallic minerals. Additionally, the product structure effect reveals a significant shift toward strategic resources, especially metallic minerals, with metallic mining accounting for 35% of total production value in 2019. This structural transformation has led to a substantial rise in electricity demand, especially in open-pit operations, which are highly energy-intensive. Notably, Andalusia emerges as a strategic region, responsible for 92% of the national increase in mining electricity consumption, due to its concentration of critical mineral deposits essential for the European Union’s energy and digital transitions. In response to the associated energy and environmental challenges, the study recommends the adoption of advanced technologi</w:t>
      </w:r>
    </w:p>
    <w:p>
      <w:pPr/>
      <w:r>
        <w:rPr>
          <w:b/>
        </w:rPr>
        <w:t>POSSIBLE 2026:</w:t>
      </w:r>
      <w:r>
        <w:t xml:space="preserve"> Training for Operating Staff in Control Centres as One Key Factor for Operating Resilience — https://doi.org/10.2478/bhee-2026-0010</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Abstract In large interconnected power systems the operating conditions become more and more complex. The challenges for the operating staff in the responsible control centres are thereby steadily increasing both in grid and system operations: - The rising share of decentralised energy sources (DER) inverses the power flow between TSO and DSO and leads to extended coordination needs between control centres. - Inaccurate forecasts for decentralised infeed and loading challenge system balancing. - In highly loaded systems each unavailable device (e.g. for service) endangers the (n-1) security, and lead to the risk of cascading effects, system splits and blackouts. Control centre staff is one key factor in operating the power system in a safe and secure way, especially in critical situations. The staff has to be steadily aware of the system state in the entire system. Technical knowledge and communication skills of the operators are key factors as well as, coordinated operational concepts and procedures. In interconnected operation, like in the European Network for Transmission System Operators ENTSO-E (ENTSO-E) [1], multiple Transmission System Operators (TSO) are together responsible for coordination and safe operation. The paper outlines the actual situation and challenges in interconnected systems, and the conditions for secure operation are described, with focus on required s</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pStyle w:val="Heading2"/>
      </w:pPr>
      <w:r>
        <w:t>664.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665.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666.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degradation, security, health, water, food;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degradation, not, climate;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Environmental Rights and Article 2 of the ECHR: A Focus on Central and Eastern European Jurisprudence — https://doi.org/10.71009/2026.arek.hraep_7</w:t>
      </w:r>
    </w:p>
    <w:p>
      <w:pPr/>
      <w:r>
        <w:rPr>
          <w:b/>
        </w:rPr>
        <w:t>Shared claim-specific concepts:</w:t>
      </w:r>
      <w:r>
        <w:t xml:space="preserve"> degradation, environment, health, air, quality, water; EU scope visible. This is a provisional connection, not an outcome finding.</w:t>
      </w:r>
    </w:p>
    <w:p>
      <w:pPr>
        <w:pStyle w:val="SourceNote"/>
      </w:pPr>
      <w:r>
        <w:rPr>
          <w:b/>
        </w:rPr>
        <w:t>Available abstract (not full text):</w:t>
      </w:r>
      <w:r>
        <w:t xml:space="preserve"> Living in the 21st century means living in an era filled with new opportunities and novel challenges. This era has brought humanity economic development, industrial growth, and technological progress, resulting in overall improved well-being. However, this same progress is closely linked to harmful impacts on the human environment, such as daily exposure to harmful anthropogenic influences, soil and air pollution, water contamination and scarcity, resource depletion, deforesta-tion, loss of biodiversity, and other natural and human-made risks exacerbated by climate change and industrial expansion. People are particularly vulnerable in urban and industrial zones, where the living environment becomes unnatural and unsuitable for humans as biological beings. While the right to life as a fundamental principle in human rights law was traditionally understood as protection against arbitrary deprivation of life, in the contemporary context, this right has evolved and encompasses not only the protection of existence in a physical sense but also the quality under which life is lived. Therefore, it is crucial that each state, at both the national and international levels, creates legislative and enforcement systems that allow individuals to benefit from the economic advancements of the 21st century while also being protected from the various factors contributing to environmental pollutio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pStyle w:val="Heading2"/>
      </w:pPr>
      <w:r>
        <w:t>667.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2025:</w:t>
      </w:r>
      <w:r>
        <w:t xml:space="preserve"> Feeling responsible for reducing climate change: a multi-level European study on the role of religion and state — https://doi.org/10.1080/23251042.2025.2512606</w:t>
      </w:r>
    </w:p>
    <w:p>
      <w:pPr/>
      <w:r>
        <w:rPr>
          <w:b/>
        </w:rPr>
        <w:t>Shared claim-specific concepts:</w:t>
      </w:r>
      <w:r>
        <w:t xml:space="preserve"> level, well, compared; EU scope visible. This is a provisional connection, not an outcome finding.</w:t>
      </w:r>
    </w:p>
    <w:p>
      <w:pPr>
        <w:pStyle w:val="SourceNote"/>
      </w:pPr>
      <w:r>
        <w:rPr>
          <w:b/>
        </w:rPr>
        <w:t>Available abstract (not full text):</w:t>
      </w:r>
      <w:r>
        <w:t xml:space="preserve"> Feelings of being responsible for reducing climate change can stimulate climate action. These feelings may depend on the broader cultural (e.g. religious) and social context (e.g. social and environmental welfare expenditure) in which one lives, as well as on individual beliefs and attitudes, such as religiosity, religion and welfare attitudes. This study analyses data from the European Social Survey Round 8 to gain a better understanding of how contextual and individual factors relate to feelings of responsibility toward climate change reduction across European countries. Our findings highlight the association of religions with feelings of responsibility, with Muslims and non-religious people feeling more responsible compared to Christians. Only non-religious people feel more responsible to reduce climate change when expenditures for environmental protection increase. Furthermore, the religious context and individual level of religiosity were found to not affect feelings of responsibility. More positive welfare attitudes were shown to result in greater feelings of responsibility to reduce climate change. The nature of state expenditure (social vs. environmental protection) were found to have an effect.</w:t>
      </w:r>
    </w:p>
    <w:p>
      <w:pPr/>
      <w:r>
        <w:rPr>
          <w:b/>
        </w:rPr>
        <w:t>POSSIBLE 2025:</w:t>
      </w:r>
      <w:r>
        <w:t xml:space="preserve"> The ecological life of eco-villages — https://doi.org/10.5281/zenodo.18226524</w:t>
      </w:r>
    </w:p>
    <w:p>
      <w:pPr/>
      <w:r>
        <w:rPr>
          <w:b/>
        </w:rPr>
        <w:t>Shared claim-specific concepts:</w:t>
      </w:r>
      <w:r>
        <w:t xml:space="preserve"> consumption, aspects, footprint; EU scope not established. This is a provisional connection, not an outcome finding.</w:t>
      </w:r>
    </w:p>
    <w:p>
      <w:pPr>
        <w:pStyle w:val="SourceNote"/>
      </w:pPr>
      <w:r>
        <w:rPr>
          <w:b/>
        </w:rPr>
        <w:t>Available abstract (not full text):</w:t>
      </w:r>
      <w:r>
        <w:t xml:space="preserve"> Eco-villages are practical examples of sustainable living. These communities reduce their carbon footprint by using renewable energy and minimize environmental pollution through waste management and recycling systems. They revitalize local ecosystems by employing organic farming, permaculture, and agroforestry methods to preserve biodiversity. Socially, they foster strong social bonds and solidarity through collaborative decision-making processes and participatory governance models. Education and knowledge sharing are fundamental missions of eco-villages, and these communities serve as educational centers to disseminate sustainable living practices. Economically, they enhance resilience by promoting local production and consumption, and generate income through social enterprises. The challenges they face present opportunities for innovation and advocacy. In conclusion, eco-villages are beacons of hope in building a sustainable and harmonious world. Eco-villages represent a holistic approach to living in harmony with nature while fostering community resilience and well-being. By integrating ecological, social, and economic principles, they offer a blueprint for sustainable development that can be adapted and scaled to various contexts around the globe. One of the key aspects of eco-villages is their emphasis on self-sufficiency and local resilience. By producing their own food t</w:t>
      </w:r>
    </w:p>
    <w:p>
      <w:pPr/>
      <w:r>
        <w:rPr>
          <w:b/>
        </w:rPr>
        <w:t>POSSIBLE 2025:</w:t>
      </w:r>
      <w:r>
        <w:t xml:space="preserve"> The Accelerating Exposure of European Protected Areas to Climate Change — https://doi.org/10.1111/gcb.70261</w:t>
      </w:r>
    </w:p>
    <w:p>
      <w:pPr/>
      <w:r>
        <w:rPr>
          <w:b/>
        </w:rPr>
        <w:t>Shared claim-specific concepts:</w:t>
      </w:r>
      <w:r>
        <w:t xml:space="preserve"> level, all, estimate;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pStyle w:val="Heading2"/>
      </w:pPr>
      <w:r>
        <w:t>668.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2026:</w:t>
      </w:r>
      <w:r>
        <w:t xml:space="preserve"> Horizon scanning data for the future of outdoor recreation on public lands — https://doi.org/10.3886/e248960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Horizon scanning involves searching both within and outside a topic or field of interest for signals of change. It is fundamental to strategic foresight projects and works by gathering “scan hits”: signals of potential change. Some scan hits are weak signals of change, others are strong signals; both are important to consider. This data publication includes a subset of recreation-related scan hits from the Forest Futures Horizon Scanning Project database. While the data indicate potential changes globally, the focus was changes that could have an impact on U.S. public lands over the next 30 years. The resulting data include the title and original URL (when live at time of publication) for the scan hits relevant to outdoor recreation, the tag which denotes the horizon and content tags used in the horizon scanning, and then an indication of which categories (activities, ecology related, place related, recreation management related, social related, technology related, and economy) and sub-categories the particular scan hit was coded to.</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IOATLAS: scanning across the medical horizon — https://doi.org/10.1017/s0266462325100469</w:t>
      </w:r>
    </w:p>
    <w:p>
      <w:pPr/>
      <w:r>
        <w:rPr>
          <w:b/>
        </w:rPr>
        <w:t>Shared claim-specific concepts:</w:t>
      </w:r>
      <w:r>
        <w:t xml:space="preserve"> two, time, horizons; EU scope not established. This is a provisional connection, not an outcome finding.</w:t>
      </w:r>
    </w:p>
    <w:p>
      <w:pPr>
        <w:pStyle w:val="SourceNote"/>
      </w:pPr>
      <w:r>
        <w:rPr>
          <w:b/>
        </w:rPr>
        <w:t>Available abstract (not full text):</w:t>
      </w:r>
      <w:r>
        <w:t xml:space="preserve"> INTRODUCTION: Horizon scanning (HS) is a methodology that aims to capture signals and trends that highlight future opportunities and challenges. The National Institute for Health and Care Research (NIHR) Innovation Observatory routinely scans for medical technologies and therapeutics to inform policy and practice for healthcare in the United Kingdom (UK). To date, there is no standardized terminology for horizon scanning in healthcare. Here, we discuss the development of a data glossary and the IOAtlas web app. METHODS: We extracted data points from 4 years' worth of NIHR Innovation Observatory HS projects and collated them by technology type and descriptive family. A source repository was established by extracting a list of all sources used in NIHR Innovation Observatory briefing notes between 2017 and 2021. The repository was validated by external HS organizations and experts, and sources were then mapped to the appropriate time horizons. The glossary and repository were converted to an SQLite database format and connected to a free web app, IOAtlas. RESULTS: After de-duplication and consolidation, a total of 148 data points were included in the glossary. The source repository consists of 149 sources, with 99 percent being compliant with searching for two or more technology types. The final SQLite database contained 35 tables with 36 relationships. CONCLUSIONS: We present a d</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2024:</w:t>
      </w:r>
      <w:r>
        <w:t xml:space="preserve"> Foresight: Fifty Years to Think Your Futures — https://doi.org/10.1007/978-3-031-66100-6_4</w:t>
      </w:r>
    </w:p>
    <w:p>
      <w:pPr/>
      <w:r>
        <w:rPr>
          <w:b/>
        </w:rPr>
        <w:t>Shared claim-specific concepts:</w:t>
      </w:r>
      <w:r>
        <w:t xml:space="preserve"> foresight, two, time;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pStyle w:val="Heading2"/>
      </w:pPr>
      <w:r>
        <w:t>669.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2026:</w:t>
      </w:r>
      <w:r>
        <w:t xml:space="preserve"> Alternative Tourism Opportunities: Analysis of the Potential of Business Tourism in Azerbaijan — https://doi.org/10.58768/joinntt.1931077</w:t>
      </w:r>
    </w:p>
    <w:p>
      <w:pPr/>
      <w:r>
        <w:rPr>
          <w:b/>
        </w:rPr>
        <w:t>Shared claim-specific concepts:</w:t>
      </w:r>
      <w:r>
        <w:t xml:space="preserve"> tourism, sector, among; EU scope not established. This is a provisional connection, not an outcome finding.</w:t>
      </w:r>
    </w:p>
    <w:p>
      <w:pPr>
        <w:pStyle w:val="SourceNote"/>
      </w:pPr>
      <w:r>
        <w:rPr>
          <w:b/>
        </w:rPr>
        <w:t>Available abstract (not full text):</w:t>
      </w:r>
      <w:r>
        <w:t xml:space="preserve"> In an increasingly globalized world, the tourism sector plays a strategic role in national economic development, while alternative forms of tourism have gained growing prominence beyond conventional leisure travel. Among these, business tourism stands out as a significant segment offering destinations a competitive advantage through its high revenue potential and positive contribution to destination image. The successful hosting of large-scale international events in Azerbaijan — including COP29, Formula 1, and the CIS Games — demonstrates the countrys considerable business tourism potential. Azerbaijans strategic position at the East–West transport corridor intersection, developing MICE infrastructure, and accumulated event experience establish it as an emerging regional destination and form the primary focus of this study. The limited number of comprehensive, strategy-oriented studies addressing Azerbaijans business tourism potential constitutes the principal motivation for this research. This study examines business tourism through the dimensions of economic and environmental sustainability and destination competitiveness — encompassing infrastructure, human capital, and event experience — employing an integrated SWOT–TOWS framework that moves beyond situational description to enable actionable strategy generation, thereby constituting the studys original contribution. Withi</w:t>
      </w:r>
    </w:p>
    <w:p>
      <w:pPr>
        <w:pStyle w:val="Heading2"/>
      </w:pPr>
      <w:r>
        <w:t>670.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2026:</w:t>
      </w:r>
      <w:r>
        <w:t xml:space="preserve"> The economic sustainability of farmers’ markets in Europe — https://doi.org/10.1007/s43621-026-04012-z</w:t>
      </w:r>
    </w:p>
    <w:p>
      <w:pPr/>
      <w:r>
        <w:rPr>
          <w:b/>
        </w:rPr>
        <w:t>Shared claim-specific concepts:</w:t>
      </w:r>
      <w:r>
        <w:t xml:space="preserve"> contribute, not;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pStyle w:val="Heading2"/>
      </w:pPr>
      <w:r>
        <w:t>671.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2026:</w:t>
      </w:r>
      <w:r>
        <w:t xml:space="preserve"> Equity-centered dietary transitions: food-related GHG emissions and climate target alignment — https://doi.org/10.1088/1748-9326/ae9563</w:t>
      </w:r>
    </w:p>
    <w:p>
      <w:pPr/>
      <w:r>
        <w:rPr>
          <w:b/>
        </w:rPr>
        <w:t>Shared claim-specific concepts:</w:t>
      </w:r>
      <w:r>
        <w:t xml:space="preserve"> ghg, emissions, reduction, cumulative, based, climate; EU scope not established. This is a provisional connection, not an outcome finding.</w:t>
      </w:r>
    </w:p>
    <w:p>
      <w:pPr>
        <w:pStyle w:val="SourceNote"/>
      </w:pPr>
      <w:r>
        <w:rPr>
          <w:b/>
        </w:rPr>
        <w:t>Available abstract (not full text):</w:t>
      </w:r>
      <w:r>
        <w:t xml:space="preserve"> Abstract Global dietary transitions confront the dual challenge of reconciling nutrition equity with environmental sustainability. This study evaluates three equity-centered dietary transitions scenarios grounded in country-specific dietary recommendations across 181 countries: CP (current patterns), LP (low-emission substitutions, e.g. poultry replacing ruminants), and HP (high-emission alternatives), to quantify emission dynamics and assess alignment with Paris Agreement temperature targets. Business-as-usual trends (BAU) result in cumulative food-related emissions of 1768 Gt CO 2 e between 2020 and 2100. While CP reduces this to 1411 Gt CO 2 e, achieving only marginal alignment with the 2 °C limit, LP achieves a 37% reduction to 1113 Gt CO 2 e, ensuring robust compatibility with the 2 °C target. In contrast, HP emissions surpass even BAU levels. Central to the LP pathway, we propose an equity-centered allocation framework that differentiates mitigation obligations and emission allowances based on deviations from national dietary guidelines. Countries with excessive intakes, particularly of animal-source foods, are thus assigned stringent obligations (e.g. USA: 58.85 Gt CO 2 e; China: 131.10 Gt CO 2 e). Conversely, those with inadequate nutritional intake are allocated safeguarded allowances (e.g. Nigeria: 25.63 Gt CO 2 e; Ethiopia: 24.94 Gt CO 2 e), scaled to population size</w:t>
      </w:r>
    </w:p>
    <w:p>
      <w:pPr>
        <w:pStyle w:val="Heading2"/>
      </w:pPr>
      <w:r>
        <w:t>672.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2026:</w:t>
      </w:r>
      <w:r>
        <w:t xml:space="preserve"> European Workers Job Perceptions Survey — https://doi.org/10.17605/osf.io/dswb6</w:t>
      </w:r>
    </w:p>
    <w:p>
      <w:pPr/>
      <w:r>
        <w:rPr>
          <w:b/>
        </w:rPr>
        <w:t>Shared claim-specific concepts:</w:t>
      </w:r>
      <w:r>
        <w:t xml:space="preserve"> aim, understand, respondents, among; EU scope visible. This is a provisional connection, not an outcome finding.</w:t>
      </w:r>
    </w:p>
    <w:p>
      <w:pPr>
        <w:pStyle w:val="SourceNote"/>
      </w:pPr>
      <w:r>
        <w:rPr>
          <w:b/>
        </w:rPr>
        <w:t>Available abstract (not full text):</w:t>
      </w:r>
      <w:r>
        <w:t xml:space="preserve"> Public health organizations in Denmark and most OECD countries face an urgent demand for nursing staff. However, existing research does not yet offer a systematic understanding of how to attract talent to public healthcare organizations from the international labor markets. This pre-registration focuses on a survey to be conducted among European workers (N=1,800) that aims to understand how varying a job advertisement changes perception of a job. The recruitment messages to be used in this survey come from a prior field experiment pre-registered on January 20th 2025 (https://osf.io/sv5qc). In this follow-up mechanistic survey we aim to understand why a particular treatment underperformed, by examining how survey respondents interpret recruitment messages emphasizing factors that either underperformed or outperformed in the field experiment.</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r>
        <w:rPr>
          <w:b/>
        </w:rPr>
        <w:t>POSSIBLE 2025:</w:t>
      </w:r>
      <w:r>
        <w:t xml:space="preserve"> EUROPEAN CONSTRUCTION BETWEEN THE IDEA OF A UNITED EUROPE AND THE IDEA OF A UNITARY EUROPE.FROM THE IDEAS OF THE FOUNDING FATHERS TO THE CREATION OFTHE EUROPEAN COAL AND STEEL COMMUNITY, THE EUROPEAN ECONOMIC COMMUNITY AND THE EUROPEAN ATOMIC ENERGY COMMUNITY. — https://openalex.org/W7220638652</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2025:</w:t>
      </w:r>
      <w:r>
        <w:t xml:space="preserve"> COVID-19 Vaccine Distribution Patterns for Prioritized Age Group: Analysis of European Nations — https://doi.org/10.4236/ojepi.2025.151001</w:t>
      </w:r>
    </w:p>
    <w:p>
      <w:pPr/>
      <w:r>
        <w:rPr>
          <w:b/>
        </w:rPr>
        <w:t>Shared claim-specific concepts:</w:t>
      </w:r>
      <w:r>
        <w:t xml:space="preserve"> understand, several, among; EU scope visible. This is a provisional connection, not an outcome finding.</w:t>
      </w:r>
    </w:p>
    <w:p>
      <w:pPr>
        <w:pStyle w:val="SourceNote"/>
      </w:pPr>
      <w:r>
        <w:rPr>
          <w:b/>
        </w:rPr>
        <w:t>Available abstract (not full text):</w:t>
      </w:r>
      <w:r>
        <w:t xml:space="preserve"> The emergence of the SARS-CoV-2 virus resulted in a health and economic crisis worldwide. Although everyone is susceptible to COVID-19, the elderly have compromised immune systems and often suffer from chronic underlying diseases, which makes them more vulnerable. This study aims to assess variation in COVID-19 vaccine distribution patterns across different age groups in European countries and to understand the extent to which European countries have prioritized vulnerable age groups (age &gt; 70) in their vaccination programs. The study utilized open data from the European Center for Disease Prevention and Control (ECDC) and employed an observational, retrospective study design to examine the distribution of the COVID-19 vaccine among various age groups in several European countries from September 2021 to September 2023. Results reveal that vaccination rates increase with age, peaking at the 25 - 49 age group (1.34 × 10−4), after which there was a decline in vaccination rate. Analysis of variance (ANOVA) was used to investigate the equality of vaccination rates across the 29 countries in Europe, which resulted in a p-value of 70) during the study period as no country achieved the 70% coverage aimed by WHO. Continuous efforts must be made to ensure larger coverage of COVID-19 vaccination among this vulnerable population in order to protect them from severe outcomes in this region.</w:t>
      </w:r>
    </w:p>
    <w:p>
      <w:pPr/>
      <w:r>
        <w:rPr>
          <w:b/>
        </w:rPr>
        <w:t>POSSIBLE 2025:</w:t>
      </w:r>
      <w:r>
        <w:t xml:space="preserve"> EUROPEAN CONSTRUCTION BETWEEN THE IDEA OF A UNITED EUROPE — https://doi.org/10.61846/cuji-ssh.2025.2.06</w:t>
      </w:r>
    </w:p>
    <w:p>
      <w:pPr/>
      <w:r>
        <w:rPr>
          <w:b/>
        </w:rPr>
        <w:t>Shared claim-specific concepts:</w:t>
      </w:r>
      <w:r>
        <w:t xml:space="preserve"> understand, preferences, several, achieving, among;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pStyle w:val="Heading2"/>
      </w:pPr>
      <w:r>
        <w:t>673.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What are the Policy Drivers to Undertake Green Retrofitting Investments? The Role of Tax Incentives and Communication in Italian Households’ Decision-Making — https://doi.org/10.1007/s40797-024-00283-5</w:t>
      </w:r>
    </w:p>
    <w:p>
      <w:pPr/>
      <w:r>
        <w:rPr>
          <w:b/>
        </w:rPr>
        <w:t>Shared claim-specific concepts:</w:t>
      </w:r>
      <w:r>
        <w:t xml:space="preserve"> explores, energy, high; EU scope visible. This is a provisional connection, not an outcome finding.</w:t>
      </w:r>
    </w:p>
    <w:p>
      <w:pPr>
        <w:pStyle w:val="SourceNote"/>
      </w:pPr>
      <w:r>
        <w:rPr>
          <w:b/>
        </w:rPr>
        <w:t>Available abstract (not full text):</w:t>
      </w:r>
      <w:r>
        <w:t xml:space="preserve"> Abstract This paper explores households’ decision-making process to undertake green retrofitting investments, with the aim to identify the key behavioural drivers to adoption. We developed a discrete choice experiment survey and collected data from a sample of 434 individuals to explore the influence of monetary and non-monetary incentives on energy saving investment choices, focusing on the case of Italy, where a tax relief scheme (the so-called Superbonus) was introduced in 2020 to encourage green retrofitting investments. Our results show that the level of savings on energy bills, the environmental sustainability of the intervention and the comfort achieved all similarly contribute to adopt energy saving measures. Tax incentives, differently, were found to be less important drivers, except for those respondents who have a high level of green retrofitting cognition, suggesting a pivotal role of education and knowledge in driving choices. Our findings also indicate that communication matters: we show that green retrofitting decisions are influenced by the non-technical communication of the environmental benefits, while the use of technical expressions is found to be ineffective. These results are relevant to guide more efficient policy design and point to the need to combine targeted tax interventions with communication to encourage the uptake of energy saving measures.</w:t>
      </w:r>
    </w:p>
    <w:p>
      <w:pPr/>
      <w:r>
        <w:rPr>
          <w:b/>
        </w:rPr>
        <w:t>POSSIBLE 2024:</w:t>
      </w:r>
      <w:r>
        <w:t xml:space="preserve"> A Multicriteria Decision Analysis Model for Optimal Land Uses: Guiding Farmers under the New European Union’s Common Agricultural Policy (2023–2027) — https://doi.org/10.3390/land13060788</w:t>
      </w:r>
    </w:p>
    <w:p>
      <w:pPr/>
      <w:r>
        <w:rPr>
          <w:b/>
        </w:rPr>
        <w:t>Shared claim-specific concepts:</w:t>
      </w:r>
      <w:r>
        <w:t xml:space="preserve"> therefore, optimal, high; EU scope visible. This is a provisional connection, not an outcome finding.</w:t>
      </w:r>
    </w:p>
    <w:p>
      <w:pPr>
        <w:pStyle w:val="SourceNote"/>
      </w:pPr>
      <w:r>
        <w:rPr>
          <w:b/>
        </w:rPr>
        <w:t>Available abstract (not full text):</w:t>
      </w:r>
      <w:r>
        <w:t xml:space="preserve"> Focusing on sustainability, the new Common Agricultural Policy (2023–2027) sets ambitious goals for water management, as reducing irrigation water use is a vital issue. Cooperation among farmers, relevant authorities, and researchers plays a significant role in achieving these objectives. Therefore, this study applies a multicriteria mathematical programming model to optimize land use, considering water use, profit, labor, and cost. The model was applied to three farmer groups located in Greece and proved to be valuable in the implementation of irrigation water use. Using the same methodology, two additional cases of farmer groups that utilize drylands are presented in complementary ways to investigate how the new CAP affects non-irrigated land uses. Regarding the irrigated case, reducing water usage involves decreasing the land dedicated to crops characterized by high water demand, such as rice, corn, vetch, and clover. This adjustment stems from the necessity to replace irrigated land with non-irrigated land because climate change demands low water consumption for crops and underscores the importance of the new policy framework to promote sustainable agriculture. As for the non-irrigated case, achieving optimal farm planning entails reducing the cultivated areas of vetch, grassland, and sunflower. This result is driven by the need to increase crops receiving primary subsidies</w:t>
      </w:r>
    </w:p>
    <w:p>
      <w:pPr/>
      <w:r>
        <w:rPr>
          <w:b/>
        </w:rPr>
        <w:t>POSSIBLE 2024:</w:t>
      </w:r>
      <w:r>
        <w:t xml:space="preserve"> Predicting the spatio‐temporal dynamics of biological invasions: Have rapid responses in Europe limited the spread of the yellow‐legged hornet ( Vespa velutina nigrithorax )? — https://doi.org/10.1111/1365-2664.14829</w:t>
      </w:r>
    </w:p>
    <w:p>
      <w:pPr/>
      <w:r>
        <w:rPr>
          <w:b/>
        </w:rPr>
        <w:t>Shared claim-specific concepts:</w:t>
      </w:r>
      <w:r>
        <w:t xml:space="preserve"> approach, high; EU scope visible. This is a provisional connection, not an outcome finding.</w:t>
      </w:r>
    </w:p>
    <w:p>
      <w:pPr>
        <w:pStyle w:val="SourceNote"/>
      </w:pPr>
      <w:r>
        <w:rPr>
          <w:b/>
        </w:rPr>
        <w:t>Available abstract (not full text):</w:t>
      </w:r>
      <w:r>
        <w:t xml:space="preserve"> Abstract Invasive alien species can have severe impacts on biodiversity, economies, and well‐being and their long‐term management can involve massive costs. There is an increasing policy imperative to determine whether the management of biological invasions is effective, particularly at biological invasion fronts, but this can often be difficult to determine without extensive data collection. Furthermore, risk assessment frameworks are often used to guide decision‐making and management, but these can be hampered by a lack of information about the extent and dynamics of a biological invasion following an introduction within a new region. Incorporating information on the dynamics of biological invasions into these frameworks could provide useful information for decision‐makers including a baseline for evaluating ongoing management approaches. Here, we outline a generalisable mechanistic species distribution modelling framework that is informed by patterns of spread observed in other invaded regions and can provide a relatively rapid assessment of the likely spatial and temporal dynamics of a biological invasion in the absence of interventions. To demonstrate this approach, we consider the effectiveness of rapid eradications carried out in four European countries to prevent the spread of the yellow‐legged hornet ( Vespa velutina nigrithorax ) following the implementation of Regula</w:t>
      </w:r>
    </w:p>
    <w:p>
      <w:pPr>
        <w:pStyle w:val="Heading2"/>
      </w:pPr>
      <w:r>
        <w:t>674.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2026:</w:t>
      </w:r>
      <w:r>
        <w:t xml:space="preserve"> Prevalence of Smith–Lemli–Opitz Syndrome Carriers and the Spectrum of DHCR7 Pathogenic Variants in Representative Czech and Hungarian Population Cohorts — https://doi.org/10.3390/genes17020164</w:t>
      </w:r>
    </w:p>
    <w:p>
      <w:pPr/>
      <w:r>
        <w:rPr>
          <w:b/>
        </w:rPr>
        <w:t>Shared claim-specific concepts:</w:t>
      </w:r>
      <w:r>
        <w:t xml:space="preserve"> hungarian, current, likely, terms, among; EU scope visible. This is a provisional connection, not an outcome finding.</w:t>
      </w:r>
    </w:p>
    <w:p>
      <w:pPr>
        <w:pStyle w:val="SourceNote"/>
      </w:pPr>
      <w:r>
        <w:rPr>
          <w:b/>
        </w:rPr>
        <w:t>Available abstract (not full text):</w:t>
      </w:r>
      <w:r>
        <w:t xml:space="preserve"> Background: Smith–Lemli–Opitz syndrome (SLOS) is an inborn error of cholesterol biosynthesis, caused by biallelic mutations in the DHCR7 gene. Genotype–phenotype correlations regarding DHCR7 variants could explain the variation in severity, ranging from in utero demise or severe SLOS to a mild phenotype. Clinical recognition can be challenging. This study aimed to determine the frequency of SLOS carriers in the Central European population, as well as the mutational spectrum of DHCR7 in these carriers. Methods: A retrospective analysis of DHCR7 variants was conducted using next-generation sequencing data from 55,289 individuals in Czech and Hungarian genetic laboratories. Results: The SLOS carrier frequency and the mutational spectrum of the DHCR7 gene in its carriers were established in the Czech and Hungarian sub-cohorts. In the combined dataset, we identified causative DHCR7 variants on 1567 alleles among 55,289 tested individuals, contributing to an SLOS carrier frequency of 2.83%. Of the 31 DHCR7 variants detected, the c.452G&gt;A variant was the most prevalent, accounting for 1.8% of all detected alleles in our cohorts. In contrast, the c.964-1G&gt;C variant was more frequent in non-Finnish Europeans, as indicated by the gnomAD 4.1.0 database. The DHCR7 mutational spectra of patients and carriers were comparable in terms of the most common variants. Conclusions: The high SLOS ca</w:t>
      </w:r>
    </w:p>
    <w:p>
      <w:pPr/>
      <w:r>
        <w:rPr>
          <w:b/>
        </w:rPr>
        <w:t>POSSIBLE 2026:</w:t>
      </w:r>
      <w:r>
        <w:t xml:space="preserve"> The European Union’s Sanction Policy – Challenges and Opportunities of the 2024 Hungarian EU Presidency — https://doi.org/10.36250/01303_77</w:t>
      </w:r>
    </w:p>
    <w:p>
      <w:pPr/>
      <w:r>
        <w:rPr>
          <w:b/>
        </w:rPr>
        <w:t>Shared claim-specific concepts:</w:t>
      </w:r>
      <w:r>
        <w:t xml:space="preserve"> hungarian, challenges, opportunities; EU scope visible. This is a provisional connection, not an outcome finding.</w:t>
      </w:r>
    </w:p>
    <w:p>
      <w:pPr>
        <w:pStyle w:val="SourceNote"/>
      </w:pPr>
      <w:r>
        <w:rPr>
          <w:b/>
        </w:rPr>
        <w:t>Available abstract (not full text):</w:t>
      </w:r>
      <w:r>
        <w:t xml:space="preserve"> The European</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pStyle w:val="Heading2"/>
      </w:pPr>
      <w:r>
        <w:t>675.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2026:</w:t>
      </w:r>
      <w:r>
        <w:t xml:space="preserve"> Global Uncertainty and Tail Risk in Indonesia’s Islamic and Conventional Equity Markets — https://doi.org/10.25077/amar.10.1.121-142.2026</w:t>
      </w:r>
    </w:p>
    <w:p>
      <w:pPr/>
      <w:r>
        <w:rPr>
          <w:b/>
        </w:rPr>
        <w:t>Shared claim-specific concepts:</w:t>
      </w:r>
      <w:r>
        <w:t xml:space="preserve"> uncertainty, index; EU scope not established. This is a provisional connection, not an outcome finding.</w:t>
      </w:r>
    </w:p>
    <w:p>
      <w:pPr>
        <w:pStyle w:val="SourceNote"/>
      </w:pPr>
      <w:r>
        <w:rPr>
          <w:b/>
        </w:rPr>
        <w:t>Available abstract (not full text):</w:t>
      </w:r>
      <w:r>
        <w:t xml:space="preserve"> Is the Indonesian Islamic stock market more resilient to extreme risks compared to conventional markets when global uncertainty increases? Using daily data from the Jakarta Islamic Index (JKII) and the Jakarta Stock Exchange Composite Index (JKSE), we integrate the GARCH–EVT approach, quantile regression, and Expected Shortfall (ES) regression to simultaneously investigate the distribution structure and transmission of global uncertainty shocks. We decompose extreme risk into two main components—the structural thickness of the tail distribution and the realized conditional loss due to volatility dynamics—and show that these two dimensions can lead to different conclusions. Our results indicate that the conventional market has a thicker tail distribution, indicating a higher probability of extreme events. However, after accounting for conditional volatility, the Islamic market exhibits slightly larger average extreme losses. On the other hand, no significant difference is found in sensitivity to global uncertainty between the two markets. Our findings suggest that the difference between Islamic and conventional markets lies in the structure of extreme risk formation, not in the shock transmission mechanism. Our study contributes by demonstrating that tail risk should be understood as the result of the interaction between the distribution of extremes and volatility dynamics in th</w:t>
      </w:r>
    </w:p>
    <w:p>
      <w:pPr/>
      <w:r>
        <w:rPr>
          <w:b/>
        </w:rPr>
        <w:t>POSSIBLE 2026:</w:t>
      </w:r>
      <w:r>
        <w:t xml:space="preserve"> Global Uncertainty in Moderating Macroeconomics on Banking Stability in Islamic Commercial Banks in Indonesia — https://doi.org/10.22515/jfib.v8i2.13117</w:t>
      </w:r>
    </w:p>
    <w:p>
      <w:pPr/>
      <w:r>
        <w:rPr>
          <w:b/>
        </w:rPr>
        <w:t>Shared claim-specific concepts:</w:t>
      </w:r>
      <w:r>
        <w:t xml:space="preserve"> uncertainty, index, effect; EU scope not established. This is a provisional connection, not an outcome finding.</w:t>
      </w:r>
    </w:p>
    <w:p>
      <w:pPr>
        <w:pStyle w:val="SourceNote"/>
      </w:pPr>
      <w:r>
        <w:rPr>
          <w:b/>
        </w:rPr>
        <w:t>Available abstract (not full text):</w:t>
      </w:r>
      <w:r>
        <w:t xml:space="preserve"> Purpose: This study analyzes the role of the World Uncertainty Index (WUI) in moderating the influence of macroeconomic conditions namely GDP, inflation, and exchange rate on the stability of Islamic banking in Indonesia during 2015 Q1 – 2024 Q4. Method: A quantitative approach was used through multiple linear regression and Moderated Regression Analysis with 40 quarterly data from the Financial Services Authority, Trading Economics, and FRED. Stability was measured using Z scores. Results: Gross Domestic Product and inflation have a significant positive effect on stability with coefficients of β = 0.704421 and β = 0.191898, respectively. The exchange rate is not significant. The World Uncertainty Index has a significant negative effect with β = 18.74672. As a moderator, the World Uncertainty Index strengthens the effect of Gross Domestic Product and exchange rate and weakens the effect of inflation. The R-squared value of 0.771887 indicates a strong explanatory power of the model. Implications: The results of the study emphasize the need for adaptive macroprudential policies to maintain the stability of Islamic banking amid increasing global uncertainty. Originality: This study contributes by including global uncertainty as a moderating variable, thereby broadening the understanding of the determinants of Islamic banking stability.</w:t>
      </w:r>
    </w:p>
    <w:p>
      <w:pPr/>
      <w:r>
        <w:rPr>
          <w:b/>
        </w:rPr>
        <w:t>POSSIBLE 2026:</w:t>
      </w:r>
      <w:r>
        <w:t xml:space="preserve"> Economic Integration in MENA: The Global, Regional, and Subregional Integration Indices and Their Dynamic Interactions — https://doi.org/10.11130/jei.2025026</w:t>
      </w:r>
    </w:p>
    <w:p>
      <w:pPr/>
      <w:r>
        <w:rPr>
          <w:b/>
        </w:rPr>
        <w:t>Shared claim-specific concepts:</w:t>
      </w:r>
      <w:r>
        <w:t xml:space="preserve"> index, level; EU scope visible. This is a provisional connection, not an outcome finding.</w:t>
      </w:r>
    </w:p>
    <w:p>
      <w:pPr>
        <w:pStyle w:val="SourceNote"/>
      </w:pPr>
      <w:r>
        <w:rPr>
          <w:b/>
        </w:rPr>
        <w:t>Available abstract (not full text):</w:t>
      </w:r>
      <w:r>
        <w:t xml:space="preserve"> A new index derived from the gravity model is proposed to measure global, regional, and subregional economic integration. Different intertwined relationships between these three levels of integration are found in Europe, America, Asia, and MENA, with the latter having a distinctive dumbbell integration pattern-strong in the upper global and lower subregional levels but weak in the middle regional level. The panel data cointegration approach finds that different types of integration are complements but not substitutes. Regional integration has the strongest positive externality in fostering the other types of integration. Promoting regionalization is the most efficient policy option.</w:t>
      </w:r>
    </w:p>
    <w:p>
      <w:pPr/>
      <w:r>
        <w:rPr>
          <w:b/>
        </w:rPr>
        <w:t>POSSIBLE 2026:</w:t>
      </w:r>
      <w:r>
        <w:t xml:space="preserve"> Compounding hazards increase flood economic losses across Europe — https://doi.org/10.1038/s41467-026-73248-0</w:t>
      </w:r>
    </w:p>
    <w:p>
      <w:pPr/>
      <w:r>
        <w:rPr>
          <w:b/>
        </w:rPr>
        <w:t>Shared claim-specific concepts:</w:t>
      </w:r>
      <w:r>
        <w:t xml:space="preserve"> find, effect;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Energy policy and economic security: a comparison of Europe and Asia — https://doi.org/10.33223/epj/207199</w:t>
      </w:r>
    </w:p>
    <w:p>
      <w:pPr/>
      <w:r>
        <w:rPr>
          <w:b/>
        </w:rPr>
        <w:t>Shared claim-specific concepts:</w:t>
      </w:r>
      <w:r>
        <w:t xml:space="preserve"> france, measures;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find, industrial;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pStyle w:val="Heading2"/>
      </w:pPr>
      <w:r>
        <w:t>676.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2026:</w:t>
      </w:r>
      <w:r>
        <w:t xml:space="preserve"> Mapping Research Trends on the Ageing Workforce and Economic Performance in Europe: A Bibliometric Analysis — https://doi.org/10.14254/1800-5845/2026.22-4.20</w:t>
      </w:r>
    </w:p>
    <w:p>
      <w:pPr/>
      <w:r>
        <w:rPr>
          <w:b/>
        </w:rPr>
        <w:t>Shared claim-specific concepts:</w:t>
      </w:r>
      <w:r>
        <w:t xml:space="preserve"> both, influence; EU scope visible. This is a provisional connection, not an outcome finding.</w:t>
      </w:r>
    </w:p>
    <w:p>
      <w:pPr>
        <w:pStyle w:val="SourceNote"/>
      </w:pPr>
      <w:r>
        <w:rPr>
          <w:b/>
        </w:rPr>
        <w:t>Available abstract (not full text):</w:t>
      </w:r>
      <w:r>
        <w:t xml:space="preserve"> Population ageing is one of the most significant demographic transformations in contemporary Europe, with major implications for labour markets, productivity, pension systems, and healthcare sustainability.Although research on population ageing, healthy ageing, older people's labour market participation, and related economic issues has expanded considerably, the literature remains fragmented across economics, demography, public health, and social policy.This study addresses that gap through a comprehensive bibliometric analysis of research on the ageing workforce and its economic implications in Europe.The analysis is based on English-language articles and review articles indexed in the Social Sciences Citation Index of the Web of Science Core Collection.Using a structured search strategy combining ageing-, economic-, and Europe-related terms, 1,437 publications published between 1993 and 2025 were identified.Bibliometrix-based performance analysis and science mapping were applied to examine publication trends, leading contributors, source influence, geographical distribution, and thematic structures.The results show a rapidly growing, highly collaborative field with an average annual growth rate of 15.95%.The United Kingdom emerged as both the most productive and the most cited country.Ageing &amp; Society and Sustainability were the leading publication outlets, while Social Scien</w:t>
      </w:r>
    </w:p>
    <w:p>
      <w:pPr/>
      <w:r>
        <w:rPr>
          <w:b/>
        </w:rPr>
        <w:t>POSSIBLE 2026:</w:t>
      </w:r>
      <w:r>
        <w:t xml:space="preserve"> The Impact of Digital Skills on Economic Growth in the European Union: A Bayesian Model Averaging Approach — https://doi.org/10.3390/su18062829</w:t>
      </w:r>
    </w:p>
    <w:p>
      <w:pPr/>
      <w:r>
        <w:rPr>
          <w:b/>
        </w:rPr>
        <w:t>Shared claim-specific concepts:</w:t>
      </w:r>
      <w:r>
        <w:t xml:space="preserve"> influence, applying; EU scope visible. This is a provisional connection, not an outcome finding.</w:t>
      </w:r>
    </w:p>
    <w:p>
      <w:pPr>
        <w:pStyle w:val="SourceNote"/>
      </w:pPr>
      <w:r>
        <w:rPr>
          <w:b/>
        </w:rPr>
        <w:t>Available abstract (not full text):</w:t>
      </w:r>
      <w:r>
        <w:t xml:space="preserve"> The accelerated growth of the digitalization process is making digital skills increasingly important in the global economy. The purpose of this research is to empirically assess the impact of digital skills on economic growth in the 27 European Union (EU) member states over the period 2017–2023. In this respect, to measure the concept of digital skills, we employed the following four indicators of the Digital Economy and Society Index (DESI): internet usage, enterprises offering information and communication technologies (ICT) training to their employees, ICT specialists, and ICT graduates, while economic growth was proxied by gross domestic product (GDP) per capita. In addition, to obtain a more nuanced analysis, we included a set of control variables likely to influence growth. In the first stage of the research, we apprised the effect and importance of each explanatory variable on the GDP per capita using the Bayesian model averaging (BMA), while in the second stage, we ran a two-step system generalized method of moments (GMM). Based on the results obtained from applying the BMA, ICT graduates, trade, the new EU countries, and the employed population are the main determinants of economic growth. In addition, the new EU countries and inflation have a negative impact on GDP per capita, and the post-COVID dummy exerts a predominantly negative effect and all remaining regressors</w:t>
      </w:r>
    </w:p>
    <w:p>
      <w:pPr/>
      <w:r>
        <w:rPr>
          <w:b/>
        </w:rPr>
        <w:t>POSSIBLE 2026:</w:t>
      </w:r>
      <w:r>
        <w:t xml:space="preserve"> Governance Indicators and Their Impact on Economic Growth: A Comparison between Developed and Developing European Countries — https://doi.org/10.37075/ea.2026.3.02</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Purpose – This study examines the impact of governance indicators on economic growth in developed and developing European countries from 2005 to 2023. It focuses on GDP per capita as the dependent variable and governance indicators, alongside FDI, inflation, and population growth as explanatory variables. Design/methodology/approach – The study applies pooled OLS, fixed effects, random effects, and the Hausman-Taylor IV model to address endogeneity concerns and ensure robust estimates. Findings – Governance indicators significantly influences GDP per capita growth. Developed countries experience more stable growth trajectories, while developing economies benefit more from stable governance improvements. Control of corruption and political stability being key in developing economies, while government effectiveness and regulatory quality are more influential in developed nations. Inflation negatively impacts growth, while FDI fosters economic expansion, particularly where institutions are strong. Practical implications – The findings highlight the need for governance reforms: developed countries should focus on regulatory efficiency, while developing economies should prioritize political stability and anti-corruption measures. Originality/value – This study provides empirical insights into how governance indicators affect economic growth across different development stages, infor</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empirical, influence, methods;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pStyle w:val="Heading2"/>
      </w:pPr>
      <w:r>
        <w:t>677.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2026:</w:t>
      </w:r>
      <w:r>
        <w:t xml:space="preserve"> From Nature to Ecology — https://doi.org/10.1163/18757405-03801004</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Abstract Can the Beckettian subject respond to the climate crisis in the Anthropocene that gives the human an ironic ecological agency, suffused with the guilt of being responsible for ecological catastrophe? The article uses the Anthropocene as background to initiate a discussion on environmental subjectivity in Beckett. What is the status of ecology in Beckett’s works given their reticence on nature as a concept? Though there is no explicit naming of ecology in Beckett’s work, this article reads his critique of nature as a linguistic and ideological construct to open a dialogue on ecology. It argues that deconstruction of nature clears the space for weather system and ecology to posit a dialectical principle of environmental subjectivity in Beckett. Following Timothy Morton’s work on ecology without nature, it examines Beckett’s critique of nature to arrive at an object-like nonhuman subjectivity. Interacting with Dipesh Chakrabarty’s thought on species, the article also comments on Beckett’s use of species as a concept to arrive at its empty experience as the subject becomes a nonhuman entity, embedded in the environment.</w:t>
      </w:r>
    </w:p>
    <w:p>
      <w:pPr/>
      <w:r>
        <w:rPr>
          <w:b/>
        </w:rPr>
        <w:t>POSSIBLE 2026:</w:t>
      </w:r>
      <w:r>
        <w:t xml:space="preserve"> How mindfulness and nature are conceptualised and integrated: A systematic review of nature-based mindfulness interventions — https://doi.org/10.1016/j.jenvp.2026.103232</w:t>
      </w:r>
    </w:p>
    <w:p>
      <w:pPr/>
      <w:r>
        <w:rPr>
          <w:b/>
        </w:rPr>
        <w:t>Shared claim-specific concepts:</w:t>
      </w:r>
      <w:r>
        <w:t xml:space="preserve"> given, nature, benefits; EU scope not established. This is a provisional connection, not an outcome finding.</w:t>
      </w:r>
    </w:p>
    <w:p>
      <w:pPr>
        <w:pStyle w:val="SourceNote"/>
      </w:pPr>
      <w:r>
        <w:rPr>
          <w:b/>
        </w:rPr>
        <w:t>Available abstract (not full text):</w:t>
      </w:r>
      <w:r>
        <w:t xml:space="preserve"> Amidst rising mental health and ecological challenges, nature-based mindfulness practices present as an avenue for promoting wellbeing and connections with nature, given the complementary benefits of mindfulness and nature experiences for psychological health. Yet, how mindfulness practices and environmental settings are conceptualised and operationalised within nature-based mindfulness interventions remains poorly understood. Past reviews are also limited by narrow mental health indices, excluding qualitative and environmental dimensions. In this paper, we conducted a systematic review to evaluate how mindfulness and nature are defined and applied within nature-based mindfulness interventions and synthesised the current state of psychological evidence across quantitative, qualitative, and mixed-methods designs. A systematic search in Web of Science, Scopus, and ProQuest was performed. Fifty-three studies were included for synthesis and critically appraised using the Mixed Methods Appraisal Tool. The findings suggested benefits for affective wellbeing, nature and relational connection, and mindful awareness, though mixed findings were present. With limited mechanistic evidence and considerable variability in how mindfulness and nature were detailed and operationalised across interventions, the specific contributions of mindfulness, nature exposure, and their integration remain </w:t>
      </w:r>
    </w:p>
    <w:p>
      <w:pPr/>
      <w:r>
        <w:rPr>
          <w:b/>
        </w:rPr>
        <w:t>POSSIBLE 2026:</w:t>
      </w:r>
      <w:r>
        <w:t xml:space="preserve"> Understanding the Nature of Talent Identification and Development in the Nigerian Context — https://doi.org/10.17869/enu.453361</w:t>
      </w:r>
    </w:p>
    <w:p>
      <w:pPr/>
      <w:r>
        <w:rPr>
          <w:b/>
        </w:rPr>
        <w:t>Shared claim-specific concepts:</w:t>
      </w:r>
      <w:r>
        <w:t xml:space="preserve"> given, nature, work, over; EU scope visible. This is a provisional connection, not an outcome finding.</w:t>
      </w:r>
    </w:p>
    <w:p>
      <w:pPr>
        <w:pStyle w:val="SourceNote"/>
      </w:pPr>
      <w:r>
        <w:rPr>
          <w:b/>
        </w:rPr>
        <w:t>Available abstract (not full text):</w:t>
      </w:r>
      <w:r>
        <w:t xml:space="preserve"> In recent times, the sports sector across the globe has attracted economic interests both from the public and the private sector. For example, the cost of hosting the 2014 FIFA World Cup in Brazil was estimated at over $14.5 billion, with huge investments made into renovating old stadia and building new ones in preparation for the games. Similarly, the 2014 Commonwealth Games in Glasgow generated over 5,000 jobs and apprenticeships for the locals, £200m worth of contracts to local firms, £198m investments in sporting facilities, and £700m worth of transport-related infrastructural development. It is thus clear that sport has assumed more relevance in society than merely serving the purpose of recreation and leisure such that stakeholders now commit resources into sport performance improvement. Consequently, countries (particularly, those in Europe, Australia and North America) consider the sports sector among the key factors of social and economic development. Given the considerably large youthful population of Nigeria, it is possible to take advantage of sports to advance social and economic wellbeing of the people. It is however regrettable that the Nigerian government does not appear to have realised the potential opportunities a robust sports economy could provide for a nation in the quest for social, political and economic development. The opportunities provided by sports </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2025:</w:t>
      </w:r>
      <w:r>
        <w:t xml:space="preserve"> 10. Stimulating Change in Local Contexts — https://doi.org/10.55476/001c.151185</w:t>
      </w:r>
    </w:p>
    <w:p>
      <w:pPr/>
      <w:r>
        <w:rPr>
          <w:b/>
        </w:rPr>
        <w:t>Shared claim-specific concepts:</w:t>
      </w:r>
      <w:r>
        <w:t xml:space="preserve"> nature, contexts, they; EU scope not established. This is a provisional connection, not an outcome finding.</w:t>
      </w:r>
    </w:p>
    <w:p>
      <w:pPr>
        <w:pStyle w:val="SourceNote"/>
      </w:pPr>
      <w:r>
        <w:rPr>
          <w:b/>
        </w:rPr>
        <w:t>Available abstract (not full text):</w:t>
      </w:r>
      <w:r>
        <w:t xml:space="preserve"> Small Christian Communities (SCCs) are a pastoral model that plays a central role in East Africa and worldwide. They serve as spaces for intercultural theological ethics by integrating faith into daily life and contributing to social transformation. SCCs promote dialogue between culture and theology and enable a contextualized reading of the Bible. A key theme is inculturation, which embeds the Christian faith in local cultural contexts. This supports a vibrant, practice-oriented theology that draws from the experiences of believers. SCCs also contribute to a synodal Church by strengthening participation and community. Especially in Africa, where Christianity is rapidly growing, SCCs play a key role in fostering solidarity and moral reflection. They provide a platform for young people and help anchor faith locally. Through their practice-oriented nature, they remain dynamic catalysts of change.</w:t>
      </w:r>
    </w:p>
    <w:p>
      <w:pPr/>
      <w:r>
        <w:rPr>
          <w:b/>
        </w:rPr>
        <w:t>POSSIBLE 2025:</w:t>
      </w:r>
      <w:r>
        <w:t xml:space="preserve"> Gambling: A Story of Remarkable Stability in Fast-Changing High Streets — https://doi.org/10.1080/24694452.2025.2496698</w:t>
      </w:r>
    </w:p>
    <w:p>
      <w:pPr/>
      <w:r>
        <w:rPr>
          <w:b/>
        </w:rPr>
        <w:t>Shared claim-specific concepts:</w:t>
      </w:r>
      <w:r>
        <w:t xml:space="preserve"> given, fast-changing, contexts, they, disruptions, influence; EU scope not established. This is a provisional connection, not an outcome finding.</w:t>
      </w:r>
    </w:p>
    <w:p>
      <w:pPr>
        <w:pStyle w:val="SourceNote"/>
      </w:pPr>
      <w:r>
        <w:rPr>
          <w:b/>
        </w:rPr>
        <w:t>Available abstract (not full text):</w:t>
      </w:r>
      <w:r>
        <w:t xml:space="preserve"> High streets, the main commercial streets in towns and cities, have undergone significant transformations due to the evolving urban retail landscape. Despite these changes, this study demonstrates that the presence of gambling venues in Great Britain remained remarkably stable between 2014 and 2023. Using points of interest data, we constructed a panel data set of gambling shops on high streets. Employing simple autoregressive models estimated with random forests, we predicted annual gambling frequencies during 2015 to 2023 using 2014 frequencies as the sole predictor. Our results show a predictive accuracy of 91.8 percent by 2019, which remained robust at 86.2 percent in 2023, even after the disruptions caused by the COVID-19 pandemic. This highlights the notable stability in the frequency of gambling shops on high streets. Additionally, we developed a two-tiered analytical framework that confirmed this stability across different types of local authorities and high streets. Given the geographically bounded negative externalities of gambling, these findings provide a comprehensive understanding of the evolving spatial footprint of gambling shops. They also offer broader insights into how retail environment characteristics influence the resilience of leisure businesses in diverse urban contexts, contributing to ongoing discussions on high street revitalization.</w:t>
      </w:r>
    </w:p>
    <w:p>
      <w:pPr>
        <w:pStyle w:val="Heading2"/>
      </w:pPr>
      <w:r>
        <w:t>678.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2026:</w:t>
      </w:r>
      <w:r>
        <w:t xml:space="preserve"> The Curious Case of ‘Indian’ Literature — https://doi.org/10.1017/9781009596947.005</w:t>
      </w:r>
    </w:p>
    <w:p>
      <w:pPr/>
      <w:r>
        <w:rPr>
          <w:b/>
        </w:rPr>
        <w:t>Shared claim-specific concepts:</w:t>
      </w:r>
      <w:r>
        <w:t xml:space="preserve"> other, because, indian; EU scope visible. This is a provisional connection, not an outcome finding.</w:t>
      </w:r>
    </w:p>
    <w:p>
      <w:pPr>
        <w:pStyle w:val="SourceNote"/>
      </w:pPr>
      <w:r>
        <w:rPr>
          <w:b/>
        </w:rPr>
        <w:t>Available abstract (not full text):</w:t>
      </w:r>
      <w:r>
        <w:t xml:space="preserve"> What is ‘Indian literature’? This is a question that has vexed literary historians since at least the nineteenth century. One of the first things to note is that something like ‘Indian literature’ is rarely taught in any of the Indian universities. Even when it is, the subject becomes, de facto, an exercise in comparative literature that brings together diverse languages and literatures under one national rubric or offers them through a frame of comparatism with the mediation of English translation. The internal coherence of either ‘Indian’ or ‘literature’ becomes apparent only when the corpus is related to some external frame, such as the nation, or when the same corpus is approached with a specific method, such as comparatism. What this means is that Indian literature is neither Indian nor literary in the way that, for instance, English or French literatures are. And here lies the crux of the story—the way most European national literatures can presume a seamless triangulation of nation, language, and literature (if not of race and religion as well) that cannot be repeated for India, partly because of its internal diversity of languages and literatures and partly because it is not a nation in the way that a European nation is. Unlike the European model, therefore, there cannot be any one single Indian literature, either as a descriptive category or as an object of knowledge. </w:t>
      </w:r>
    </w:p>
    <w:p>
      <w:pPr/>
      <w:r>
        <w:rPr>
          <w:b/>
        </w:rPr>
        <w:t>POSSIBLE 2026:</w:t>
      </w:r>
      <w:r>
        <w:t xml:space="preserve"> Continuity and change in politicians being rude to each other over Europe: A rhetorical political analysis of invective in parliamentary debates over the European issue — https://openalex.org/W7153685673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The 2016 Brexit referendum and the division stemming from the 52:48 vote to leave the EU is often characterised as a low point in British politics, particularly in terms of discourse and rhetoric (Marr, 2019 &amp; 2024). Rather than concluding the issue of Europe Brexit has been suggested to have further divided the nation and ushered in a newly unpleasant politics (Sobolewska &amp; Ford, 2020). One characterised by populism, post truth ism and culture wars like those seen in European nations like Hungary and Donald Trump’s America (Maskovsky, 2020). With the rhetoric of Brexit and politics since focussing upon dividing people into tribes such as remainers or leavers, to be denounced in increasingly more strident terms but never meaningfully engaged with (D'Ancona, 2023, Zeitzoff 2023). Suggestions that problematic rhetoric has reached unprecedented proportions implies that there must have been some period in the past when it was not so problematic. By way of a counter to this narrative of modern decline this paper offers an analysis of the rhetoric of politicians during the UKs entry into the then European Economic Community. Arguing it to be a more divisive issue complete with rhetoric of a more problematic nature than is often remembered. Utilising a Rhetorical Political Analysis (Finlayson &amp; Martin, 2008) of parliamentary debates over the European Communities Bill this paper presen</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Central and Eastern Europe — https://doi.org/10.4324/9781003306900-38</w:t>
      </w:r>
    </w:p>
    <w:p>
      <w:pPr/>
      <w:r>
        <w:rPr>
          <w:b/>
        </w:rPr>
        <w:t>Shared claim-specific concepts:</w:t>
      </w:r>
      <w:r>
        <w:t xml:space="preserve"> period, other, extreme, area; EU scope visible. This is a provisional connection, not an outcome finding.</w:t>
      </w:r>
    </w:p>
    <w:p>
      <w:pPr>
        <w:pStyle w:val="SourceNote"/>
      </w:pPr>
      <w:r>
        <w:rPr>
          <w:b/>
        </w:rPr>
        <w:t>Available abstract (not full text):</w:t>
      </w:r>
      <w:r>
        <w:t xml:space="preserve"> This chapter traces and evaluates three decades of scholarly debate on the democratic development of Central and Eastern Europe (CEE) from skepticism about the region&amp;s;s democratic potential in the immediate aftermath of the fall of communism, through the qualified optimism of the “return to Europe” period, to current fears of region-wide democratic backsliding. However, while much of the recent “backsliding paradigm” focuses on the extreme cases of Hungary and Poland, their pattern of autocratization through executive aggrandizement still remains the exception in CEE. Area studies literature, especially focusing on corruption and technocracy, suggests that elsewhere in the region other processes of democratic degradation may matter more. The chapter reviews the ways in which CEE&amp;s;s evolving political regimes have been studied to draw wider lessons for scholars of comparative autocratization. In particular, the authors argue, a closer look at CEE alerts us to the need to focus more on regional patterns and specificities; better distinguish processes of executive-led autocratization from other processes of democratic degradation; and be wary of searching for elegant but limiting universal causal models of autocratization.</w:t>
      </w:r>
    </w:p>
    <w:p>
      <w:pPr/>
      <w:r>
        <w:rPr>
          <w:b/>
        </w:rPr>
        <w:t>POSSIBLE 2024:</w:t>
      </w:r>
      <w:r>
        <w:t xml:space="preserve"> Indian Psychiatric Society: Vision for future — https://doi.org/10.4103/indianjpsychiatry.indianjpsychiatry_16_24</w:t>
      </w:r>
    </w:p>
    <w:p>
      <w:pPr/>
      <w:r>
        <w:rPr>
          <w:b/>
        </w:rPr>
        <w:t>Shared claim-specific concepts:</w:t>
      </w:r>
      <w:r>
        <w:t xml:space="preserve"> period, other, because, indian; EU scope visible. This is a provisional connection, not an outcome finding.</w:t>
      </w:r>
    </w:p>
    <w:p>
      <w:pPr>
        <w:pStyle w:val="SourceNote"/>
      </w:pPr>
      <w:r>
        <w:rPr>
          <w:b/>
        </w:rPr>
        <w:t>Available abstract (not full text):</w:t>
      </w:r>
      <w:r>
        <w:t xml:space="preserve"> I have chosen to write about Indian Psychiatric Society’s (IPS) vision for future, and I must confess that this vision is not exactly mine. It has taken shape in last 30 years of my multi-level involvement in IPS affairs and 20 years of active presence at national level leadership. It is a shared or collective vision being synthesized and scripted by me. PSYCHIATRY FOR INDIAN SOCIETY Let me take you back in the first week of January 1947 when Delhi University was hosting 34th Indian Science Congress. It was a momentous occasion because Pandit Jawaharlal Nehru was the President of the congress and for the first time scientists from all prominent countries were participating on his invitation. In this historic year when Indian tricolour was getting ready to be unfurled in the free air of an independent nahour, Pandit Nehru delivered his Presidential Address titled – Science at the Service of Nation. Such was the occasion and intellectual atmosphere when handful of Indian psychiatrists met on 7th January and formed a new organisation - Indian Psychiatric Society. In the context of birth-story, “Indian Psychiatric Society” does not mean only a “psychiatric society of India”, but also “psychiatry for Indian society”. I am highlighting this because in British times mental asylums/hospitals wore discriminatory names such as European and Indian, and it was our first President Col Dhunj</w:t>
      </w:r>
    </w:p>
    <w:p>
      <w:pPr>
        <w:pStyle w:val="Heading2"/>
      </w:pPr>
      <w:r>
        <w:t>679.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2026:</w:t>
      </w:r>
      <w:r>
        <w:t xml:space="preserve"> Core Competencies of the Modern Geriatric Cardiologist: A Framework for Comprehensive Cardiovascular Care in Older Adults — https://doi.org/10.3390/jcm15020749</w:t>
      </w:r>
    </w:p>
    <w:p>
      <w:pPr/>
      <w:r>
        <w:rPr>
          <w:b/>
        </w:rPr>
        <w:t>Shared claim-specific concepts:</w:t>
      </w:r>
      <w:r>
        <w:t xml:space="preserve"> core, competencies; EU scope not established. This is a provisional connection, not an outcome finding.</w:t>
      </w:r>
    </w:p>
    <w:p>
      <w:pPr>
        <w:pStyle w:val="SourceNote"/>
      </w:pPr>
      <w:r>
        <w:rPr>
          <w:b/>
        </w:rPr>
        <w:t>Available abstract (not full text):</w:t>
      </w:r>
      <w:r>
        <w:t xml:space="preserve"> Background: The rapid ageing of the cardiovascular population has profoundly transformed clinical practice, with an increasing proportion of patients presenting advanced age, frailty, multimorbidity, and functional vulnerability. Conventional cardiology models, largely derived from younger and selected populations, often fail to adequately address the complexity of cardiovascular care in older adults. Despite the growing development of cardiogeriatrics, the core competencies required for contemporary geriatric cardiology practice remain insufficiently defined. Methods: This narrative review synthesises evidence from cardiology, geriatrics, heart failure, and the palliative care literature, complemented by clinical expertise in integrated cardiogeriatric care pathways, to identify key competencies relevant to the care of older adults with cardiovascular disease. Results: Four major domains of geriatric cardiology competencies were identified: (1) advanced cardiovascular expertise adapted to ageing physiology, frailty, and multimorbidity; (2) integration of comprehensive geriatric assessment into cardiovascular decision-making; (3) a dedicated cardiogeriatric communication mindset supporting shared decision-making under prognostic uncertainty; and (4) system-based competencies focused on multidisciplinary coordination, care transitions, and therapeutic proportionality. Conclusion</w:t>
      </w:r>
    </w:p>
    <w:p>
      <w:pPr/>
      <w:r>
        <w:rPr>
          <w:b/>
        </w:rPr>
        <w:t>POSSIBLE 2026:</w:t>
      </w:r>
      <w:r>
        <w:t xml:space="preserve"> The Anatomy of Ambition: Identifying Core Competencies Driving Career Progression in Bangalore's IT Sector — https://doi.org/10.59953/paperasia.v42i1b.774</w:t>
      </w:r>
    </w:p>
    <w:p>
      <w:pPr/>
      <w:r>
        <w:rPr>
          <w:b/>
        </w:rPr>
        <w:t>Shared claim-specific concepts:</w:t>
      </w:r>
      <w:r>
        <w:t xml:space="preserve"> core, competencies, training; EU scope not established. This is a provisional connection, not an outcome finding.</w:t>
      </w:r>
    </w:p>
    <w:p>
      <w:pPr>
        <w:pStyle w:val="SourceNote"/>
      </w:pPr>
      <w:r>
        <w:rPr>
          <w:b/>
        </w:rPr>
        <w:t>Available abstract (not full text):</w:t>
      </w:r>
      <w:r>
        <w:t xml:space="preserve"> In Bangalore’s fast-evolving IT sector, professionals face an ambiguous landscape when navigating career advancement, with limited empirical clarity on which competencies truly drive progression. This study addresses that gap by developing a predictive model to evaluate the relative impact of leadership, experience, and problem-solving skills on career growth. Using statistical analysis on a simulated dataset of 150 IT professionals, the findings reveal that leadership competency is the most influential factor (β=2.42, p&lt;0.001), outperforming both experience and problem-solving ability. The research was conducted with the help of statistical analysis, proving that leadership competency is a better indicator of career advancement as compared to experience and problem-solving competency, because the regression model had an R² of 0.904, which indicates that the leadership, experience, and problem-solving competency explained 90.4% of the variance in career advancement. Leadership competency was found to be the most important factor (β=2.42, p&lt;0.001); thus, the ANOVA analysis proved that there are significant differences in leadership scores across different job roles (F(3, 146)=208.66, p&lt;0.001). This indicates that leadership competency is not only a predictor of career advancement but also varies across job roles; therefore, the research is important for individuals to focus on t</w:t>
      </w:r>
    </w:p>
    <w:p>
      <w:pPr/>
      <w:r>
        <w:rPr>
          <w:b/>
        </w:rPr>
        <w:t>POSSIBLE 2026:</w:t>
      </w:r>
      <w:r>
        <w:t xml:space="preserve"> Core Competencies of Early Childhood Education Administrators in Thailand — https://openalex.org/W7221242985</w:t>
      </w:r>
    </w:p>
    <w:p>
      <w:pPr/>
      <w:r>
        <w:rPr>
          <w:b/>
        </w:rPr>
        <w:t>Shared claim-specific concepts:</w:t>
      </w:r>
      <w:r>
        <w:t xml:space="preserve"> core, competencies, professional, national, educational; EU scope not established. This is a provisional connection, not an outcome finding.</w:t>
      </w:r>
    </w:p>
    <w:p>
      <w:pPr>
        <w:pStyle w:val="SourceNote"/>
      </w:pPr>
      <w:r>
        <w:rPr>
          <w:b/>
        </w:rPr>
        <w:t>Available abstract (not full text):</w:t>
      </w:r>
      <w:r>
        <w:t xml:space="preserve"> This study examines the core competencies required of early childhood education administrators in Thailand within the broader context of strengthening leadership capacity and enhancing educational quality. While international scholarship consistently highlights the influence of leadership competencies on educational effectiveness and child development outcomes, Thailand currently lacks a competency-based framework for the preparation and selection of early childhood education leaders. Employing a multi-method design, the study integrated document analysis, regional focus group discussions, expert interviews, and third-order Confirmatory Factor Analysis (CFA) to identify competency domains, assess developmental needs, and propose leadership development guidelines aligned with national standards. Findings revealed three interrelated competency domains: adaptive management of early childhood development centers, academic leadership in early childhood education, and professional development toward excellence. Needs assessment results indicated that knowledge acquisition represented the highest developmental priority, particularly in relation to inclusive education management. The proposed competency model demonstrated strong empirical validity and model fit (χ²/df = 1.139, CFI = 0.997, RMSEA = 0.017). The study further suggests that competency development should emphasize practice-</w:t>
      </w:r>
    </w:p>
    <w:p>
      <w:pPr/>
      <w:r>
        <w:rPr>
          <w:b/>
        </w:rPr>
        <w:t>POSSIBLE 2026:</w:t>
      </w:r>
      <w:r>
        <w:t xml:space="preserve"> Analysis of Correlation Between the Core Competency Status and Spiritual Health of Nursing Intern Students — https://doi.org/10.1155/jonm/3522503</w:t>
      </w:r>
    </w:p>
    <w:p>
      <w:pPr/>
      <w:r>
        <w:rPr>
          <w:b/>
        </w:rPr>
        <w:t>Shared claim-specific concepts:</w:t>
      </w:r>
      <w:r>
        <w:t xml:space="preserve"> core, competencies, they, professional, educational; EU scope not established. This is a provisional connection, not an outcome finding.</w:t>
      </w:r>
    </w:p>
    <w:p>
      <w:pPr>
        <w:pStyle w:val="SourceNote"/>
      </w:pPr>
      <w:r>
        <w:rPr>
          <w:b/>
        </w:rPr>
        <w:t>Available abstract (not full text):</w:t>
      </w:r>
      <w:r>
        <w:t xml:space="preserve"> Aims This study aimed to investigate the current status of nursing intern students’ core competencies and their relationship with spiritual health. Background Cultivating the core competencies of nursing intern students is a significant educational objective. As nursing intern students transition into clinical practice, they encounter heightened levels of stress, which can adversely impact both physical and mental health, potentially hindering the development of their competencies. In recent years, there has been an increasing interest in spiritual health, which can help individuals cope with stress, promoting positive physical and mental health outcomes. However, the relationship between spiritual health and the core competencies of nursing intern students remains unclear. Methods Convenience sampling was used to recruit 312 nursing intern students from five tertiary hospitals in China. Data regarding sociodemographic characteristics, spiritual health, and core competencies were collected using online questionnaires from September 2022 to January 2023. Results The overall average score of core competencies of nursing intern students (149.70 ± 19.09) was at a medium level, among which the score of critical thinking and reasoning ability was the lowest (11.28 ± 2.02). Univariate analysis shows that factors such as place of birth, reasons for choosing the nursing major, and emplo</w:t>
      </w:r>
    </w:p>
    <w:p>
      <w:pPr/>
      <w:r>
        <w:rPr>
          <w:b/>
        </w:rPr>
        <w:t>POSSIBLE 2026:</w:t>
      </w:r>
      <w:r>
        <w:t xml:space="preserve"> Core Competencies of Nurses Working in Hospital Infection Prevention and Control: A Scoping Review and Cluster Analysis — https://doi.org/10.1111/jocn.70410</w:t>
      </w:r>
    </w:p>
    <w:p>
      <w:pPr/>
      <w:r>
        <w:rPr>
          <w:b/>
        </w:rPr>
        <w:t>Shared claim-specific concepts:</w:t>
      </w:r>
      <w:r>
        <w:t xml:space="preserve"> core, competencies, process, training; EU scope not established. This is a provisional connection, not an outcome finding.</w:t>
      </w:r>
    </w:p>
    <w:p>
      <w:pPr>
        <w:pStyle w:val="SourceNote"/>
      </w:pPr>
      <w:r>
        <w:rPr>
          <w:b/>
        </w:rPr>
        <w:t>Available abstract (not full text):</w:t>
      </w:r>
      <w:r>
        <w:t xml:space="preserve"> BACKGROUND: Infection prevention and control (IPC) nursing plays a central role in implementing IPC standards and preventing healthcare-associated infections. However, a unified core competency framework for IPC nursing roles has yet to be clearly defined. AIM: This study aimed to identify and synthesise the core competencies required for IPC nurses, including infection control nurses (ICNs) and infection control link nurses (ICLNs). It also examined how these competencies differ according to role responsibilities and explored patterns of association among competency domains. DESIGN: A scoping review with cluster analysis. METHODS: This scoping review followed a five-stage methodological framework, including identifying the research questions, identifying relevant sources, selecting sources, charting the data and collating, summarising and reporting the results. Based on this process, we conducted high-frequency term analysis and cluster analysis to identify the core competency structure. RESULTS: This review included 18 sources, from which 40 high-frequency terms were extracted and nine core competency domains were identified. Cluster analysis grouped these domains into three clusters: system-supporting and developmental competencies, IPC in clinical practice and microbiology and surveillance. When compared with the World Health Organization framework, these domains showed ove</w:t>
      </w:r>
    </w:p>
    <w:p>
      <w:pPr/>
      <w:r>
        <w:rPr>
          <w:b/>
        </w:rPr>
        <w:t>POSSIBLE 2026:</w:t>
      </w:r>
      <w:r>
        <w:t xml:space="preserve"> Can political economists trace secretive processes? Insights from the case of oil politics and policies in Uganda — https://doi.org/10.1177/07591063261424512</w:t>
      </w:r>
    </w:p>
    <w:p>
      <w:pPr/>
      <w:r>
        <w:rPr>
          <w:b/>
        </w:rPr>
        <w:t>Shared claim-specific concepts:</w:t>
      </w:r>
      <w:r>
        <w:t xml:space="preserve"> economists, particular, individual; EU scope not established. This is a provisional connection, not an outcome finding.</w:t>
      </w:r>
    </w:p>
    <w:p>
      <w:pPr>
        <w:pStyle w:val="SourceNote"/>
      </w:pPr>
      <w:r>
        <w:rPr>
          <w:b/>
        </w:rPr>
        <w:t>Available abstract (not full text):</w:t>
      </w:r>
      <w:r>
        <w:t xml:space="preserve"> Abstract Beyond the diversity of research objects, many political economists share the ambition of providing explanations rather than ‘mere’ descriptions of the social facts and phenomena examined. One way to realize this ambition is to identify and conceptualize causal mechanisms through process-tracing analysis. While process-tracing has been applied in many studies, it has been used far less to investigate activities seen as secretive, located in the Global South, and falling within the domain of quiet politics such as the oil sector. This research gap raises a key issue: can political economists trace secretive processes? Drawing on research on oil politics and policies in Uganda, this article shows to what extent political economists can trace secretive processes. Building on a research design with a broad range of empirical fingerprints such as leaks from the Panama Papers and Wikileaks databases and Hansards from the Ugandan Parliament, I first show that political economists can identify and conceptualize one type of causal mechanism linked to these processes, i.e. “relational mechanisms” that “alter connections among people, groups, and interpersonal networks; with words like ally, attack, subordinate, and appease conveying a sense of relational mechanisms” ( Tilly, 2008 ). Secondly, I shed light on a particular type of causal mechanism that political economists can har</w:t>
      </w:r>
    </w:p>
    <w:p>
      <w:pPr/>
      <w:r>
        <w:rPr>
          <w:b/>
        </w:rPr>
        <w:t>POSSIBLE 2026:</w:t>
      </w:r>
      <w:r>
        <w:t xml:space="preserve"> Developing A Competency Based Framework for OTM in Business Education — Aligning with Industry Needs — https://doi.org/10.56201/ijssmr.vol.12no3.2026.pg1.11</w:t>
      </w:r>
    </w:p>
    <w:p>
      <w:pPr/>
      <w:r>
        <w:rPr>
          <w:b/>
        </w:rPr>
        <w:t>Shared claim-specific concepts:</w:t>
      </w:r>
      <w:r>
        <w:t xml:space="preserve"> core, acquire, training; EU scope not established. This is a provisional connection, not an outcome finding.</w:t>
      </w:r>
    </w:p>
    <w:p>
      <w:pPr>
        <w:pStyle w:val="SourceNote"/>
      </w:pPr>
      <w:r>
        <w:rPr>
          <w:b/>
        </w:rPr>
        <w:t>Available abstract (not full text):</w:t>
      </w:r>
      <w:r>
        <w:t xml:space="preserve"> This study aimed at investigating developing a competency based framework for otm in business education — aligning with industry needs. The study adopted survey research design. The population and sample size of the study was 12 OTM teachers in Business Education department, Nnamdi Azikiwe University, Awka. The instrument used for data collection in this study was questionnaire. Mean statistics was employed to analyzed the data collected. The study found that the frameworks considered necessary in designing competency based model for OTM in business education include; effective stakeholder engagement, framework design, evolution, training and development programs and implementation. The study concluded that the competency based framework for OTM programme contained innovative technical competence, analytical thinking competence, generic/information and problem solvating competence. Hence, the study recommended that curriculum developers should re-design the OTM scheme of work in business education curriculum to reflect on the core competency framework that alien with current industrial needs. Business education department should offer a comprehensive training and development programs for OTM teachers to enhance their understanding of competency frameworks and their relevance to their roles and career development to acquire teaching skills and industry knowledge.</w:t>
      </w:r>
    </w:p>
    <w:p>
      <w:pPr>
        <w:pStyle w:val="Heading2"/>
      </w:pPr>
      <w:r>
        <w:t>680.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2026:</w:t>
      </w:r>
      <w:r>
        <w:t xml:space="preserve"> Cardiovascular Outcomes in Response to Achieved LDL-C Levels After PCI in ACS and CCS — https://doi.org/10.1016/j.jacasi.2026.07.004</w:t>
      </w:r>
    </w:p>
    <w:p>
      <w:pPr/>
      <w:r>
        <w:rPr>
          <w:b/>
        </w:rPr>
        <w:t>Shared claim-specific concepts:</w:t>
      </w:r>
      <w:r>
        <w:t xml:space="preserve"> ccs, compared, current, increased; EU scope not established. This is a provisional connection, not an outcome finding.</w:t>
      </w:r>
    </w:p>
    <w:p>
      <w:pPr>
        <w:pStyle w:val="SourceNote"/>
      </w:pPr>
      <w:r>
        <w:rPr>
          <w:b/>
        </w:rPr>
        <w:t>Available abstract (not full text):</w:t>
      </w:r>
      <w:r>
        <w:t xml:space="preserve"> BACKGROUND: Acute coronary syndrome (ACS) exhibits greater risks of recurrent atherosclerotic cardiovascular disease compared to chronic coronary syndrome (CCS), suggesting the need for more intensified preventive management, including low-density lipoprotein cholesterol (LDL-C) control. However, current guidelines advocate the "same" LDL-C goals in both ACS and CCS. OBJECTIVES: The authors aimed to compare cardiovascular outcomes following attainment of guideline-recommended LDL-C control between ACS and CCS. METHODS: This multicenter retrospective observational study (ACTION-LDLC; jRCT 1050260064) analyzed 2,560 Japanese patients with coronary artery disease (ACS/CCS = 1,682/878). Risk of major adverse cardiovascular events (MACE; cardiac-caused death + nonfatal MI + coronary revascularization in nonculprit segments) was compared according to achieved LDL-C levels 8 weeks after percutaneous coronary intervention (&lt;55, 55-69 and ≥70 mg/dL) in ACS and CCS, respectively. RESULTS: LDL-C &lt;55 mg/dL was achieved in 29.4% and 32.5% of patients with ACS and CCS, respectively (P = 0.124). During the 3.7- and 3.8-year observation, achieving lower LDL-C levels was associated with reduced MACE risks in ACS (P &lt; 0.001) and CCS (P = 0.040). Notably, lower standardized 3-year MACE rates (ACS = 4.4%, CCS = 9.9%, P &lt; 0.001) and greater absolute risk differences (from ≥70 to &lt;55 mg/dL: ACS = -2</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pStyle w:val="Heading2"/>
      </w:pPr>
      <w:r>
        <w:t>681.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2026:</w:t>
      </w:r>
      <w:r>
        <w:t xml:space="preserve"> The Missing Half of Capital: Unlocking Finance for Women-Led Firms in Europe and Central Asia — https://doi.org/10.1596/1813-9450-11379</w:t>
      </w:r>
    </w:p>
    <w:p>
      <w:pPr/>
      <w:r>
        <w:rPr>
          <w:b/>
        </w:rPr>
        <w:t>Shared claim-specific concepts:</w:t>
      </w:r>
      <w:r>
        <w:t xml:space="preserve"> finally, drawing, expand, across; EU scope visible. This is a provisional connection, not an outcome finding.</w:t>
      </w:r>
    </w:p>
    <w:p>
      <w:pPr>
        <w:pStyle w:val="SourceNote"/>
      </w:pPr>
      <w:r>
        <w:rPr>
          <w:b/>
        </w:rPr>
        <w:t>Available abstract (not full text):</w:t>
      </w:r>
      <w:r>
        <w:t xml:space="preserve"> This paper analyzes why women-owned and led small and medium-sized enterprises in Europe and Central Asia face persistent financing gaps and discusses ways to reduce them. Using a journey-mapping framework, the paper identifies 49 barriers faced by women-entrepreneurs in accessing debt and equity finance across three domains: demand-side frictions, supply-side frictions, and ecosystem-level constraints. Drawing on available evidence, the paper documents the presence of several barriers in Europe and Central Asia, including limited collateral, unfavorable loan terms, loan officer bias and misaligned incentives, regulatory gaps, and informational asymmetries. The paper reviews 27 interventions from global experience that have been evaluated as mechanisms to relax these constraints. For debt financing, these include asset-collateralized lending, psychometric credit scoring, flexible and innovative contract structures, tailored products for women, and incentive reforms for loan officers. For equity financing, the evidence points to investment-readiness programs, promotion-focused pitch strategies, and approaches to reduce investor bias by exposing investors to role models and sector-specific information. Further, digital financial services can lower entry barriers and expand alternative credit data; however, more sex-disaggregated evidence is needed to establish causal pathways in </w:t>
      </w:r>
    </w:p>
    <w:p>
      <w:pPr/>
      <w:r>
        <w:rPr>
          <w:b/>
        </w:rPr>
        <w:t>POSSIBLE 2026:</w:t>
      </w:r>
      <w:r>
        <w:t xml:space="preserve"> Learning under pressure: Welfare state responses to Covid-19 in Southern Europe — https://doi.org/10.1177/09589287261419976</w:t>
      </w:r>
    </w:p>
    <w:p>
      <w:pPr/>
      <w:r>
        <w:rPr>
          <w:b/>
        </w:rPr>
        <w:t>Shared claim-specific concepts:</w:t>
      </w:r>
      <w:r>
        <w:t xml:space="preserve"> drawing, covid-19, pandemic; EU scope visible. This is a provisional connection, not an outcome finding.</w:t>
      </w:r>
    </w:p>
    <w:p>
      <w:pPr>
        <w:pStyle w:val="SourceNote"/>
      </w:pPr>
      <w:r>
        <w:rPr>
          <w:b/>
        </w:rPr>
        <w:t>Available abstract (not full text):</w:t>
      </w:r>
      <w:r>
        <w:t xml:space="preserve"> Mediterranean welfare states have generally been treated as a homogeneous group; a ‘family of sinners’ that requires structural reforms to tackle persistent problems. While this applied until the Great Recession, new evidence suggests significant departures from this trajectory. Why did Mediterranean countries move from dualization and retrenchment to more generous measures in 2020, especially in outsiders’ protection? Taking the pandemic as a symmetric shock, we investigate welfare state responses in three Mediterranean regimes - Spain, Portugal and Italy. We find that, while all three departed from past austerity logics, Spain adopted a more encompassing response, entailing generous support towards both core and peripheral workers. Italy and Portugal, instead, persisted in a dual model of core segment protection with transfers for the most vulnerable. Drawing on interview and documentary data, we explain this divergence with the interplay between policy learning on the Left and patterns of ‘crisis corporatism’.</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2025:</w:t>
      </w:r>
      <w:r>
        <w:t xml:space="preserve"> The European Union’s experience with the “Hamiltonian moment” after the COVID-19 pandemic — https://doi.org/10.30783/nevsosbilen.1614103</w:t>
      </w:r>
    </w:p>
    <w:p>
      <w:pPr/>
      <w:r>
        <w:rPr>
          <w:b/>
        </w:rPr>
        <w:t>Shared claim-specific concepts:</w:t>
      </w:r>
      <w:r>
        <w:t xml:space="preserve"> covid-19, pandemic, disruptive; EU scope visible. This is a provisional connection, not an outcome finding.</w:t>
      </w:r>
    </w:p>
    <w:p>
      <w:pPr>
        <w:pStyle w:val="SourceNote"/>
      </w:pPr>
      <w:r>
        <w:rPr>
          <w:b/>
        </w:rPr>
        <w:t>Available abstract (not full text):</w:t>
      </w:r>
      <w:r>
        <w:t xml:space="preserve"> This study examines the European Union (EU)’s economic relief package announced for member states in the aftermath of COVID-19 and the ensuing debates over whether the EU is evolving into a federation. To establish the theoretical framework, the origins of the concept of the “Hamiltonian Moment,” as well as the arguments and discussions put forth by proponents of federalism within the EU are analyzed. Following an exploration of these two approaches, a general evaluation of the scope of the economic package is provided. This study argues that, due to the differences between the context in which the federalist structure in the United States (US) was established and the current environment within the EU, it is impossible to replicate the financial system created by A. Hamilton in the US within the EU. After elaborating on the conceptual background and related developments, the institutional and political perspectives of the EU on this matter, the steps it has taken, and the methods it has employed are presented. The post-COVID-19 global order has confronted every state with new political and economic challenges. Supranational structures have also been affected by the disruptive impact of COVID-19.</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pStyle w:val="Heading2"/>
      </w:pPr>
      <w:r>
        <w:t>682.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2026:</w:t>
      </w:r>
      <w:r>
        <w:t xml:space="preserve"> LABOR FORCE PARTICIPATION RATES: DETERMINANTS, TRENDS, AND EMERGING ISSUES ACROSS REGIONS AND DEMOGRAPHICS — https://doi.org/10.21203/rs.3.rs-10078651/v1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Abstract Background Labor force participation rate (LFPR) is a fundamental indicator of economic vitality and social inclusion. Despite its central importance for labor economics and policy, no comprehensive systematic review has synthesized the full spectrum of demographic, household, cultural, economic, and technological determinants of LFPR across global contexts. Objectives This systematic review aims to: (1) identify and synthesize empirical evidence on the determinants of LFPR across regions and demographic groups; (2) assess the effectiveness of policy interventions, particularly family-friendly policies; and (3) identify critical research gaps, particularly regarding technological change and gig economy dynamics. Methods Following PRISMA (Preferred Reporting Items for Systematic Reviews and Meta-Analyses) guidelines, we systematically searched Scopus, JSTOR, and the ILO Research Library. After duplicate removal, title/abstract screening, and full-text eligibility assessment applying predefined inclusion and exclusion criteria, 55 studies were included in the qualitative synthesis. Results Age, gender, education, marital status, and health are primary drivers of participation. Household composition and childcare availability are the single strongest mediators of female LFPR, while cultural norms and institutional policies explain substantial cross-national variation. Fam</w:t>
      </w:r>
    </w:p>
    <w:p>
      <w:pPr/>
      <w:r>
        <w:rPr>
          <w:b/>
        </w:rPr>
        <w:t>POSSIBLE 2026:</w:t>
      </w:r>
      <w:r>
        <w:t xml:space="preserve"> Pakistan-South Korea Relations: Exploring New Avenues and Policy Options — https://doi.org/10.62345/jads.2026.15.3.19</w:t>
      </w:r>
    </w:p>
    <w:p>
      <w:pPr/>
      <w:r>
        <w:rPr>
          <w:b/>
        </w:rPr>
        <w:t>Shared claim-specific concepts:</w:t>
      </w:r>
      <w:r>
        <w:t xml:space="preserve"> terms, options, population; EU scope not established. This is a provisional connection, not an outcome finding.</w:t>
      </w:r>
    </w:p>
    <w:p>
      <w:pPr>
        <w:pStyle w:val="SourceNote"/>
      </w:pPr>
      <w:r>
        <w:rPr>
          <w:b/>
        </w:rPr>
        <w:t>Available abstract (not full text):</w:t>
      </w:r>
      <w:r>
        <w:t xml:space="preserve"> Pakistan and South Korea have enjoyed long-standing relations, based on decades of bilateral cooperation across multiple areas. The relationship between the Islamic Republic of Pakistan and the Republic of Korea is marked by mutual trust, respect and support on important regional and international issues. Both states share similar historical background but a different present picture. Both states achieved independence in the 1940s, both agricultural-based ,but economically poor, depending heavily on foreign aid and investment. However, South Korea has progressed significantly, transforming from an aid recipient to a donor. At the moment, South Korea is the 3rd largest exporter in Asia and the 8th-largest exporter worldwide. Pakistan, on the other hand, progressed slowly, ranking 16th in Asia in exports and 67th globally. South Korea thus offers so much to learn from, in terms of economic development and industrial progress. Nonetheless, Pakistan, with its rich natural resources and youthful population, is attractive to foreign investors such as South Korea. There is so much untapped potential in Pakistan that the partners need to explore and invest in. Further, Pakistan can serve as a vital gateway for South Korea to the Middle East, Central Asia, and Africa. This article examines bilateral relations between Pakistan and South Korea,, focusing on key areas of cooperation. The s</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2025:</w:t>
      </w:r>
      <w:r>
        <w:t xml:space="preserve"> Returning to Work: Older Adults' Labor Force Participation and Health Status — https://doi.org/10.1111/cwe.70001</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Abstract This study investigated the effects of labor force participation on the physical and mental health of older adults, using the implementation of the provincial‐level Regulations on the Protection of the Rights and Interests of the Olderly as an entry point and applying the control function method to address endogeneity. The results indicate that the labor force participation of older adults improved their physical health significantly but had no significant effect on mental health. The positive effect on physical health was stronger for women, urban residents, those with lower education levels, and those with health insurance. Labor force participation operated through income effects and health behavior channels but no evidence was found for a social support channel. These results suggest that removing institutional barriers and empowering older adults can help to address the challenges of an aging population and promote a healthier China.</w:t>
      </w:r>
    </w:p>
    <w:p>
      <w:pPr/>
      <w:r>
        <w:rPr>
          <w:b/>
        </w:rPr>
        <w:t>POSSIBLE 2025:</w:t>
      </w:r>
      <w:r>
        <w:t xml:space="preserve"> The Impact of Female Labor Force Participation on Regional Economic and Income Convergence — https://doi.org/10.15408/etk.v24i2.41688</w:t>
      </w:r>
    </w:p>
    <w:p>
      <w:pPr/>
      <w:r>
        <w:rPr>
          <w:b/>
        </w:rPr>
        <w:t>Shared claim-specific concepts:</w:t>
      </w:r>
      <w:r>
        <w:t xml:space="preserve"> participation, high, even, improve; EU scope not established. This is a provisional connection, not an outcome finding.</w:t>
      </w:r>
    </w:p>
    <w:p>
      <w:pPr>
        <w:pStyle w:val="SourceNote"/>
      </w:pPr>
      <w:r>
        <w:rPr>
          <w:b/>
        </w:rPr>
        <w:t>Available abstract (not full text):</w:t>
      </w:r>
      <w:r>
        <w:t xml:space="preserve"> Research originality: Women tend to be chosen as the non-labor force, even though they are potential workers who can contribute directly to the economy. Their level of education influences this contribution. Research objectives: This research examined the impact of female labor force participation on regional economic and income convergence. Research methods: Pooled Least Squares (PLS) and panel data estimation were conducted using cross-sectional data on 472 cities/districts across Indonesia between 2016 and 2022. Empirical result: The findings reveal that female labor force participation significantly enhances regional economic growth only when women have at least a senior high school education. However, their contribution to accelerating economic convergence remains suboptimal, as most female workers are elementary school graduates. Implications: To improve the contribution of the female workforce to the economy, the government should extend compulsory education from 9 to 12 years, expand access to non-formal education for women, and establish a female-friendly labor market through job flexibility and improved childcare access. JEL Classification: I25, J21, E12, J20</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pStyle w:val="Heading2"/>
      </w:pPr>
      <w:r>
        <w:t>683.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2026:</w:t>
      </w:r>
      <w:r>
        <w:t xml:space="preserve"> Decolonising the entrepreneurship curriculum in South Africa — https://doi.org/10.36096/ijbes.v8i1.1129</w:t>
      </w:r>
    </w:p>
    <w:p>
      <w:pPr/>
      <w:r>
        <w:rPr>
          <w:b/>
        </w:rPr>
        <w:t>Shared claim-specific concepts:</w:t>
      </w:r>
      <w:r>
        <w:t xml:space="preserve"> decolonise, crucial; EU scope not established. This is a provisional connection, not an outcome finding.</w:t>
      </w:r>
    </w:p>
    <w:p>
      <w:pPr>
        <w:pStyle w:val="SourceNote"/>
      </w:pPr>
      <w:r>
        <w:rPr>
          <w:b/>
        </w:rPr>
        <w:t>Available abstract (not full text):</w:t>
      </w:r>
      <w:r>
        <w:t xml:space="preserve"> This paper examines the need to decolonise entrepreneurship education in South Africa by addressing epistemic inequalities and aligning curricula with local socio-economic realities. Grounded in decolonial and human capital theories, the study critiques existing programmes that are dominated by Western pedagogies privileging individualism and profit maximization. A literature review shows that current curricula inadequately reflect indigenous knowledge, community-oriented practices, and the informal economy, which remains a crucial site for livelihoods and economic participation. Three key gaps are identified: an overreliance on Eurocentric content, weak contextual relevance to South Africa’s socio-economic challenges, and the exclusion of indigenous and community-driven approaches. These shortcomings limit the curriculum’s capacity to prepare students to address pressing issues such as unemployment, inequality, and informality. The study argues for a decolonised curriculum that integrates African epistemologies, emphasizes social and community entrepreneurship, and produces graduates capable of contributing to inclusive and sustainable development. This study adopts a conceptual and integrative literature-based approach to examine the decolonisation of entrepreneurship education in South Africa. Drawing on peer-reviewed journal articles, policy documents, doctoral studies, and</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pStyle w:val="Heading2"/>
      </w:pPr>
      <w:r>
        <w:t>684.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2026:</w:t>
      </w:r>
      <w:r>
        <w:t xml:space="preserve"> Regularization of divergent integrals in complex geometry — https://doi.org/10.63959/chalmers.dt/5908</w:t>
      </w:r>
    </w:p>
    <w:p>
      <w:pPr/>
      <w:r>
        <w:rPr>
          <w:b/>
        </w:rPr>
        <w:t>Shared claim-specific concepts:</w:t>
      </w:r>
      <w:r>
        <w:t xml:space="preserve"> first, divergent, power, over, associated; EU scope not established. This is a provisional connection, not an outcome finding.</w:t>
      </w:r>
    </w:p>
    <w:p>
      <w:pPr>
        <w:pStyle w:val="SourceNote"/>
      </w:pPr>
      <w:r>
        <w:rPr>
          <w:b/>
        </w:rPr>
        <w:t>Available abstract (not full text):</w:t>
      </w:r>
      <w:r>
        <w:t xml:space="preserve"> A unifying theme of this thesis is the study of Archimedean zeta functions defined by complex-geometric data. Classically, Archimedean zeta functions over C are parameter-dependent integrals over a domain in Cn, where the parameter is a complex power of the modulus of a holomorphic function. We consider a global complex-geometric generalization in which the integration is over a complex manifold or reduced analytic space, and where the modulus of a holomorphic function is replaced by the norm of a holomorphic section of a vector bundle.The first two papers concern finite parts of divergent integrals on reduced complex analytic spaces. Given a singular differential form whose singularities are determined a holomorphic section of a vector bundle, a Hermitian metric induces a natural regularization of the divergent integral, giving rise to an Archimedean zeta function. A finite part of the divergent integral is defined as the constant term in the Laurent expansion of this zeta function about 0. Paper I establishes an explicit formula describing the dependence of the resulting finite part on the choice of Hermitian metric. Paper II develops a current calculus adapted to this setting and derives decomposition formulas that permit explicit computations of certain finite parts. We illustrate these formulas with a family of examples on projective space, where the resulting finite parts</w:t>
      </w:r>
    </w:p>
    <w:p>
      <w:pPr/>
      <w:r>
        <w:rPr>
          <w:b/>
        </w:rPr>
        <w:t>POSSIBLE 2026:</w:t>
      </w:r>
      <w:r>
        <w:t xml:space="preserve"> The Evolution of FTTH Networks in Europe and South Korea—Regulatory Power — https://doi.org/10.3390/telecom7030059</w:t>
      </w:r>
    </w:p>
    <w:p>
      <w:pPr/>
      <w:r>
        <w:rPr>
          <w:b/>
        </w:rPr>
        <w:t>Shared claim-specific concepts:</w:t>
      </w:r>
      <w:r>
        <w:t xml:space="preserve"> show, time, power, differences, over; EU scope visible. This is a provisional connection, not an outcome finding.</w:t>
      </w:r>
    </w:p>
    <w:p>
      <w:pPr>
        <w:pStyle w:val="SourceNote"/>
      </w:pPr>
      <w:r>
        <w:rPr>
          <w:b/>
        </w:rPr>
        <w:t>Available abstract (not full text):</w:t>
      </w:r>
      <w:r>
        <w:t xml:space="preserve"> Regulations of next-generation networks (NGNs) have played a central role in the transition from copper networks to broadband networks in Fiber to The Home (FTTH), also allowing for a reduction in asymmetries between incumbent operators and their competitors. Despite common European Union directives, telecom infrastructure development varies across countries due to differences in regulation, investment models, legacy networks, operators’ behavior, and public policies. This study analyzes the evolution of Very High-Capacity Networks (VHCNs), focusing on the implementation of FTTH in four European countries (Portugal, Spain, France, and Germany), and in South Korea. The latter was included as a benchmark in government-driven broadband development. The analysis considers key factors influencing FTTH development, including infrastructure regulation, fiber investment incentives, incumbent strategies, infrastructure sharing and co-investment, rural coverage plans, and demographic differences of each country. The results show that regulatory measures directly influence the pace of FTTH installation; but its effectiveness also depends on investment incentives, market competition, and demand factors. Portugal, Spain, and France have high FTTH coverage despite different regulatory and investment models. In contrast, Germany relied on xDSL over copper networks for a long time, causing sig</w:t>
      </w:r>
    </w:p>
    <w:p>
      <w:pPr/>
      <w:r>
        <w:rPr>
          <w:b/>
        </w:rPr>
        <w:t>POSSIBLE 2026:</w:t>
      </w:r>
      <w:r>
        <w:t xml:space="preserve"> Behaviour of K. pneumoniae|Carbapenems in Several European Countries According to Clustering Time-Series Health Data with Generalised Affinity Coefficient — https://doi.org/10.3390/antibiotics15090895</w:t>
      </w:r>
    </w:p>
    <w:p>
      <w:pPr/>
      <w:r>
        <w:rPr>
          <w:b/>
        </w:rPr>
        <w:t>Shared claim-specific concepts:</w:t>
      </w:r>
      <w:r>
        <w:t xml:space="preserve"> first, time, over; EU scope visible. This is a provisional connection, not an outcome finding.</w:t>
      </w:r>
    </w:p>
    <w:p>
      <w:pPr>
        <w:pStyle w:val="SourceNote"/>
      </w:pPr>
      <w:r>
        <w:rPr>
          <w:b/>
        </w:rPr>
        <w:t>Available abstract (not full text):</w:t>
      </w:r>
      <w:r>
        <w:t xml:space="preserve"> Background/Objectives: Antimicrobial resistance (AMR) constitutes a major public health and economic burden in contemporary society. This work aims to identify the patterns and temporal trends of Klebsiella pneumoniae resistance to carbapenems across several European countries. Methods: Data on K. pneumoniae resistance to carbapenems in several countries from 2005 to 2021 (with data available up to 2023) were retrieved from the public ECDC website in 2023. Agglomerative Hierarchical Cluster Analysis (HCA), based on the new generalised affinity coefficient, was applied to the estimated ARIMA models. Results: The dendrogram at the cut-off presented four clusters: the first cluster with Slovenia, Luxembourg, Italy and Estonia; the second cluster with Romania, Malta, Greece, Portugal and Spain; the third cluster Denmark, France and Czechia; and finally the fourth cluster with Lithuania, Cyprus, Finland, Austria, Belgium and Slovakia. Although the resistance values showed an increasing trend over the years in clusters II and III, the increase was more pronounced in cluster II. Conclusions: The application of data analysis, for the first time, using HCA based on a new similarity coefficient, namely, the generalised affinity coefficient, enables the evaluation of time-series patterns in different regions and enables the identification of clusters of countries showing similar temporal </w:t>
      </w:r>
    </w:p>
    <w:p>
      <w:pPr/>
      <w:r>
        <w:rPr>
          <w:b/>
        </w:rPr>
        <w:t>POSSIBLE 2026:</w:t>
      </w:r>
      <w:r>
        <w:t xml:space="preserve"> Four Case Studies in Comparison and Analogy: Political and Religious Culture, Conversion, Genealogy, and Time in Latin Europe and Medieval Japan — https://doi.org/10.3390/rel17101120</w:t>
      </w:r>
    </w:p>
    <w:p>
      <w:pPr/>
      <w:r>
        <w:rPr>
          <w:b/>
        </w:rPr>
        <w:t>Shared claim-specific concepts:</w:t>
      </w:r>
      <w:r>
        <w:t xml:space="preserve"> show, first, time, marked, within, any; EU scope visible. This is a provisional connection, not an outcome finding.</w:t>
      </w:r>
    </w:p>
    <w:p>
      <w:pPr>
        <w:pStyle w:val="SourceNote"/>
      </w:pPr>
      <w:r>
        <w:rPr>
          <w:b/>
        </w:rPr>
        <w:t>Available abstract (not full text):</w:t>
      </w:r>
      <w:r>
        <w:t xml:space="preserve"> Our article follows two related objectives. We, first, reconsider the relationship between religion and politics by eschewing the uniform modern State–Church model and questioning its Eurocentric tenets. To do so, we focus on the Middle Ages and pair our decentring perspective with a comparison between Latin Europe in the 9th to 13th centuries and medieval Japan from the late Heian period to the Kamakura and early Muromachi eras (10th to 14th centuries). While comparisons between medieval Japan and Western Europe are well established, we propose, furthermore, to reassess them in light of a comparative approach that is informed less by affinities than by analogies following the pioneering work of the British anthropologist Marilyn Strathern. In our case, we examine the analogy between the conceptual pairs, regnum vs. sacerdotium and ōbō vs. buppō, i.e., imperial vs. Buddhist law. We operationalise in particular Strathern’s strategy of negation, i.e., the productive acknowledgement that some cultural traits cannot truly be present in another culture. Starting with affinities and moving towards analogies, we show, first, that European as well as Japanese binaries admit declensions that extend to the hostile subordination or even violent rejection of one of the terms. Both traditions, for instance, justified armed violence in defence of the sacred, whether through the conversion of</w:t>
      </w:r>
    </w:p>
    <w:p>
      <w:pPr/>
      <w:r>
        <w:rPr>
          <w:b/>
        </w:rPr>
        <w:t>POSSIBLE 2026:</w:t>
      </w:r>
      <w:r>
        <w:t xml:space="preserve"> It’s time for Europe. The first Prodi government and the path toward the euro (1996–98) — https://doi.org/10.1080/1354571x.2026.2616128</w:t>
      </w:r>
    </w:p>
    <w:p>
      <w:pPr/>
      <w:r>
        <w:rPr>
          <w:b/>
        </w:rPr>
        <w:t>Shared claim-specific concepts:</w:t>
      </w:r>
      <w:r>
        <w:t xml:space="preserve"> first, time, over, within; EU scope visible. This is a provisional connection, not an outcome finding.</w:t>
      </w:r>
    </w:p>
    <w:p>
      <w:pPr>
        <w:pStyle w:val="SourceNote"/>
      </w:pPr>
      <w:r>
        <w:rPr>
          <w:b/>
        </w:rPr>
        <w:t>Available abstract (not full text):</w:t>
      </w:r>
      <w:r>
        <w:t xml:space="preserve"> This article reconstructs the trajectory through which the first Prodi government (1996–1998) succeeded in bringing Italy back to the core of European integration after years of political marginalization, financial instability, and diplomatic isolation. Drawing on extensive archival material, it analyzes the dual challenge faced by Prodi: regaining the trust of European partners and restoring domestic credibility after the turbulent Berlusconi and Dini governments. The chapter examines the strategic centrality of Europe within the Olive Tree coalition’s platform, the role of key technocrats such as Ciampi and Dini, and the intense diplomatic efforts undertaken between 1996 and 1998. Particular attention is devoted to the negotiations over the Maastricht parameters, the struggle to meet convergence criteria, and the creation of the ‘Group of Four’, which coordinated Italy’s final push toward E.M.U. membership. Ultimately, the article shows how political determination, fiscal consolidation, and diplomatic activism enabled Italy to join the founding group of countries adopting the euro.</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pStyle w:val="Heading2"/>
      </w:pPr>
      <w:r>
        <w:t>685.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2026:</w:t>
      </w:r>
      <w:r>
        <w:t xml:space="preserve"> Life cycle assessment of chemicals: data generation and uncertainty — https://doi.org/10.1007/s00706-026-03527-5</w:t>
      </w:r>
    </w:p>
    <w:p>
      <w:pPr/>
      <w:r>
        <w:rPr>
          <w:b/>
        </w:rPr>
        <w:t>Shared claim-specific concepts:</w:t>
      </w:r>
      <w:r>
        <w:t xml:space="preserve"> data, uncertainty, different; EU scope not established. This is a provisional connection, not an outcome finding.</w:t>
      </w:r>
    </w:p>
    <w:p>
      <w:pPr>
        <w:pStyle w:val="SourceNote"/>
      </w:pPr>
      <w:r>
        <w:rPr>
          <w:b/>
        </w:rPr>
        <w:t>Available abstract (not full text):</w:t>
      </w:r>
      <w:r>
        <w:t xml:space="preserve"> Chemicals play an important role in many products and industries, but there is a lack of data on the production processes and environmental impacts of the different types of chemicals. Based on this problem, this paper presents a review of methods for the generation of life cycle inventory data and life cycle impact assessment results for chemicals not yet included in life cycle assessment databases. 31 methods in peer-reviewed papers, mainly from 2012 to 2021, were evaluated and methodologies on how to gain the data were identified and clustered. The identified subcategories include knowledge engineering and data mining, process simulation, predictive LCA using machine learning, and multivariate statistics as well as the identification of chemicals for special purposes using computer-aided molecular design. The areas and literature were summarized by application and according to advantages or disadvantages of the methods. Additionally, the possibilities of including model and data uncertainties were discussed and open science aspects of software and programming code were evaluated, as these provide a good basis for other researchers to further expand the solutions developed.</w:t>
      </w:r>
    </w:p>
    <w:p>
      <w:pPr/>
      <w:r>
        <w:rPr>
          <w:b/>
        </w:rPr>
        <w:t>POSSIBLE 2026:</w:t>
      </w:r>
      <w:r>
        <w:t xml:space="preserve"> 3D Glacial Isostatic Adjustment along the deglacial forebulge of the Atlantic coasts of North America and Europe — https://doi.org/10.5194/egusphere-egu26-15680</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The deglacial forebulge along the Atlantic coasts of North America and Europe has been a key area for glacial isostatic adjustment (GIA) studies. Relative sea level (RSL) changes in this region are highly sensitive to the 3D Earth structure, and the area hosts abundant RSL data that can help constrain the 3D Earth structure. However, many previous studies either relied primarily on 1D Earth models or adopted 3D structures without systematically exploring the magnitude of lateral heterogeneity or the uncertainty associated with deglacial ice histories. Here, we use the latest standardized deglacial RSL databases from the Atlantic coasts of North America and Europe for comparison with 3D GIA models coupled with two widely used ice models, ICE-6G_C and ANU-ICE. Our 3D Earth model consists of a 1D background viscosity model (ηo) and lateral viscosity variations; the latter are derived from shear velocity anomalies in a seismic tomography model and scaled by a factor (β) denoting the magnitude of lateral heterogeneity. We explore a range of ηo and β to assess the sensitivity of RSL predictions to both the background viscosity and the magnitude of lateral heterogeneity. The RSL databases include sea-level index points and limiting data, which we further classify by depositional setting (base of basal, basal, intercalated). We compare the RSL data to the GIA model predictions using a </w:t>
      </w:r>
    </w:p>
    <w:p>
      <w:pPr/>
      <w:r>
        <w:rPr>
          <w:b/>
        </w:rPr>
        <w:t>POSSIBLE 2026:</w:t>
      </w:r>
      <w:r>
        <w:t xml:space="preserve"> How Data Uncertainty Influences Estimates of Root Zone Water Storage Capacity — https://doi.org/10.1029/2025wr042672</w:t>
      </w:r>
    </w:p>
    <w:p>
      <w:pPr/>
      <w:r>
        <w:rPr>
          <w:b/>
        </w:rPr>
        <w:t>Shared claim-specific concepts:</w:t>
      </w:r>
      <w:r>
        <w:t xml:space="preserve"> data, uncertainty, high, different; EU scope not established. This is a provisional connection, not an outcome finding.</w:t>
      </w:r>
    </w:p>
    <w:p>
      <w:pPr>
        <w:pStyle w:val="SourceNote"/>
      </w:pPr>
      <w:r>
        <w:rPr>
          <w:b/>
        </w:rPr>
        <w:t>Available abstract (not full text):</w:t>
      </w:r>
      <w:r>
        <w:t xml:space="preserve"> Abstract Root zone water storage capacity () sets the lower limit on the water available to plants and is critical for modeling terrestrial water and carbon fluxes. Due to subsurface heterogeneity in soils, roots, and geology, in‐situ measurements of are infeasible at regional to global scales. Instead, is often estimated using a water balance approach—calculating the difference between precipitation and evapotranspiration to approximate water deficits. This method can be applied using diverse data sets, including those from eddy covariance, satellite remote sensing, reanalysis, and land surface model outputs. However, each data product contains its own uncertainties, and the influence of data set choice on estimates has not been quantified. In this study, we assess the uncertainty in estimates across 90 FLUXNET sites in the continental United States with at least 5 years of data, comparing results from six different precipitation and evapotranspiration data sets. We find substantial variation in estimates across data sets, sites, and land cover types, with particularly high uncertainty for values exceeding 500 mm. Much of this uncertainty can be attributed to differences among evapotranspiration products rather than random errors. Our analysis shows that single data set approaches to quantifying underestimate the variability that emerges when multiple data sets are considered,</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pStyle w:val="Heading2"/>
      </w:pPr>
      <w:r>
        <w:t>686.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687.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2026:</w:t>
      </w:r>
      <w:r>
        <w:t xml:space="preserve"> Causes and extent of avoidable mortality across the european union: insights for advancing healthy aging — https://doi.org/10.1007/s11357-025-02045-2</w:t>
      </w:r>
    </w:p>
    <w:p>
      <w:pPr/>
      <w:r>
        <w:rPr>
          <w:b/>
        </w:rPr>
        <w:t>Shared claim-specific concepts:</w:t>
      </w:r>
      <w:r>
        <w:t xml:space="preserve"> three, across, approach; EU scope visible. This is a provisional connection, not an outcome finding.</w:t>
      </w:r>
    </w:p>
    <w:p>
      <w:pPr>
        <w:pStyle w:val="SourceNote"/>
      </w:pPr>
      <w:r>
        <w:rPr>
          <w:b/>
        </w:rPr>
        <w:t>Available abstract (not full text):</w:t>
      </w:r>
      <w:r>
        <w:t xml:space="preserve"> Although population aging is a global worldwide phenomenon, it is most pronounced in European Union countries. An unhealthy ageing population not only places a heavy burden on healthcare, but also hinders sustainable socio-economic development. Supporting healthy aging can be achieved through evidence-based strategies aimed at reducing avoidable mortality and interventions that promote these strategies. Our study is based on a secondary analysis of Eurostat data for 2022 to describe the extent and structure of avoidable (divided to preventable and treatable) mortality stratified by sex for each EU country. Cluster analyses based on avoidable mortality indicators (preventable mortality rate, treatable mortality rate, preventable-to-treatable mortality ratio, and male-to-female avoidable mortality rate ratio) and the cause-specific composition of avoidable mortality were used to highlight similarities and differences between countries. Classification based on the available mortality indicators revealed regional patterns. Western and Northern EU countries were predominantly in Cluster 1 which had the lowest preventable and treatable mortality rates, as well as relatively balanced sex ratios. However, these countries had a higher preventable-to-treatable mortality ratio indicating potential delays or gaps in preventive services. Mediterranean EU countries were in Cluster 2 showing </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project, factors, across;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key, factors, across;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pStyle w:val="Heading2"/>
      </w:pPr>
      <w:r>
        <w:t>688.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2026:</w:t>
      </w:r>
      <w:r>
        <w:t xml:space="preserve"> FINTECH ECOSYSTEM OF UKRAINE IN THE EUROPEAN CONTEXT — https://doi.org/10.31651/2076-5843-2026-2-174-187</w:t>
      </w:r>
    </w:p>
    <w:p>
      <w:pPr/>
      <w:r>
        <w:rPr>
          <w:b/>
        </w:rPr>
        <w:t>Shared claim-specific concepts:</w:t>
      </w:r>
      <w:r>
        <w:t xml:space="preserve"> therefore, purpose, identify; EU scope visible. This is a provisional connection, not an outcome finding.</w:t>
      </w:r>
    </w:p>
    <w:p>
      <w:pPr>
        <w:pStyle w:val="SourceNote"/>
      </w:pPr>
      <w:r>
        <w:rPr>
          <w:b/>
        </w:rPr>
        <w:t>Available abstract (not full text):</w:t>
      </w:r>
      <w:r>
        <w:t xml:space="preserve"> Introduction. The rapid development of financial technologies (FinTech) is transforming the financial sector through the expansion of digital payment services, open banking, artificial intelligence, and crypto-assets. While the European Union has established a comprehensive regulatory framework for digital finance, Ukraine continues to adapt its legislation to European standards. Therefore, assessing the Ukrainian FinTech ecosystem in the European context is essential for identifying regulatory gaps and substantiating directions for its integration into the European digital financial space. Purpose. The purpose of the article is to investigate the current state of the Ukrainian FinTech ecosystem in the European context, identify the key features of its regulatory environment, and substantiate strategic directions for its harmonization with European Union standards. Results. The current state of the Ukrainian FinTech ecosystem in the European context is assessed through a comparative analysis of its market structure, regulatory environment, and integration potential. The structural characteristics of the Ukrainian FinTech market are identified based on the distribution of companies across the main functional segments, confirming the dominance of technological infrastructure and digital payment services. The key technological trends of the ecosystem are analyzed, including the wi</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DETERMINING POVERTY FACTORS USING LOGIT MODELS — https://doi.org/10.63452/ijafssr.2025.3601</w:t>
      </w:r>
    </w:p>
    <w:p>
      <w:pPr/>
      <w:r>
        <w:rPr>
          <w:b/>
        </w:rPr>
        <w:t>Shared claim-specific concepts:</w:t>
      </w:r>
      <w:r>
        <w:t xml:space="preserve"> factors, determining, four; EU scope visible. This is a provisional connection, not an outcome finding.</w:t>
      </w:r>
    </w:p>
    <w:p>
      <w:pPr>
        <w:pStyle w:val="SourceNote"/>
      </w:pPr>
      <w:r>
        <w:rPr>
          <w:b/>
        </w:rPr>
        <w:t>Available abstract (not full text):</w:t>
      </w:r>
      <w:r>
        <w:t xml:space="preserve"> This study examines the factors of poverty across six European countries—three in Southern Europe (Greece, Spain, Portugal) and three in Central/Northern Europe (Germany, the Netherlands, Belgium)—using 2023 cross-sectional data from the EU Statistics on Income and Living Conditions (EU-SILC). Focusing on individuals aged 30 to 65, the analysis applies logistic regression to assess the impact of nine socioeconomic variables on the probability of living below the poverty line. The findings reveal that four factors—ability to afford a holiday, ability to cover unexpected expenses, access to a car, and participation in leisure activities—are statistically significant predictors of poverty in all countries examined. Notable differences are observed in the significance and magnitude of other variables, such as education level and social activity, highlighting the influence of national socioeconomic contexts. The results underscore the value of targeted, evidence-based social policies that address both shared and countryspecific drivers of poverty.</w:t>
      </w:r>
    </w:p>
    <w:p>
      <w:pPr/>
      <w:r>
        <w:rPr>
          <w:b/>
        </w:rPr>
        <w:t>POSSIBLE 2025:</w:t>
      </w:r>
      <w:r>
        <w:t xml:space="preserve"> Prevalence of Glaucoma in Europe and Projections to 2050 — https://doi.org/10.1016/j.ophtha.2025.06.002</w:t>
      </w:r>
    </w:p>
    <w:p>
      <w:pPr/>
      <w:r>
        <w:rPr>
          <w:b/>
        </w:rPr>
        <w:t>Shared claim-specific concepts:</w:t>
      </w:r>
      <w:r>
        <w:t xml:space="preserve"> purpose, within, regional;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pStyle w:val="Heading2"/>
      </w:pPr>
      <w:r>
        <w:t>689.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providing, regional;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protocol, socio-economic, food;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2021:</w:t>
      </w:r>
      <w:r>
        <w:t xml:space="preserve"> Comparison of Two Experimental Mouse Dry Eye Models through Inflammatory Gene Set Enrichment Analysis Based on a Multiplexed Transcriptomic Approach — https://doi.org/10.3390/ijms221910770</w:t>
      </w:r>
    </w:p>
    <w:p>
      <w:pPr/>
      <w:r>
        <w:rPr>
          <w:b/>
        </w:rPr>
        <w:t>Shared claim-specific concepts:</w:t>
      </w:r>
      <w:r>
        <w:t xml:space="preserve"> set, pathways, approach; EU scope not established. This is a provisional connection, not an outcome finding.</w:t>
      </w:r>
    </w:p>
    <w:p>
      <w:pPr>
        <w:pStyle w:val="SourceNote"/>
      </w:pPr>
      <w:r>
        <w:rPr>
          <w:b/>
        </w:rPr>
        <w:t>Available abstract (not full text):</w:t>
      </w:r>
      <w:r>
        <w:t xml:space="preserve"> The goal of this study was to explore the specific signaling pathways related to inflammation in two experimental mouse dry eye (EDE) models. Female C57BL/6 mice housed for 10 days in a controlled desiccative environment were either treated with scopolamine (EDE-1; n = 18) or subjected to extraorbital lacrimal gland excision bilaterally (EDE-2; n = 10). Non-induced mice (n = 20) served as healthy controls. A corneal fluorescein staining (CFS) scoring was used at baseline through to day (D) 10 to evaluate epitheliopathy. At D10, corneas and conjunctivas were collected for multiplexed transcriptomic analysis with the NanoString® mouse inflammatory CodeSet. Both EDE-1 and EDE-2 mice presented a change in corneal integrity, with a significant increase in CFS scores at D10. More gene transcripts were identified in EDE-2 compared with EDE-1 (116 vs. 96, respectively), and only a few were common to both models, 13 for the cornea and 6 for the conjunctiva. The gene functional annotation analysis revealed that the same inflammatory pathways were involved in both models. Comparative profiling of gene expression in the two EDE models leads to the identification of various targets and signaling pathways, which can be extrapolated to and confirmed in human disease.</w:t>
      </w:r>
    </w:p>
    <w:p>
      <w:pPr>
        <w:pStyle w:val="Heading2"/>
      </w:pPr>
      <w:r>
        <w:t>690.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2026:</w:t>
      </w:r>
      <w:r>
        <w:t xml:space="preserve"> Pathways to climate-resilient cocoa: is solar-powered Irrigation-as-a-Service a viable adaptation strategy? — https://openalex.org/W7199631403</w:t>
      </w:r>
    </w:p>
    <w:p>
      <w:pPr/>
      <w:r>
        <w:rPr>
          <w:b/>
        </w:rPr>
        <w:t>Shared claim-specific concepts:</w:t>
      </w:r>
      <w:r>
        <w:t xml:space="preserve"> pathways, focus, sector, environmental; EU scope not established. This is a provisional connection, not an outcome finding.</w:t>
      </w:r>
    </w:p>
    <w:p>
      <w:pPr>
        <w:pStyle w:val="SourceNote"/>
      </w:pPr>
      <w:r>
        <w:rPr>
          <w:b/>
        </w:rPr>
        <w:t>Available abstract (not full text):</w:t>
      </w:r>
      <w:r>
        <w:t xml:space="preserve"> This study examines smallholder farmers’ perceptions and the enabling conditions for adopting irrigation in Ghana’s cocoa sector, specifically focusing on solar-powered Irrigation-as-a-Service (IAS). Research was conducted in the Eastern, Ashanti, and Central regions using a qualitative design involving focus groups and interviews with farmers, cooperative leaders, and agricultural officials. The analysis centers on six themes: climate impacts, irrigation technology perceptions, existing IAS models, the viability of solar-powered bundles, financing, and adoption barriers. Findings reveal that erratic rainfall, prolonged dry spells, and rising temperatures are severely disrupting production, leading to yield declines and income instability. Consequently, farmers increasingly view irrigation as a critical adaptation strategy. However, access remains constrained by high capital costs, weak institutional support, and limited technical knowledge. While farmers show strong enthusiasm for solar-powered systems—valuing their low operating costs and alignment with clean energy—implementation is hindered by financing challenges, maintenance issues, and insecure land tenure. Regional dynamics vary: Eastern Region farmers have more exposure to irrigation initiatives; Ashanti farmers demonstrate stronger interest in collective ownership through cooperatives; and in the Central Region, illeg</w:t>
      </w:r>
    </w:p>
    <w:p>
      <w:pPr/>
      <w:r>
        <w:rPr>
          <w:b/>
        </w:rPr>
        <w:t>POSSIBLE 2026:</w:t>
      </w:r>
      <w:r>
        <w:t xml:space="preserve"> Ukraine’s wartime power system: damage, resilience, and pathways for renewable recovery — https://doi.org/10.1186/s13705-026-00597-5</w:t>
      </w:r>
    </w:p>
    <w:p>
      <w:pPr/>
      <w:r>
        <w:rPr>
          <w:b/>
        </w:rPr>
        <w:t>Shared claim-specific concepts:</w:t>
      </w:r>
      <w:r>
        <w:t xml:space="preserve"> pathways, focus, power, electricity, environmental, assessment; EU scope visible. This is a provisional connection, not an outcome finding.</w:t>
      </w:r>
    </w:p>
    <w:p>
      <w:pPr>
        <w:pStyle w:val="SourceNote"/>
      </w:pPr>
      <w:r>
        <w:rPr>
          <w:b/>
        </w:rPr>
        <w:t>Available abstract (not full text):</w:t>
      </w:r>
      <w:r>
        <w:t xml:space="preserve"> Abstract Background The war in Ukraine has caused severe damage to the national power grid, significantly impacting social welfare through the loss of electricity for civilian households, healthcare, and water supply infrastructure. This study examines the urgent need for a sustainable recovery that integrates energy security with European Union decarbonization objectives and environmental resilience. The novelty lies in linking real-time wartime outage dynamics with empirically grounded decentralized recovery pathways, offering a framework to “build back better” under active conflict. The purpose is to evaluate the conditions under which a centralized energy system can be reconstructed to reduce military vulnerability while remaining compatible with long-term climate goals. Methods The study applied an integrated analytical approach by adapting internationally recognized Recovery and Peacebuilding Assessment and Rapid Damage and Needs Assessment frameworks to an active-war context. Data were synthesized from over 100 verified sources supplemented by Geographic Information System based mapping to visualize damage intensity across 24 administrative regions. The analysis relies on cross-referencing state reports with international assessments. Results Findings show that Ukraine’s effective electricity generation capacity fell by approximately 61% by late 2023 (from 36.0 GW to 13.</w:t>
      </w:r>
    </w:p>
    <w:p>
      <w:pPr/>
      <w:r>
        <w:rPr>
          <w:b/>
        </w:rPr>
        <w:t>POSSIBLE 2026:</w:t>
      </w:r>
      <w:r>
        <w:t xml:space="preserve"> Expanding participation in computing: Navigating power and privilege on the pathway to a computer science degree — https://doi.org/10.7282/t3-4c70-v602</w:t>
      </w:r>
    </w:p>
    <w:p>
      <w:pPr/>
      <w:r>
        <w:rPr>
          <w:b/>
        </w:rPr>
        <w:t>Shared claim-specific concepts:</w:t>
      </w:r>
      <w:r>
        <w:t xml:space="preserve"> pathways, power, use, three; EU scope not established. This is a provisional connection, not an outcome finding.</w:t>
      </w:r>
    </w:p>
    <w:p>
      <w:pPr>
        <w:pStyle w:val="SourceNote"/>
      </w:pPr>
      <w:r>
        <w:rPr>
          <w:b/>
        </w:rPr>
        <w:t>Available abstract (not full text):</w:t>
      </w:r>
      <w:r>
        <w:t xml:space="preserve"> Until recently, a great deal of public and private investment focused on expanding participation in the computing education and workforce, focusing on women and other groups who are minoritized in the U.S. So far solutions have included coding clubs for kids, initiatives to increase participation in high school courses, and efforts that improve undergraduate computer science curricula to increase retention and recruitment into degree programs. At the heart of many initiatives is the hope that addressing participation gaps at earlier points in the educational pathway will lead to greater representation of these groups in the computing workforce. The policy framing of the issue has a great deal to do with the solutions and interventions that have been used to solve it. Theories such as the “leaky pipeline,” the chilly climate, and other frameworks have drawn attention to specific aspects of computing pathways and not others, leading to persistent blind spots in our understanding of how inequality is reproduced in computer science, especially at the critically important undergraduate level. These theories have directed our attention to developing educational reforms and supportive curricula without considering how power and privilege are maintained in higher education to exclude those with marginalized identities.The purpose of this study is to contribute to theory that will lead </w:t>
      </w:r>
    </w:p>
    <w:p>
      <w:pPr/>
      <w:r>
        <w:rPr>
          <w:b/>
        </w:rPr>
        <w:t>POSSIBLE 2026:</w:t>
      </w:r>
      <w:r>
        <w:t xml:space="preserve"> Immunomodulatory Phytochemicals in Cancer: Mechanistic Pathways and Translational Potential — https://doi.org/10.1002/cbdv.202502737</w:t>
      </w:r>
    </w:p>
    <w:p>
      <w:pPr/>
      <w:r>
        <w:rPr>
          <w:b/>
        </w:rPr>
        <w:t>Shared claim-specific concepts:</w:t>
      </w:r>
      <w:r>
        <w:t xml:space="preserve"> pathways, focus, including, potential; EU scope not established. This is a provisional connection, not an outcome finding.</w:t>
      </w:r>
    </w:p>
    <w:p>
      <w:pPr>
        <w:pStyle w:val="SourceNote"/>
      </w:pPr>
      <w:r>
        <w:rPr>
          <w:b/>
        </w:rPr>
        <w:t>Available abstract (not full text):</w:t>
      </w:r>
      <w:r>
        <w:t xml:space="preserve"> Cancer development is linked to dysregulated immune surveillance, chronic inflammation, and immunosuppressive signaling within the tumor microenvironment. Emerging evidence suggests that the anticancer effects of naturally occurring phytochemicals are not directly mediated by cytotoxicity but rather by altering key components of both innate and adaptive immunity. Over the last few years, significant progress has been made in understanding the interactions of specific classes of phytochemicals, including polyphenols, flavonoids, alkaloids, and terpenoids, with immune-linked signal transduction mechanisms involved in carcinogenesis. These include the suppression of pro- and anti-inflammatory mediators, the control of immune checkpoint-related pathways, the polarization of tumor-associated macrophages, the enhancement of cytotoxic T-cell and natural killer cell functions, and the suppression of angiogenic and metastatic signaling. Notably, many phytochemicals have demonstrated translational relevance, and some have advanced to later clinical trial phases. This narrative review highlights the recent preclinical, translational, and clinical evidence on the immunomodulatory effects of phytochemicals in cancer prevention and treatment. There is an accentuated focus on mechanistic convergence, the strength of the evidence, and translational potential, and the most frequently targeted i</w:t>
      </w:r>
    </w:p>
    <w:p>
      <w:pPr>
        <w:pStyle w:val="Heading2"/>
      </w:pPr>
      <w:r>
        <w:t>691.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2026:</w:t>
      </w:r>
      <w:r>
        <w:t xml:space="preserve"> Who Receives Scientific Deference? Gender and the Public Construction of Social Scientists — https://doi.org/10.1177/08912432261465433</w:t>
      </w:r>
    </w:p>
    <w:p>
      <w:pPr/>
      <w:r>
        <w:rPr>
          <w:b/>
        </w:rPr>
        <w:t>Shared claim-specific concepts:</w:t>
      </w:r>
      <w:r>
        <w:t xml:space="preserve"> scientists, often, four; EU scope not established. This is a provisional connection, not an outcome finding.</w:t>
      </w:r>
    </w:p>
    <w:p>
      <w:pPr>
        <w:pStyle w:val="SourceNote"/>
      </w:pPr>
      <w:r>
        <w:rPr>
          <w:b/>
        </w:rPr>
        <w:t>Available abstract (not full text):</w:t>
      </w:r>
      <w:r>
        <w:t xml:space="preserve"> Drawing on feminist metascience and Ridgeway’s “framed by gender” theory, I ask: How are men and women social scientists constructed in public media? I conduct a comparative analysis of media portrayals of eight public sociologists (four women–men pairs): Arlie Hochschild–Barry Glassner, Juliet Schor–Richard Florida, Angela Duckworth–Daniel Kahneman, and Michelle Alexander–William Julius Wilson. Findings reveal that women’s work is frequently de-legitimized by trivializing their contributions and emphasizing political biases, whereas men’s work is framed as empirical, rigorous, and legitimate, even when flawed. Women are often denied what I call “scientific deference” á la Goffman. These asymmetries underscore that scientific meritocracy and objectivity are not intrinsic properties of science but are instead culturally constructed ideals. By demonstrating how media narratives reflect and sustain gendered hierarchies of epistemic authority, this study extends feminist critiques of science beyond STEM and highlights the role of public discourse in shaping who counts as a legitimate scientist.</w:t>
      </w:r>
    </w:p>
    <w:p>
      <w:pPr/>
      <w:r>
        <w:rPr>
          <w:b/>
        </w:rPr>
        <w:t>POSSIBLE 2026:</w:t>
      </w:r>
      <w:r>
        <w:t xml:space="preserve"> Applying a psychological problem-solving framework to science communication: insights from a qualitative pilot study observing scientists preparing children’s university lectures — https://doi.org/10.3389/fcomm.2026.1799922</w:t>
      </w:r>
    </w:p>
    <w:p>
      <w:pPr/>
      <w:r>
        <w:rPr>
          <w:b/>
        </w:rPr>
        <w:t>Shared claim-specific concepts:</w:t>
      </w:r>
      <w:r>
        <w:t xml:space="preserve"> scientists, often, planning; EU scope not established. This is a provisional connection, not an outcome finding.</w:t>
      </w:r>
    </w:p>
    <w:p>
      <w:pPr>
        <w:pStyle w:val="SourceNote"/>
      </w:pPr>
      <w:r>
        <w:rPr>
          <w:b/>
        </w:rPr>
        <w:t>Available abstract (not full text):</w:t>
      </w:r>
      <w:r>
        <w:t xml:space="preserve"> The article examines the planning of science communication and empirically tests whether psychological problem-solving theory (i.e., complex problem-solving and Dörner's idealized process model) can be used to describe planning processes. To this end, the authors conducted a qualitative study with eight scientists who were preparing a lecture for a children's university. Using an observational design with think aloud protocol. The results show that the planning process fulfills the characteristics of a complex problem, particularly in terms of variable interconnectedness, the lack of transparency regarding the target group, and conflicting goals (polytely). When applying Dörner's idealized process model, it turned out the planning process was not linear, but predominantly iterative. The modeling and information collection phase accounted for the largest proportion of the process, whereas elementary goal development was often addressed only marginally or at a very late stage. The study concludes that problem-solving psychology can serve as a framework to analyze and potentially enhance planning efficiency in science communication.</w:t>
      </w:r>
    </w:p>
    <w:p>
      <w:pPr/>
      <w:r>
        <w:rPr>
          <w:b/>
        </w:rPr>
        <w:t>POSSIBLE 2026:</w:t>
      </w:r>
      <w:r>
        <w:t xml:space="preserve"> Trends of Major Crop Produdictivity in Nashik District: A Geographical Analysis — https://doi.org/10.5281/zenodo.18907960</w:t>
      </w:r>
    </w:p>
    <w:p>
      <w:pPr/>
      <w:r>
        <w:rPr>
          <w:b/>
        </w:rPr>
        <w:t>Shared claim-specific concepts:</w:t>
      </w:r>
      <w:r>
        <w:t xml:space="preserve"> abstract, planners, scientists, high; EU scope not established. This is a provisional connection, not an outcome finding.</w:t>
      </w:r>
    </w:p>
    <w:p>
      <w:pPr>
        <w:pStyle w:val="SourceNote"/>
      </w:pPr>
      <w:r>
        <w:rPr>
          <w:b/>
        </w:rPr>
        <w:t>Available abstract (not full text):</w:t>
      </w:r>
      <w:r>
        <w:t xml:space="preserve"> Abstract The present research paper an intend to analyse the trends of agricultural productivity of different crops in Nashik District through the period of 1991 to 2024. This study is based on secondary data collected from socio-economic abstract of Nashik district. The cropping productivity is based on physical, climate, social, economic, technological and organization factors, and attitude of farmers, etc. The data regarding trends of cropping productivity have been calculated and presented with the r value and trend line graph. There are several factors such as Physiographic, temperature, rainfall, soil, drainage, etc influenced on the trend of agricultural productivity in Nashik district. Because Nashik district of same part found in dry area and some part found as hilly area as well as some position obtained in the vicinity of river basin so there is high variation in the trends of different crops. Amongst these, rice, wheat, maize, gram, tur, mung, sugarcane, etc having a positive correlation through the period of 1991 to 2024 and bajra, jowar and groundnut having negative correlation with declined trends of the productivity. The current study gives an idea of real situation of agricultural productivity and helps to minimize the regional inequalities in Nashik district and also helps to planners, agricultural scientists and research scholars.</w:t>
      </w:r>
    </w:p>
    <w:p>
      <w:pPr/>
      <w:r>
        <w:rPr>
          <w:b/>
        </w:rPr>
        <w:t>POSSIBLE 2026:</w:t>
      </w:r>
      <w:r>
        <w:t xml:space="preserve"> Preparing future physics teachers through Flat-Earth arguments: strengthening scientific reasoning — https://doi.org/10.1088/1361-6404/ae3403</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This article explores the educational potential of engaging with conspiracy theories—specifically the Flat-Earth belief—as a way to foster scientific and critical thinking in future physics teachers. Rather than treating such ideas as mere curiosities, we use them as a basis for applying Newtonian gravity to various mass distributions with planar symmetry. We show how the predictions of these models diverge significantly from empirical observations, such as the direction of gravitational acceleration and the behavior of atmospheric pressure. By systematically analyzing these inconsistencies, students can strengthen their understanding of classical mechanics while learning to recognize pseudoscientific argumentation. We argue that this type of ‘safe sandbox’ can help build epistemic vigilance and prepare educators to address more complex and socially relevant cases of misinformation, such as climate change denial.</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pStyle w:val="Heading2"/>
      </w:pPr>
      <w:r>
        <w:t>692.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2026:</w:t>
      </w:r>
      <w:r>
        <w:t xml:space="preserve"> Organizational inertia in a digital transformation project — https://openalex.org/W7199709296</w:t>
      </w:r>
    </w:p>
    <w:p>
      <w:pPr/>
      <w:r>
        <w:rPr>
          <w:b/>
        </w:rPr>
        <w:t>Shared claim-specific concepts:</w:t>
      </w:r>
      <w:r>
        <w:t xml:space="preserve"> transformation, processes; EU scope not established. This is a provisional connection, not an outcome finding.</w:t>
      </w:r>
    </w:p>
    <w:p>
      <w:pPr>
        <w:pStyle w:val="SourceNote"/>
      </w:pPr>
      <w:r>
        <w:rPr>
          <w:b/>
        </w:rPr>
        <w:t>Available abstract (not full text):</w:t>
      </w:r>
      <w:r>
        <w:t xml:space="preserve"> Digital transformation is a new strategic imperative for organizations to master in order to stay relevant and competitive in the rapidly changing operating environment. Digital transformation is not merely a technology implementation project, but a considerable transformation for the underlining business processes, business models and organizational elements. When organization is faced with a change, the pace and intensity of the transformation greatly affects how organization and its members react to that change. This is an inflexion point where organizational inertia typically occurs and acts as a hindering force, or when pushed, a cause for resisting force towards transformation. Organizational inertia is estimated to cause 70% of digital transformation projects to fail. Organizational abilities, such as dynamic capabilities and strategic agility plays a significant role in controlling and anticipating these challenges. To illustrate the interplay and effects of organizational inertia, dynamic capabilities and strategic agility to digital transformation outcomes, this study introduces a theoretical framework. The framework further visualizes the enabling effects of dynamic capabilities and strategic agility to a digital transformation project. This illustration visualizes the research setting for the research questions. The purpose of this study is to understand how organiz</w:t>
      </w:r>
    </w:p>
    <w:p>
      <w:pPr/>
      <w:r>
        <w:rPr>
          <w:b/>
        </w:rPr>
        <w:t>POSSIBLE 2026:</w:t>
      </w:r>
      <w:r>
        <w:t xml:space="preserve"> Foodways as Sites of Knowledge and Transformation — https://doi.org/10.1007/978-3-032-28126-5</w:t>
      </w:r>
    </w:p>
    <w:p>
      <w:pPr/>
      <w:r>
        <w:rPr>
          <w:b/>
        </w:rPr>
        <w:t>Shared claim-specific concepts:</w:t>
      </w:r>
      <w:r>
        <w:t xml:space="preserve"> transformation, perspective; EU scope not established. This is a provisional connection, not an outcome finding.</w:t>
      </w:r>
    </w:p>
    <w:p>
      <w:pPr>
        <w:pStyle w:val="SourceNote"/>
      </w:pPr>
      <w:r>
        <w:rPr>
          <w:b/>
        </w:rPr>
        <w:t>Available abstract (not full text):</w:t>
      </w:r>
      <w:r>
        <w:t xml:space="preserve"> This open access book offers an elaboration on foodways as both a geographical concept and an area of study that recognizes local food systems as essential to social justice and long-term sustainability. Approaching food through the lens of foodways provides an alternative to classical scholarship on food security, which often focuses on poverty in order to propose new globalized solutions. Instead, this perspective directs research toward the preservation of cultural and biological diversity, the protection of land rights, and the promotion of social justice. With a specific focus on the MENA region, contributors to this edited collection engage with reflexive and collaborative methodologies, including participatory visual methods, storytelling, radical learning, land-based and socially rooted knowledges, embodied practices, visceral methods, and community mapping. Such approaches can help negotiate outsider–insider tensions while co-producing knowledge that is accountable to communities and relevant to wider societal debates.</w:t>
      </w:r>
    </w:p>
    <w:p>
      <w:pPr/>
      <w:r>
        <w:rPr>
          <w:b/>
        </w:rPr>
        <w:t>POSSIBLE 2026:</w:t>
      </w:r>
      <w:r>
        <w:t xml:space="preserve"> Circular economy transition of European regions: The role of regulative, normative, and cultural–cognitive institutions — https://doi.org/10.1016/j.euroecorev.2026.105409</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The transition toward a circular economy (CE) represents not only an economic shift but also a profound social and institutional transformation that redefines production, consumption, and policy. This study provides the first macro-level empirical assessment of the CE transition across European regions over the last two decades. It then examines how regional regulative, normative, and cultural-cognitive institutions shape regional CE performance, while also accounting for key confounding factors, including EU cohesion funds, regional autonomy, and the EU Circular Economy Action Plan (CEAP). The results reveal strong spatial and temporal heterogeneity, as well as distinct effects across institutional dimensions. Regulative institutions exhibit the most consistent positive association across and within countries. Normative institutions matter most within major regions, while cultural-cognitive institutions provide more modest support for CE efforts. Importantly, the combination of all institutional pillars is associated with the largest gains in circularity. EU cohesion funds significantly support CE progress, while the post-2015 results suggest that the CEAP reshaped the relative importance of institutional pillars. Overall, the findings highlight the importance of coordinated institutional frameworks and targeted policy support in advancing the regional CE transition.</w:t>
      </w:r>
    </w:p>
    <w:p>
      <w:pPr/>
      <w:r>
        <w:rPr>
          <w:b/>
        </w:rPr>
        <w:t>POSSIBLE 2026:</w:t>
      </w:r>
      <w:r>
        <w:t xml:space="preserve"> Integration of Industry 4.0 and Circular Economy as a determinant of sustainable transformation of enterprise value creation chains — https://doi.org/10.2478/emj-2026-0018</w:t>
      </w:r>
    </w:p>
    <w:p>
      <w:pPr/>
      <w:r>
        <w:rPr>
          <w:b/>
        </w:rPr>
        <w:t>Shared claim-specific concepts:</w:t>
      </w:r>
      <w:r>
        <w:t xml:space="preserve"> transformation, circular, economy, processes, innovative; EU scope not established. This is a provisional connection, not an outcome finding.</w:t>
      </w:r>
    </w:p>
    <w:p>
      <w:pPr>
        <w:pStyle w:val="SourceNote"/>
      </w:pPr>
      <w:r>
        <w:rPr>
          <w:b/>
        </w:rPr>
        <w:t>Available abstract (not full text):</w:t>
      </w:r>
      <w:r>
        <w:t xml:space="preserve"> Abstract The contemporary global economy remains overwhelmingly influenced by the inventions of the Industrial Revolution 4.0 (IR 4.0), also referred to as Industry 4.0 (I 4.0). This article examines the potential impact of IR 4.0 inventions on changes in enterprise value-creation processes and their interface with the principles of the Circular Economy (CE) as a sine qua non for the functioning of Sustainable Value Creation Chains (SVCCs). This article is theoretical and conceptual. It is based on desk research. Predictive and prescriptive analyses played a fundamental role in the research due to the predominantly futurological nature of the considerations. The research identifies the benefits, threats, and barriers affecting how the IR 4.0 and CE interface is implemented, as well as its significance for establishing SVCCs. The research expands knowledge on this subject and may inspire entrepreneurs to undertake innovative, pro-ecological activities in their enterprises. These reflections may also serve as a basis for further theoretical and practical research. The originality of the research is demonstrated through its comprehensiveness, i.e. the predicted revolutionary changes arising from applied IR 4.0 inventions combined with CE principles in VCCs and the anticipated effects of this interface.</w:t>
      </w:r>
    </w:p>
    <w:p>
      <w:pPr/>
      <w:r>
        <w:rPr>
          <w:b/>
        </w:rPr>
        <w:t>POSSIBLE 2026:</w:t>
      </w:r>
      <w:r>
        <w:t xml:space="preserve"> AI-Driven campaigning and the transformation of trust in electoral politics — https://doi.org/10.33545/26646021.2026.v8.i1a.827</w:t>
      </w:r>
    </w:p>
    <w:p>
      <w:pPr/>
      <w:r>
        <w:rPr>
          <w:b/>
        </w:rPr>
        <w:t>Shared claim-specific concepts:</w:t>
      </w:r>
      <w:r>
        <w:t xml:space="preserve"> transformation, innovative; EU scope visible. This is a provisional connection, not an outcome finding.</w:t>
      </w:r>
    </w:p>
    <w:p>
      <w:pPr>
        <w:pStyle w:val="SourceNote"/>
      </w:pPr>
      <w:r>
        <w:rPr>
          <w:b/>
        </w:rPr>
        <w:t>Available abstract (not full text):</w:t>
      </w:r>
      <w:r>
        <w:t xml:space="preserve"> Electoral campaigns in democracies are undergoing a fundamental shift from traditional public campaigning to AI-enabled private persuasion [1]. This paper examines how artificial intelligence tools including chatbots, generative media, and microtargeted advertising are deployed in recent campaigns across the United States and Europe, analyzing implications for voter trust, democratic legitimacy, and political accountability [2]. Drawing on comparative case analysis of campaigns in the U.S. (including diaspora-targeted outreach in New York City), Germany, France, and the UK from 2023 to 2025, we demonstrate that AI-driven personalized messaging challenges communication transparency while enabling innovative voter engagement [3]. We argue that AI offers potential for enhanced voter outreach, particularly to marginalized and diaspora communities, while simultaneously eroding trust through hidden messaging, synthetic media, and public discourse fragmentation [4]. The paper concludes with evidence-based policy recommendations for campaign transparency, deepfake detection, and updated electoral regulations, and identifies future research directions at the intersection of artificial intelligence and democratic integrity [5].</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pStyle w:val="Heading2"/>
      </w:pPr>
      <w:r>
        <w:t>693.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2025:</w:t>
      </w:r>
      <w:r>
        <w:t xml:space="preserve"> Continuing recovery of wolves in Europe — https://doi.org/10.1371/journal.pstr.0000158</w:t>
      </w:r>
    </w:p>
    <w:p>
      <w:pPr/>
      <w:r>
        <w:rPr>
          <w:b/>
        </w:rPr>
        <w:t>Shared claim-specific concepts:</w:t>
      </w:r>
      <w:r>
        <w:t xml:space="preserve"> life, eur;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pStyle w:val="Heading2"/>
      </w:pPr>
      <w:r>
        <w:t>694.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Forestry and demographic transition in Europe: exploring the nexus — https://doi.org/10.12899/asr-2709</w:t>
      </w:r>
    </w:p>
    <w:p>
      <w:pPr/>
      <w:r>
        <w:rPr>
          <w:b/>
        </w:rPr>
        <w:t>Shared claim-specific concepts:</w:t>
      </w:r>
      <w:r>
        <w:t xml:space="preserve"> ageing, labour; EU scope visible. This is a provisional connection, not an outcome finding.</w:t>
      </w:r>
    </w:p>
    <w:p>
      <w:pPr>
        <w:pStyle w:val="SourceNote"/>
      </w:pPr>
      <w:r>
        <w:rPr>
          <w:b/>
        </w:rPr>
        <w:t>Available abstract (not full text):</w:t>
      </w:r>
      <w:r>
        <w:t xml:space="preserve"> Europe’s future is being shaped by a demographic transition of unprecedented scale, characterized by population ageing, a declining labour force, and the abandonment of rural areas in favour of urban centres. Within the forestry sector, these dynamics pose critical challenges, particularly in relation to ageing forest landowners and an increasingly elderly workforce. Despite their relevance, the interconnections between demographic change, spatial reorganization of population, and forest management remain insufficiently explored in the forestry literature. This concept note seeks to address this gap by identifying critical risks, emerging needs, and key research opportunities, and by proposing an evidence-based framework to support analysis and decision-making within this complex and evolving context.</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2025:</w:t>
      </w:r>
      <w:r>
        <w:t xml:space="preserve"> Long-Term Spending Projections in Israel — https://doi.org/10.1787/81e81270-en</w:t>
      </w:r>
    </w:p>
    <w:p>
      <w:pPr/>
      <w:r>
        <w:rPr>
          <w:b/>
        </w:rPr>
        <w:t>Shared claim-specific concepts:</w:t>
      </w:r>
      <w:r>
        <w:t xml:space="preserve"> projections, labour; EU scope not established. This is a provisional connection, not an outcome finding.</w:t>
      </w:r>
    </w:p>
    <w:p>
      <w:pPr>
        <w:pStyle w:val="SourceNote"/>
      </w:pPr>
      <w:r>
        <w:rPr>
          <w:b/>
        </w:rPr>
        <w:t>Available abstract (not full text):</w:t>
      </w:r>
      <w:r>
        <w:t xml:space="preserve"> Long-term fiscal projections provide decision makers with tools to assess the long term impact of policy choices. The Israeli Ministry of Finance does not regularly conduct and publish long-term fiscal projections. The absence of such projections limits the Ministry’s ability to reflect the long-term implications of economic decisions for policymakers, which is crucial for addressing structural challenges and maintaining fiscal sustainability. This report presents the key features of a long-term spending projections model to help the Ministry address this limitation. The model is based on an adapted version of the OECD Long-Term Model, calibrated to Israel’s demographics and labour market. The model enables dynamic analyses of how employment, productivity, population growth and policy reforms shape fiscal outcomes. The report presents some key results of the model, emphasising that GDP per capita growth is expected to remain relatively stable and strong. Fiscal pressures are anticipated to ease in the long run, but demography and labour market integration for Haredim and Arab Israelis will be critical factors shaping long-term fiscal results. The report also identifies ways to better monitor long-term fiscal developments and strengthen the fiscal framework.</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2023:</w:t>
      </w:r>
      <w:r>
        <w:t xml:space="preserve"> Feminization, Ageing, and Occupational Change in Europe in the Last 25 Years — https://doi.org/10.1111/padr.12586</w:t>
      </w:r>
    </w:p>
    <w:p>
      <w:pPr/>
      <w:r>
        <w:rPr>
          <w:b/>
        </w:rPr>
        <w:t>Shared claim-specific concepts:</w:t>
      </w:r>
      <w:r>
        <w:t xml:space="preserve"> indicate, ageing, labour; EU scope visible. This is a provisional connection, not an outcome finding.</w:t>
      </w:r>
    </w:p>
    <w:p>
      <w:pPr>
        <w:pStyle w:val="SourceNote"/>
      </w:pPr>
      <w:r>
        <w:rPr>
          <w:b/>
        </w:rPr>
        <w:t>Available abstract (not full text):</w:t>
      </w:r>
      <w:r>
        <w:t xml:space="preserve"> Abstract This paper presents new evidence on the interaction between demographic and occupational change in Europe over the last 25 years. We use data from the European Union Labour Force Survey covering six European countries. The analysis is based on a cross‐sectional comparison between the population and employment distributions in 1995 and 2019. This strategy allows us to study the changing demographic dynamics, which have brought a more feminized, aged, and educated working population, in a context of structural employment change, where higher job polarization or occupational upgrading are the main patterns. The results indicate that the increasing female participation has been associated with a strong general process of occupational upgrading that particularly benefited women. Still, the occupational profile of women is polarized relative to men. Although the process of educational upgrading was also stronger for women and overall they improved their occupational profile more than that of men, we find declining occupational returns to higher education for female workers in two countries. Finally, while European labor markets could accommodate the large increase in older workers, their occupational profile suffered some downgrading.</w:t>
      </w:r>
    </w:p>
    <w:p>
      <w:pPr/>
      <w:r>
        <w:rPr>
          <w:b/>
        </w:rPr>
        <w:t>POSSIBLE 2023:</w:t>
      </w:r>
      <w:r>
        <w:t xml:space="preserve"> Quarterly report and macroeconomic projections for the Spanish economy. September 2023 — https://doi.org/10.53479/33563</w:t>
      </w:r>
    </w:p>
    <w:p>
      <w:pPr/>
      <w:r>
        <w:rPr>
          <w:b/>
        </w:rPr>
        <w:t>Shared claim-specific concepts:</w:t>
      </w:r>
      <w:r>
        <w:t xml:space="preserve"> projections, see, labour; EU scope not established. This is a provisional connection, not an outcome finding.</w:t>
      </w:r>
    </w:p>
    <w:p>
      <w:pPr>
        <w:pStyle w:val="SourceNote"/>
      </w:pPr>
      <w:r>
        <w:rPr>
          <w:b/>
        </w:rPr>
        <w:t>Available abstract (not full text):</w:t>
      </w:r>
      <w:r>
        <w:t xml:space="preserve"> Projections 1 Global economic activity has slowed somewhat in recent months -In 2023 Q2, global growth moderated with respect to that observed in the previous quarter.However, this aggregate performance was marked by highly uneven economic growth across geographical areas.Thus, while GDP growth was higher than expected in some of the main world economies, such as the United States, the United Kingdom and Japan, it surprised on the downside in the euro area and in China.-According to the available indicators, global economic activity has decelerated further in Q3, as the weakness of the manufacturing sector appears to have spread to services (see Chart 1.a), against a backdrop of tightening financing conditions.-Overall, these developments have prompted slight revisions to global growth forecasts for 2023 and 2024 (see Chart 1.b).However, the 2023 growth forecast for the United States has been revised significantly upwards (partly on account of its strong labour market), and the forecast for China (owing, among other factors, to the sluggishness of investment and its real estate sector) and the euro area has been revised downwards for this and the coming year.</w:t>
      </w:r>
    </w:p>
    <w:p>
      <w:pPr>
        <w:pStyle w:val="Heading2"/>
      </w:pPr>
      <w:r>
        <w:t>695.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2026:</w:t>
      </w:r>
      <w:r>
        <w:t xml:space="preserve"> FEMINIZATION OF LABOR, DOUBLE BURDEN AND INVISIBLE WORK — https://doi.org/10.58532/nbennurepscb3p2c4</w:t>
      </w:r>
    </w:p>
    <w:p>
      <w:pPr/>
      <w:r>
        <w:rPr>
          <w:b/>
        </w:rPr>
        <w:t>Shared claim-specific concepts:</w:t>
      </w:r>
      <w:r>
        <w:t xml:space="preserve"> article, presents, international, labor, organization; EU scope not established. This is a provisional connection, not an outcome finding.</w:t>
      </w:r>
    </w:p>
    <w:p>
      <w:pPr>
        <w:pStyle w:val="SourceNote"/>
      </w:pPr>
      <w:r>
        <w:rPr>
          <w:b/>
        </w:rPr>
        <w:t>Available abstract (not full text):</w:t>
      </w:r>
      <w:r>
        <w:t xml:space="preserve"> This article presents a comprehensive sociological and gendered analysis of the feminization of labor, focusing on the intersections between paid employment, unpaid domestic and care work, and gender inequality. While women’s participation in the global labor market is increasing, their work is often concentrated in low-paying, precarious, and gender-segregated occupations, reflecting persistent social, economic, and cultural inequalities (ILO, 2022; UNRISD, 2018). Based on India-specific data from the International Labor Organization (ILO), the United Nations Research Institute for Social Development (UNRISD), and the Periodic Labor Force Survey (PLFS) and Time Use Survey (TUS), this paper examines informal employment, the dual burden, emotional labor, invisible work, domestic work, digital labor, and structural and cultural barriers. The analysis demonstrates that, despite women’s central role in sustaining families and economies, much of their labor remains undervalued and invisible. The article concludes that achieving gender equality requires the parallel cultural recognition of all forms of labor, the redistribution of care responsibilities, and structural reform of labor policy and social systems (Folbre, 2001; Walby, 1990).</w:t>
      </w:r>
    </w:p>
    <w:p>
      <w:pPr/>
      <w:r>
        <w:rPr>
          <w:b/>
        </w:rPr>
        <w:t>POSSIBLE 2026:</w:t>
      </w:r>
      <w:r>
        <w:t xml:space="preserve"> Labor education practices in modern schools: analysis results — https://doi.org/10.54884/1815-7041-2026-86-1-133-143</w:t>
      </w:r>
    </w:p>
    <w:p>
      <w:pPr/>
      <w:r>
        <w:rPr>
          <w:b/>
        </w:rPr>
        <w:t>Shared claim-specific concepts:</w:t>
      </w:r>
      <w:r>
        <w:t xml:space="preserve"> article, presents, labor, professional, skills; EU scope not established. This is a provisional connection, not an outcome finding.</w:t>
      </w:r>
    </w:p>
    <w:p>
      <w:pPr>
        <w:pStyle w:val="SourceNote"/>
      </w:pPr>
      <w:r>
        <w:rPr>
          <w:b/>
        </w:rPr>
        <w:t>Available abstract (not full text):</w:t>
      </w:r>
      <w:r>
        <w:t xml:space="preserve"> The article presents the results of a survey of representatives of educational organizations in 68 regions of the Russian Federation. The purpose of the study was to identify, analyze, and describe current practices of labor education in schools. The analysis of the survey results revealed the dominant role of labor education in the career guidance of schoolchildren, the orientation of labor education practices towards the socialization of students, a significant expansion of social partnership precisely within the framework of the implementation of labor education practices. The results obtained indicate that labor education in modern schools is considered not only as a means of forming practical skills, but also as an important component of professional self-determination, socialization and integration of education with the community and the labor market.</w:t>
      </w:r>
    </w:p>
    <w:p>
      <w:pPr>
        <w:pStyle w:val="Heading2"/>
      </w:pPr>
      <w:r>
        <w:t>696.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net, zero, developed;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Net Zero Ambitions in Heritage Settings — https://doi.org/10.47982/cgc.10.752</w:t>
      </w:r>
    </w:p>
    <w:p>
      <w:pPr/>
      <w:r>
        <w:rPr>
          <w:b/>
        </w:rPr>
        <w:t>Shared claim-specific concepts:</w:t>
      </w:r>
      <w:r>
        <w:t xml:space="preserve"> net, zero, retain, carbon; EU scope not established. This is a provisional connection, not an outcome finding.</w:t>
      </w:r>
    </w:p>
    <w:p>
      <w:pPr>
        <w:pStyle w:val="SourceNote"/>
      </w:pPr>
      <w:r>
        <w:rPr>
          <w:b/>
        </w:rPr>
        <w:t>Available abstract (not full text):</w:t>
      </w:r>
      <w:r>
        <w:t xml:space="preserve"> Net zero ambitions for London’s heritage buildings have long been constrained by conservation requirements that retain poorly performing historic windows or reliance on secondary glazing, limiting gains in thermal performance, airtightness, acoustics, and usability. Between the 1920s and 1960s, single-glazed, non-thermally broken rolled steel window profiles were widely used and are now valued for their slender sightlines and refined detailing. However, they perform poorly by modern standards. While modern systems offer significantly improved performance, they are typically considered unsuitable for listed buildings because their proportions and detailing diverge from original windows. This paper describes a collaborative initiative by Eckersley O’Callaghan, The Crown Estate, Royal MHB, and others to develop a high-performance window system that faithfully replicates the heritage aesthetic. The project operated across three strands: Conservation; close consultation ensured the architectural significance of the original windows was preserved, Whole-building performance; portfolio-wide energy assessments demonstrated a clear whole-life carbon benefit, and Product performance; rigorous design and product testing validated performance. The system has successfully progressed through engagement with Westminster heritage stakeholders, securing planning permission for the installation </w:t>
      </w:r>
    </w:p>
    <w:p>
      <w:pPr/>
      <w:r>
        <w:rPr>
          <w:b/>
        </w:rPr>
        <w:t>POSSIBLE 2026:</w:t>
      </w:r>
      <w:r>
        <w:t xml:space="preserve"> The Legality Of Net Zero Targets Under International Trade Law — https://doi.org/10.2139/ssrn.6374318</w:t>
      </w:r>
    </w:p>
    <w:p>
      <w:pPr/>
      <w:r>
        <w:rPr>
          <w:b/>
        </w:rPr>
        <w:t>Shared claim-specific concepts:</w:t>
      </w:r>
      <w:r>
        <w:t xml:space="preserve"> net, zero, targets;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pStyle w:val="Heading2"/>
      </w:pPr>
      <w:r>
        <w:t>697.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2026:</w:t>
      </w:r>
      <w:r>
        <w:t xml:space="preserve"> Civil servants as intermediaries contextualizing policy for sustainable energy transitions — https://doi.org/10.63959/chalmers.dt/5833</w:t>
      </w:r>
    </w:p>
    <w:p>
      <w:pPr/>
      <w:r>
        <w:rPr>
          <w:b/>
        </w:rPr>
        <w:t>Shared claim-specific concepts:</w:t>
      </w:r>
      <w:r>
        <w:t xml:space="preserve"> contextual, investigates, used; EU scope visible. This is a provisional connection, not an outcome finding.</w:t>
      </w:r>
    </w:p>
    <w:p>
      <w:pPr>
        <w:pStyle w:val="SourceNote"/>
      </w:pPr>
      <w:r>
        <w:rPr>
          <w:b/>
        </w:rPr>
        <w:t>Available abstract (not full text):</w:t>
      </w:r>
      <w:r>
        <w:t xml:space="preserve"> Climate change requires fundamental transformations in how energy is produced and used. While technological developments on the supply side are critical, meaningful progress also depends on everyday decisions citizens make in their homes – whether in consumption patterns or investments in low-carbon technologies. To support such decisions, policy plays a crucial role in accounting for differences in citizens’ motivations, knowledge, resources, and contextual barriers that make individual action difficult. Public energy advising is one key informational policy instrument, in which civil servants contextualize the broad policy mission of reducing environmental impact of energy use by guiding citizens through technological and behavioral measures. However, the effectiveness of this instrument depends not only on its formal design but on how civil servants interpret and contextualize these missions in practice – an aspect that remains insufficiently understood.This thesis explains how civil servants facilitate sustainable energy transitions when contextualizing policy missions. Conceptualizing them as public intermediaries, it investigates how they enact their mission and contribute to broader ecologies of intermediation. Empirically, it examines Sweden’s public energy advising program through a mixed-methods design combining document analysis, interviews, and surveys.The findings </w:t>
      </w:r>
    </w:p>
    <w:p>
      <w:pPr/>
      <w:r>
        <w:rPr>
          <w:b/>
        </w:rPr>
        <w:t>POSSIBLE 2026:</w:t>
      </w:r>
      <w:r>
        <w:t xml:space="preserve"> Review study on Information Gathering Using OSINT for Forensic Investigations — https://doi.org/10.2991/978-94-6239-610-4_24</w:t>
      </w:r>
    </w:p>
    <w:p>
      <w:pPr/>
      <w:r>
        <w:rPr>
          <w:b/>
        </w:rPr>
        <w:t>Shared claim-specific concepts:</w:t>
      </w:r>
      <w:r>
        <w:t xml:space="preserve"> gathering, analyzing, organization, ethical; EU scope not established. This is a provisional connection, not an outcome finding.</w:t>
      </w:r>
    </w:p>
    <w:p>
      <w:pPr>
        <w:pStyle w:val="SourceNote"/>
      </w:pPr>
      <w:r>
        <w:rPr>
          <w:b/>
        </w:rPr>
        <w:t>Available abstract (not full text):</w:t>
      </w:r>
      <w:r>
        <w:t xml:space="preserve"> In the current era of Digital Forensics, evidence collection and gathering information related to the crime, victim and the attacker is crucial, these evidences can be available at the scene of crime or in the larger databases like the Internet.The data which is present in the internet about a person or an organization is found in the public records and databases.This collection of the data which is publicly available can be performed with the help of OSINT, Open-Source Intelligence, using OSINT we can systematically collect, analyze and interpret the public databases.OSINT tools are mostly found all over the internet with each domain focusing on a specific type of data.OSINT can also be performed using Kali Linux based commands for a simpler and broader user data search.This paper provides a review on the information gathering tools and software which are available for open source while analyzing the accuracy of the selected software along with its legal, technical and ethical considerations.This paper includes rigorous searching for the information over the internet along with evaluating its accuracy and relevance in accordance to the source.In the process of gathering information related to a specific person we find the person's digital footprint and their interaction with various platforms.This paper also highlights the future directions of OSINT, its credibility and reliab</w:t>
      </w:r>
    </w:p>
    <w:p>
      <w:pPr>
        <w:pStyle w:val="Heading2"/>
      </w:pPr>
      <w:r>
        <w:t>698.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2026:</w:t>
      </w:r>
      <w:r>
        <w:t xml:space="preserve"> Ageing and sex attraction of Teratorhabditis nematode — https://doi.org/10.4025/actascianimsci.v48i1.75504</w:t>
      </w:r>
    </w:p>
    <w:p>
      <w:pPr/>
      <w:r>
        <w:rPr>
          <w:b/>
        </w:rPr>
        <w:t>Shared claim-specific concepts:</w:t>
      </w:r>
      <w:r>
        <w:t xml:space="preserve"> different, ageing, produce, but; EU scope not established. This is a provisional connection, not an outcome finding.</w:t>
      </w:r>
    </w:p>
    <w:p>
      <w:pPr>
        <w:pStyle w:val="SourceNote"/>
      </w:pPr>
      <w:r>
        <w:rPr>
          <w:b/>
        </w:rPr>
        <w:t>Available abstract (not full text):</w:t>
      </w:r>
      <w:r>
        <w:t xml:space="preserve"> Sex attraction was observed in the free - living nematode Teratorhabdits palmarum (Gerber &amp; Giblin-Davis, 1990). Attraction by means of pheromones provides the ability to find and distinguish appropriate individual with which to mate. In the present study, we performed sex attraction assay to examine whether males of different age groups or reproductive states respond to volatile sex attractants of females. In T. palmarum, young virgin males were strongly attracted to young virgin females but declined with their age. Young non - virgin males responded to young virgin females while they did not respond to ten - day old virgin female. Similarly, old but not young virgin males failed to respond to non - virgin females. Attraction of virgin and non - virgin males declined with their age and also declined or did not occur with increasing age of females. We also investigated the pheromone system of the gonochoristic nematode Teratorhabdits palmarum that produces sex - specific attractants of the opposite sex. Mass Spectrometric Analysis of the T. palmarum exometabolome revealed that females but not males, produce the male attracting ascr#1 and ascr#9, ascaroside previously identified from C. elegans and other nematodes. The specific function of these ascarosides would not be analysed, because these pheromones play different roles in different nematode species.</w:t>
      </w:r>
    </w:p>
    <w:p>
      <w:pPr/>
      <w:r>
        <w:rPr>
          <w:b/>
        </w:rPr>
        <w:t>POSSIBLE 2026:</w:t>
      </w:r>
      <w:r>
        <w:t xml:space="preserve"> Thermo‐Oxidative Ageing of Degradable Resins Based on Different Transesterification Catalysts — https://doi.org/10.1049/nde2.70035</w:t>
      </w:r>
    </w:p>
    <w:p>
      <w:pPr/>
      <w:r>
        <w:rPr>
          <w:b/>
        </w:rPr>
        <w:t>Shared claim-specific concepts:</w:t>
      </w:r>
      <w:r>
        <w:t xml:space="preserve"> different, ageing, markedly, abstract; EU scope not established. This is a provisional connection, not an outcome finding.</w:t>
      </w:r>
    </w:p>
    <w:p>
      <w:pPr>
        <w:pStyle w:val="SourceNote"/>
      </w:pPr>
      <w:r>
        <w:rPr>
          <w:b/>
        </w:rPr>
        <w:t>Available abstract (not full text):</w:t>
      </w:r>
      <w:r>
        <w:t xml:space="preserve"> ABSTRACT This study investigates the influence of different transesterification catalysts on the performance evolution of degradable epoxy resins under thermal‐oxidative ageing. Three resin systems were prepared using triethanolamine (TEOA), 1,5,7‐triazabicyclo[4.4.0]dec‐5‐ene (TBD), and zinc acetylacetonate as catalysts, followed by ageing tests at 220°C. The effects of ageing time and catalyst type on the electrical, thermal, mechanical properties and degradation behaviour of the resins were systematically analysed. Results reveal that prolonged ageing causes certain performance degradation, yet the resins still maintain favourable overall properties at the late ageing stage. The V‐TEOA system shows the best performance retention after 42 days of ageing, with key indicators as follows: breakdown strength 36.7 kV/mm, dielectric loss factor 0.46%, leakage current 65.34 μA, flexural strength 67.32 MPa and temperature index 170.99°C. Meanwhile, thermal‐oxidative ageing markedly weakens the degradation efficiency of the resins, and a distinct core–shell structure is found in the degraded V‐TBD system. This work deepens the understanding of ageing behaviours of such resins and supports their practical application in the engineering.</w:t>
      </w:r>
    </w:p>
    <w:p>
      <w:pPr>
        <w:pStyle w:val="Heading2"/>
      </w:pPr>
      <w:r>
        <w:t>699.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2026:</w:t>
      </w:r>
      <w:r>
        <w:t xml:space="preserve"> Economic, environmental, social, and ethical impacts of AI in smart farming — https://doi.org/10.1016/b978-0-443-43918-6.00006-4</w:t>
      </w:r>
    </w:p>
    <w:p>
      <w:pPr/>
      <w:r>
        <w:rPr>
          <w:b/>
        </w:rPr>
        <w:t>Shared claim-specific concepts:</w:t>
      </w:r>
      <w:r>
        <w:t xml:space="preserve"> environmental,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PATTERNS OF ECONOMIC AND SOCIAL INEQUALITY IN DIFFERENT COUNTRIES: A LITERATURE REVIEW — https://openalex.org/W7221250915</w:t>
      </w:r>
    </w:p>
    <w:p>
      <w:pPr/>
      <w:r>
        <w:rPr>
          <w:b/>
        </w:rPr>
        <w:t>Shared claim-specific concepts:</w:t>
      </w:r>
      <w:r>
        <w:t xml:space="preserve"> different, patterns; EU scope not established. This is a provisional connection, not an outcome finding.</w:t>
      </w:r>
    </w:p>
    <w:p>
      <w:pPr>
        <w:pStyle w:val="SourceNote"/>
      </w:pPr>
      <w:r>
        <w:rPr>
          <w:b/>
        </w:rPr>
        <w:t>Available abstract (not full text):</w:t>
      </w:r>
      <w:r>
        <w:t xml:space="preserve"> Inequality is a complex and multidimensional global phenomenon, with varying levels and characteristics among countries with different levels of development. Common trends identified include the increase in inequality in recent decades, the link between inequality and differential access to opportunities, and the negative impact of inequality on economic growth, socio-political stability and people's well-being. The review concludes that a comprehensive and inclusive approach is needed to address economic and social inequality. This should involve collaboration between the government, private sector, and civil society in implementing policies that promote equity, such as progressive tax reforms, investment in education and skills training, expanded access to healthcare and social protection, and the promotion of inclusive and sustainable economic growth. In addition, efforts are needed to strengthen governance, fight corruption, and promote transparency and accountability in public decision-making.</w:t>
      </w:r>
    </w:p>
    <w:p>
      <w:pPr/>
      <w:r>
        <w:rPr>
          <w:b/>
        </w:rPr>
        <w:t>POSSIBLE 2026:</w:t>
      </w:r>
      <w:r>
        <w:t xml:space="preserve"> Compounding hazards increase flood economic losses across Europe — https://doi.org/10.1038/s41467-026-73248-0</w:t>
      </w:r>
    </w:p>
    <w:p>
      <w:pPr/>
      <w:r>
        <w:rPr>
          <w:b/>
        </w:rPr>
        <w:t>Shared claim-specific concepts:</w:t>
      </w:r>
      <w:r>
        <w:t xml:space="preserve"> environmental, impacts, regional;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pStyle w:val="Heading2"/>
      </w:pPr>
      <w:r>
        <w:t>700.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2026:</w:t>
      </w:r>
      <w:r>
        <w:t xml:space="preserve"> Climate Change Action and Climate Geoengineering Under Neorealism — https://doi.org/10.3390/su18136850</w:t>
      </w:r>
    </w:p>
    <w:p>
      <w:pPr/>
      <w:r>
        <w:rPr>
          <w:b/>
        </w:rPr>
        <w:t>Shared claim-specific concepts:</w:t>
      </w:r>
      <w:r>
        <w:t xml:space="preserve"> specifically, action, climate, increase;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How are European small enterprises dealing with the circular economy? — https://doi.org/10.12688/openreseurope.23303.1</w:t>
      </w:r>
    </w:p>
    <w:p>
      <w:pPr/>
      <w:r>
        <w:rPr>
          <w:b/>
        </w:rPr>
        <w:t>Shared claim-specific concepts:</w:t>
      </w:r>
      <w:r>
        <w:t xml:space="preserve"> specifically, action, must; EU scope visible. This is a provisional connection, not an outcome finding.</w:t>
      </w:r>
    </w:p>
    <w:p>
      <w:pPr>
        <w:pStyle w:val="SourceNote"/>
      </w:pPr>
      <w:r>
        <w:rPr>
          <w:b/>
        </w:rPr>
        <w:t>Available abstract (not full text):</w:t>
      </w:r>
      <w:r>
        <w:t xml:space="preserve"> Background: Environmental sustainability and energy savings are crucial for economic development, yet European SMEs account for 63.3% of total CO2 firms emissions. Understanding how these businesses behave when transitioning to a Circular Economy is essential for policymakers to design appropriate measures and incentives for preventing negative environmental externalities. Methods: The study analyzed data from the fifth wave of the "SMEs, resource efficiency, and green markets" survey conducted in late 2021, which included 14,008 enterprises across 27 European Union member states. To categorize the companies, researchers applied a K-modes clustering algorithm-a machine learning method designed specifically for categorical data- to evaluate six qualitative business characteristics and nine environmental actions. Results: The analysis identified three distinct business behavior clusters. Cluster 1 (6,195 firms) primarily provides services to other businesses and focuses heavily on energy savings and waste minimization. Cluster 2 (4,002 firms) is the least environmentally proactive group, predominantly selling products directly to consumers, with 21.14% taking no environmental action at all. Cluster 3 (3,811 firms) is the most active and diverse group, exhibiting the highest participation in minimizing waste and saving energy but also reporting the most difficulties. Regardless of</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action, must,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2025:</w:t>
      </w:r>
      <w:r>
        <w:t xml:space="preserve"> The Quest for Coherence in Climate Actions: The Case for Québec's Climate Strategy — https://doi.org/10.1002/eet.2164</w:t>
      </w:r>
    </w:p>
    <w:p>
      <w:pPr/>
      <w:r>
        <w:rPr>
          <w:b/>
        </w:rPr>
        <w:t>Shared claim-specific concepts:</w:t>
      </w:r>
      <w:r>
        <w:t xml:space="preserve"> specifically, action, climate, strategy; EU scope not established. This is a provisional connection, not an outcome finding.</w:t>
      </w:r>
    </w:p>
    <w:p>
      <w:pPr>
        <w:pStyle w:val="SourceNote"/>
      </w:pPr>
      <w:r>
        <w:rPr>
          <w:b/>
        </w:rPr>
        <w:t>Available abstract (not full text):</w:t>
      </w:r>
      <w:r>
        <w:t xml:space="preserve"> ABSTRACT Studies on climate policy coherence often focus on policy components as the essential element of success by examining their objectives, instruments, and implementation practices. However, while some studies have demonstrated that it is essential to evaluate the programs or actions that translate policies into success, few have focused specifically on program coherence. This research uses monitoring sheets for programs ( N = 177) funded under the Québec Climate Change Action Plan (CCAP) 2013–2020 to perform a comprehensive analysis of program coherence, combining relational content analysis and social network analysis. Findings suggest a failure to achieve the action plan and provide pertinent shortcomings and gaps related to the program's objectives and indicators, including challenges with collaboration and coordination. Given the complexity and cross‐cutting nature of climate issues, this study contributes to the literature on policy coherence and argues in favor of program coherence for a better design and assessment of the effectiveness of climate policies and programs. Moreover, through an integrative framework for policy coherence, the study suggests adding public programs to the existing policy components for policy coherence assessment. While relying on effective collaboration and coordination, implications for practitioners include a rigorous use of various pr</w:t>
      </w:r>
    </w:p>
    <w:p>
      <w:pPr>
        <w:pStyle w:val="Heading2"/>
      </w:pPr>
      <w:r>
        <w:t>701.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2026:</w:t>
      </w:r>
      <w:r>
        <w:t xml:space="preserve"> Critical Informed Passive Citizens of a Normative Power Europe 2.0 — https://doi.org/10.4324/9781003585138-9</w:t>
      </w:r>
    </w:p>
    <w:p>
      <w:pPr/>
      <w:r>
        <w:rPr>
          <w:b/>
        </w:rPr>
        <w:t>Shared claim-specific concepts:</w:t>
      </w:r>
      <w:r>
        <w:t xml:space="preserve"> article, citizens, between; EU scope visible. This is a provisional connection, not an outcome finding.</w:t>
      </w:r>
    </w:p>
    <w:p>
      <w:pPr>
        <w:pStyle w:val="SourceNote"/>
      </w:pPr>
      <w:r>
        <w:rPr>
          <w:b/>
        </w:rPr>
        <w:t>Available abstract (not full text):</w:t>
      </w:r>
      <w:r>
        <w:t xml:space="preserve"> This chapter discusses the findings with regard to advancing the conceptual debate on the relation between the EU and its citizens. It is first highlighted how especially the unexpected findings derived from the interpretative analysis were the decisive and innovative ones in the research. Second, it is illustrated that the students depicted a highly politicised detailed image of the European Union (EU) as a “Normative Power Europe 2.0”, i.e. a EU that is a fully developed polity, a democracy, marked by the values defined in article 2 Treaty on European Union (TEU), and on this basis acts as a full-fledged actor in the world. This indicates that EU politicisation also regards the character of the EU as a polity, not only certain policies and conflicts. Third, the three gaps found in the course of the research are resumed—a democracy gap, conflicts between states, and gaps between citizens. A fourth gap is added: A politicisation gap that refers to the students’ passive attitude. Fourth, on the basis of the research findings, conceptual reflections with regard to citizenship in the EU, politicisation, and Euroscepticism are outlined. The chapter concludes on two typologies: One of the student relations to the EU and one of democracy in the EU.</w:t>
      </w:r>
    </w:p>
    <w:p>
      <w:pPr/>
      <w:r>
        <w:rPr>
          <w:b/>
        </w:rPr>
        <w:t>POSSIBLE 2026:</w:t>
      </w:r>
      <w:r>
        <w:t xml:space="preserve"> Exploring European urban digital twins for climate adaptation — https://doi.org/10.1186/s42854-026-00102-3</w:t>
      </w:r>
    </w:p>
    <w:p>
      <w:pPr/>
      <w:r>
        <w:rPr>
          <w:b/>
        </w:rPr>
        <w:t>Shared claim-specific concepts:</w:t>
      </w:r>
      <w:r>
        <w:t xml:space="preserve"> article, exploring, citizens, between, support, technology; EU scope visible. This is a provisional connection, not an outcome finding.</w:t>
      </w:r>
    </w:p>
    <w:p>
      <w:pPr>
        <w:pStyle w:val="SourceNote"/>
      </w:pPr>
      <w:r>
        <w:rPr>
          <w:b/>
        </w:rPr>
        <w:t>Available abstract (not full text):</w:t>
      </w:r>
      <w:r>
        <w:t xml:space="preserve"> Abstract Cities are significant sources of emissions, bear the impacts of climate change and are at the forefront of applying new digital tools. This leads to an increased interest in how big data can be leveraged to tackle climate change impacts. One of the emerging big data applications on a city level is the urban digital twin. Current literature on urban digital twins focuses on their data and technology aspects, but studies on their implementation, use, and the role of various stakeholders involved in these remain scarce. Therefore, this study examines how urban digital twins are conceptualized and envisioned to support the decision-making process for climate adaptation measures. This study consists of a literature review and examines six European urban digital twins through eight semi-structured interviews with practitioners. The results show that the main features of the urban digital twins are connected to (1) simulations of extreme weather events and climate adaptation measures to address the impacts of these extreme weather events by city employees, and in the future, (2) co-creation of climate adaptation measures through collaborations between city employees and citizens. Both features aim to support the decision-making process within the local government. In conclusion, this article discusses practical examples of urban digital twins, revealing that more research is</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pStyle w:val="Heading2"/>
      </w:pPr>
      <w:r>
        <w:t>702.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2026:</w:t>
      </w:r>
      <w:r>
        <w:t xml:space="preserve"> ICT investment and carbon emission efficiency in regional port groups: evidence from Chinese coastal provinces — https://doi.org/10.1057/s41599-026-06509-4</w:t>
      </w:r>
    </w:p>
    <w:p>
      <w:pPr/>
      <w:r>
        <w:rPr>
          <w:b/>
        </w:rPr>
        <w:t>Shared claim-specific concepts:</w:t>
      </w:r>
      <w:r>
        <w:t xml:space="preserve"> carbon, investments, indicate, climate; EU scope not established. This is a provisional connection, not an outcome finding.</w:t>
      </w:r>
    </w:p>
    <w:p>
      <w:pPr>
        <w:pStyle w:val="SourceNote"/>
      </w:pPr>
      <w:r>
        <w:rPr>
          <w:b/>
        </w:rPr>
        <w:t>Available abstract (not full text):</w:t>
      </w:r>
      <w:r>
        <w:t xml:space="preserve"> Growing concerns about climate change have intensified scrutiny of port operations as significant contributors to global emissions, prompting ports worldwide to reconcile environmental sustainability with operational efficiency. Yet how digital investments specifically influence environmental performance in regional maritime systems remains insufficiently understood. Existing research has examined ICT’s economic impacts and operational efficiency separately. However, limited empirical attention has been directed towards the relationship between digital transformation and carbon emission efficiency. This gap is particularly notable regarding the differential effects of ICT components and the role of governance structures. This study examines nine Chinese coastal provinces from 2008 to 2019, decomposing ICT capital into hardware, communication equipment, and software components. Using two-way fixed effects models and instrumental variables approaches, we analyse their impacts on carbon emission efficiency within regional port groups. Results indicate that ICT investment significantly enhances carbon emission efficiency, with hardware demonstrating the strongest effect, followed by communication equipment and software. The relationship operates through both direct channels and indirect pathways via functional specialisation. Digital infrastructure enables ports to develop clearer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china, rapid, decarbonization;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2025:</w:t>
      </w:r>
      <w:r>
        <w:t xml:space="preserve"> Japan's Government Pension Investment Fund and ESG Investment: Policy Pathways to Carbon Neutrality — https://doi.org/10.52152/3126</w:t>
      </w:r>
    </w:p>
    <w:p>
      <w:pPr/>
      <w:r>
        <w:rPr>
          <w:b/>
        </w:rPr>
        <w:t>Shared claim-specific concepts:</w:t>
      </w:r>
      <w:r>
        <w:t xml:space="preserve"> china, carbon, reference, climate; EU scope not established. This is a provisional connection, not an outcome finding.</w:t>
      </w:r>
    </w:p>
    <w:p>
      <w:pPr>
        <w:pStyle w:val="SourceNote"/>
      </w:pPr>
      <w:r>
        <w:rPr>
          <w:b/>
        </w:rPr>
        <w:t>Available abstract (not full text):</w:t>
      </w:r>
      <w:r>
        <w:t xml:space="preserve"> With climate change and carbon neutrality becoming focal issues, GPIF, as the world's largest pension fund, plays an important role in promoting sustainable finance in Japan. Although there are still obstacles to achieving Japan's carbon neutrality goal, the Government Pension Investment Fund (GPIF) has proposed solutions in sustainable finance. Its exploration and practice of ESG investment is achieved mainly through participation in engagement-enhanced passive investment, inclusion of ESG indices as passive benchmarks, improvement of ESG rating standards, and increased investment in ESG bonds. As a result, GPIF has not only achieved investment returns higher than the benchmark through ESG investment, but also saw an annual improvement in the portfolio greenhouse gas emission. Drawing on GPIF's experience, this study provides a practical reference for the national social security fund of the People’s Republic of China.</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pStyle w:val="Heading2"/>
      </w:pPr>
      <w:r>
        <w:t>703.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2025:</w:t>
      </w:r>
      <w:r>
        <w:t xml:space="preserve"> An interpretable multi-transformer ensemble for text-based movie genre classification — https://doi.org/10.7717/peerj-cs.2945</w:t>
      </w:r>
    </w:p>
    <w:p>
      <w:pPr/>
      <w:r>
        <w:rPr>
          <w:b/>
        </w:rPr>
        <w:t>Shared claim-specific concepts:</w:t>
      </w:r>
      <w:r>
        <w:t xml:space="preserve"> used, ensemble, combined; EU scope not established. This is a provisional connection, not an outcome finding.</w:t>
      </w:r>
    </w:p>
    <w:p>
      <w:pPr>
        <w:pStyle w:val="SourceNote"/>
      </w:pPr>
      <w:r>
        <w:rPr>
          <w:b/>
        </w:rPr>
        <w:t>Available abstract (not full text):</w:t>
      </w:r>
      <w:r>
        <w:t xml:space="preserve"> Multi-label movie genre classification is challenging due to the inherent ambiguity and overlap between different genres. Most of the existing works in genre classification use audio-visual modalities. The potential of text-based modalities in movie genre classification is still underexplored. This paper proposes an ensemble deep-learning model that uses movie plots to predict movie genres. After pre-processing the text plots, three transformer-based models, Bidirectional Encoder Representations from Transformers (BERT), DistilBERT, and Robustly Optimized BERT Pre-training Approach (ROBERTa), are used to generate genre predictions, combined through a weighted soft-voting method. The proposed ensemble architecture achieves state-of-the-art performance on two benchmark datasets, Trailers12K and LMTD9, with a micro-average precision of 80.10% and 80.37%, respectively, significantly outperforming both traditional machine learning approaches and advanced deep learning models. The ensemble's superior performance is attributed to its ability to combine the diverse strengths of individual models and capture nuanced genre-specific information from textual features. The lack of interpretability in deep learning models for genre classification is addressed using Local Interpretable Model-Agnostic Explanations (LIME), which provides both local and global explanations for the model's predic</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pStyle w:val="Heading2"/>
      </w:pPr>
      <w:r>
        <w:t>704.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regions;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LIFE EXPECTANCY IN UZBEKISTAN: TRENDS AND FORECASTS — https://doi.org/10.5281/zenodo.23313585</w:t>
      </w:r>
    </w:p>
    <w:p>
      <w:pPr/>
      <w:r>
        <w:rPr>
          <w:b/>
        </w:rPr>
        <w:t>Shared claim-specific concepts:</w:t>
      </w:r>
      <w:r>
        <w:t xml:space="preserve"> forecasts, trends, life; EU scope not established. This is a provisional connection, not an outcome finding.</w:t>
      </w:r>
    </w:p>
    <w:p>
      <w:pPr>
        <w:pStyle w:val="SourceNote"/>
      </w:pPr>
      <w:r>
        <w:rPr>
          <w:b/>
        </w:rPr>
        <w:t>Available abstract (not full text):</w:t>
      </w:r>
      <w:r>
        <w:t xml:space="preserve"> This paper explores the relationship between per capita health expenditure and life expectancy in Uzbekistan from 2000 to 2030. Using WHO data, the study constructs regression and ARIMA models to project key health and economic indicators. The analysis reveals a statistically significant relationship between increased per capita health expenditure and rising life expectancy. Based on the regression model, life expectancy is expected to reach 79.5 years by 2030, up from 73 years in 2025.</w:t>
      </w:r>
    </w:p>
    <w:p>
      <w:pPr/>
      <w:r>
        <w:rPr>
          <w:b/>
        </w:rPr>
        <w:t>POSSIBLE 2026:</w:t>
      </w:r>
      <w:r>
        <w:t xml:space="preserve"> Categorical short-term forecasts of respiratory pathogens in Europe — https://doi.org/10.1016/j.epidem.2026.100938</w:t>
      </w:r>
    </w:p>
    <w:p>
      <w:pPr/>
      <w:r>
        <w:rPr>
          <w:b/>
        </w:rPr>
        <w:t>Shared claim-specific concepts:</w:t>
      </w:r>
      <w:r>
        <w:t xml:space="preserve"> forecasts, possible, help; EU scope visible. This is a provisional connection, not an outcome finding.</w:t>
      </w:r>
    </w:p>
    <w:p>
      <w:pPr>
        <w:pStyle w:val="SourceNote"/>
      </w:pPr>
      <w:r>
        <w:rPr>
          <w:b/>
        </w:rPr>
        <w:t>Available abstract (not full text):</w:t>
      </w:r>
      <w:r>
        <w:t xml:space="preserve"> Real-time near-term forecasts of seasonal respiratory infections are currently available from the European Centre for Disease Prevention and Control through the Respicast forecast hub. In this study, we explored the generation of probabilistic forecasts of short-term change in influenza-like illness (ILI) and acute respiratory illness (ARI) disease activity for over twenty countries in Europe. Building on publicly available datasets of respiratory disease activity in Europe, we describe a forecasting pipeline that includes: a) a flexible method to define categories of interest, in relation to disease activity seen in past seasons; and b) an approach based on smoothing splines to translate real-time probabilistic forecasts of continuous targets (available in Respicast) to forecasts of categorical targets. We applied the methods to forecast ILI/ARI consultation rates in Europe, and influenza-associated hospitalization in the United States during the 2024/25 season. For forecasts in the US, results suggest that the simple approximation method can match the skill of at least a third of the models with which a direct comparison was possible. Skill of the approximated forecasts of nearly half of the models in Respicast were better than the benchmark's when predicting ILI rate changes. Approximation of the hub-ensemble's continuous forecasts yielded an improvement of 24% over benchmar</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2025:</w:t>
      </w:r>
      <w:r>
        <w:t xml:space="preserve"> AWaRe classification analysis for European countries with ARIMA forecasts to assess prescribing patterns and ‘One Health’ targets — https://doi.org/10.1007/s00210-025-04121-y</w:t>
      </w:r>
    </w:p>
    <w:p>
      <w:pPr/>
      <w:r>
        <w:rPr>
          <w:b/>
        </w:rPr>
        <w:t>Shared claim-specific concepts:</w:t>
      </w:r>
      <w:r>
        <w:t xml:space="preserve"> forecasts, trends, regions; EU scope visible. This is a provisional connection, not an outcome finding.</w:t>
      </w:r>
    </w:p>
    <w:p>
      <w:pPr>
        <w:pStyle w:val="SourceNote"/>
      </w:pPr>
      <w:r>
        <w:rPr>
          <w:b/>
        </w:rPr>
        <w:t>Available abstract (not full text):</w:t>
      </w:r>
      <w:r>
        <w:t xml:space="preserve"> BACKGROUND: Antimicrobial resistance is a major threat to public health, with a well-established link between antibacterial consumption and bacterial resistance. Stewardship needs to focus on reducing overall consumption and optimising the quality of prescribing. The European Union's 'One Health' approach aims for at least 65% of antibacterial consumption to be in the 'Access' category of the AWaRe framework until 2030. PURPOSE: This study advances the field by shifting the focus from simply quantifying antibacterial consumption to a nuanced assessment of prescribing quality. Prudent and problematic prescribing behaviour is identified in past and projected trends, both for individual countries and European regions. Progress towards the EU's 'One Health' targets for the human sector is assessed and compared with total antibacterial consumption. METHODS: This study analyses data from 1997-2023 and predicts future proportions of AWaRe drug classes for European countries until 2030, using the ARIMA(1,0,1) model. The distribution and changes of the AWaRe groups were analysed to assess prescribing behaviour. Total antibacterial consumption is compared with findings of the 'One Health' targets, and bivariate correlation analyses are performed. RESULTS: Robust forecast models were developed for the AWaRe classification for 30 European countries. In 2030, the 'Access' group is projected</w:t>
      </w:r>
    </w:p>
    <w:p>
      <w:pPr/>
      <w:r>
        <w:rPr>
          <w:b/>
        </w:rPr>
        <w:t>POSSIBLE 2025:</w:t>
      </w:r>
      <w:r>
        <w:t xml:space="preserve"> Global burden trends and forecasts for MAFLD in adolescents and young adults from 1990 to 2021 — https://doi.org/10.1038/s41598-025-98489-9</w:t>
      </w:r>
    </w:p>
    <w:p>
      <w:pPr/>
      <w:r>
        <w:rPr>
          <w:b/>
        </w:rPr>
        <w:t>Shared claim-specific concepts:</w:t>
      </w:r>
      <w:r>
        <w:t xml:space="preserve"> forecasts, trends, life, regions; EU scope not established. This is a provisional connection, not an outcome finding.</w:t>
      </w:r>
    </w:p>
    <w:p>
      <w:pPr>
        <w:pStyle w:val="SourceNote"/>
      </w:pPr>
      <w:r>
        <w:rPr>
          <w:b/>
        </w:rPr>
        <w:t>Available abstract (not full text):</w:t>
      </w:r>
      <w:r>
        <w:t xml:space="preserve"> Metabolic-dysfunction associated fatty liver disease (MAFLD) is a widespread chronic liver condition that has been steadily increasing among adolescents and young adults in recent years, posing a major global public health concern. This study aims to conduct an in-depth analysis of the Global Burden of Disease (GBD) 2021 data on MAFLD, focusing on prevalence, incidence, and disability-adjusted life years (DALY) for individuals aged 15-39, spanning the period from 1990 to 2021. This research examines data from the GBD study covering 1990 to 2021 to assess the prevalence, incidence, and DALYs associated with of MAFLD in adolescents and young adults aged 15-39. The analysis is broken down by socioeconomic status, geographic regions, and specific countries. Advanced statistical methods, including the estimated annual percentage change (EAPC) and Bayesian age-period-cohort (BAPC) modeling, were used to deliver the most current and thorough epidemiological assessment of MAFLD in this demographic. In 2021, the estimated global cases of non-alcoholic fatty liver disease among adolescents and young adults reached approximately 423 million, representing a 75.31% increase from 1990. The age-standardized prevalence rate (ASPR) was 14,221.32 cases per 100,000 population, and the age-standardized incidence rate (ASIR) was 977.61 cases per 100,000 population in 2021. Between 1990 and 2021, th</w:t>
      </w:r>
    </w:p>
    <w:p>
      <w:pPr/>
      <w:r>
        <w:rPr>
          <w:b/>
        </w:rPr>
        <w:t>POSSIBLE 2025:</w:t>
      </w:r>
      <w:r>
        <w:t xml:space="preserve"> The Simons Observatory: science goals and forecasts for the enhanced Large Aperture Telescope — https://doi.org/10.1088/1475-7516/2025/08/034</w:t>
      </w:r>
    </w:p>
    <w:p>
      <w:pPr/>
      <w:r>
        <w:rPr>
          <w:b/>
        </w:rPr>
        <w:t>Shared claim-specific concepts:</w:t>
      </w:r>
      <w:r>
        <w:t xml:space="preserve"> forecasts, science, determine; EU scope not established. This is a provisional connection, not an outcome finding.</w:t>
      </w:r>
    </w:p>
    <w:p>
      <w:pPr>
        <w:pStyle w:val="SourceNote"/>
      </w:pPr>
      <w:r>
        <w:rPr>
          <w:b/>
        </w:rPr>
        <w:t>Available abstract (not full text):</w:t>
      </w:r>
      <w:r>
        <w:t xml:space="preserve"> Abstract We describe updated scientific goals for the wide-field, millimeter-wave survey that will be produced by the Simons Observatory (SO). Significant upgrades to the 6-meter SO Large Aperture Telescope (LAT) are expected to be complete by 2028, and will include a doubled mapping speed with 30,000 new detectors and an automated data reduction pipeline. In addition, a new photovoltaic array will supply most of the observatory's power. The LAT survey will cover about 60% of the sky at a regular observing cadence, with five times the angular resolution and ten times the map depth of the Planck satellite. The science goals are to: (1) determine the physical conditions in the early universe and constrain the existence of new light particles; (2) measure the integrated distribution of mass, electron pressure, and electron momentum in the late-time universe, and, in combination with optical surveys, determine the neutrino mass and the effects of dark energy via tomographic measurements of the growth of structure at redshifts z ≲ 3; (3) measure the distribution of electron density and pressure around galaxy groups and clusters, and calibrate the effects of energy input from galaxy formation on the surrounding environment; (4) produce a sample of more than 30,000 galaxy clusters, and more than 100,000 extragalactic millimeter sources, including regularly sampled AGN light-curves, to</w:t>
      </w:r>
    </w:p>
    <w:p>
      <w:pPr/>
      <w:r>
        <w:rPr>
          <w:b/>
        </w:rPr>
        <w:t>POSSIBLE 2025:</w:t>
      </w:r>
      <w:r>
        <w:t xml:space="preserve"> Energy Demand Forecasting and Policy Development in Turkey — https://doi.org/10.3390/en18133301</w:t>
      </w:r>
    </w:p>
    <w:p>
      <w:pPr/>
      <w:r>
        <w:rPr>
          <w:b/>
        </w:rPr>
        <w:t>Shared claim-specific concepts:</w:t>
      </w:r>
      <w:r>
        <w:t xml:space="preserve"> forecasts, trends; EU scope not established. This is a provisional connection, not an outcome finding.</w:t>
      </w:r>
    </w:p>
    <w:p>
      <w:pPr>
        <w:pStyle w:val="SourceNote"/>
      </w:pPr>
      <w:r>
        <w:rPr>
          <w:b/>
        </w:rPr>
        <w:t>Available abstract (not full text):</w:t>
      </w:r>
      <w:r>
        <w:t xml:space="preserve"> As Turkey’s energy demand surges due to industrialization, population growth, and economic development, precise forecasting of electricity demand has become crucial for ensuring energy security and facilitating sustainable planning. This study undertakes an analysis of Turkey’s current energy landscape and develops long-term electricity demand forecasts utilizing a diverse array of statistical and machine learning models, including linear regression, polynomial regression, and artificial neural networks (ANNs). By incorporating economic indicators, demographic trends, and historical consumption data, this research projects Turkey’s electricity demand up to 2045. Among the various influencing factors, industrial production stands out as the most significant driver. The findings offer strategic insights into infrastructure investments, the integration of renewable energy, and policies aimed at enhancing efficiency. This research presents a data-driven, policy-oriented framework to assist decision-makers in reducing import dependence while steering Turkey towards a sustainable energy transition.</w:t>
      </w:r>
    </w:p>
    <w:p>
      <w:pPr>
        <w:pStyle w:val="Heading2"/>
      </w:pPr>
      <w:r>
        <w:t>705.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Exploring the Interrelationships Among Supply Chain Emissions, Financial Performance, Market Value, and Board Sustainability: An Exploration of the European Landscape — https://doi.org/10.1002/csr.70398</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ABSTRACT National and supranational institutions are establishing emission trading systems and control schemes in an attempt to manage stakeholders' willingness to engage with regulatory systems and reduce greenhouse gas emissions (GHG). Nonetheless, despite the national and supranational focus on carbon neutrality, little research has been centered around the interrelationships impacting organizations' scope 2 and 3 GHG emissions. Specifically, scholars underscore the need to test the link between scope 2 and 3 emissions and organizations' financial performance, market value, and governance bodies. Henceforth, this article seeks to examine the interrelationships between organizations' financial performance, market value, board sustainability, and their scope 2 and 3 GHG emissions. This manuscript is informed by a multidimensional socio‐economic‐based theoretical framework. This research uses a panel dataset composed of 437 publicly listed companies whose headquarters are located in Europe. The sample focuses on European companies given its agenda to become carbon neutral by 2050. The obtained findings suggest a positive association between organizations' supply chain emissions and their market value. Moreover, it is possible to observe a positive association between organizations' supply chain GHG and their financial performance. Finally, the authors observe a positive associa</w:t>
      </w:r>
    </w:p>
    <w:p>
      <w:pPr/>
      <w:r>
        <w:rPr>
          <w:b/>
        </w:rPr>
        <w:t>POSSIBLE 2026:</w:t>
      </w:r>
      <w:r>
        <w:t xml:space="preserve"> An Overview of Advancements in Basalt Fibers and Their Composites — https://doi.org/10.1021/bk-2026-1524.ch001</w:t>
      </w:r>
    </w:p>
    <w:p>
      <w:pPr/>
      <w:r>
        <w:rPr>
          <w:b/>
        </w:rPr>
        <w:t>Shared claim-specific concepts:</w:t>
      </w:r>
      <w:r>
        <w:t xml:space="preserve"> overview, alternatives, pathways; EU scope not established. This is a provisional connection, not an outcome finding.</w:t>
      </w:r>
    </w:p>
    <w:p>
      <w:pPr>
        <w:pStyle w:val="SourceNote"/>
      </w:pPr>
      <w:r>
        <w:rPr>
          <w:b/>
        </w:rPr>
        <w:t>Available abstract (not full text):</w:t>
      </w:r>
      <w:r>
        <w:t xml:space="preserve"> Basalt fiber composites emerge as sustainable alternatives to conventional reinforcements such as glass and carbon fibers.Produced from abundant volcanic rock through a single-step melt-spinning process without the use of chemical additives, they offer reduced energy demand, greenhouse gas emissions, and production waste.Life cycle assessments consistently report substantially lower carbon footprints for basalt fibers compared with E-glass and carbon fibers.Their mineralogical composition, dominated by olivine, pyroxene/clinopyroxene, and plagioclase, confers high mechanical strength and thermal stability.Basalt fibers are also non-toxic, inert, and noncombustible, making them suitable for applications in infrastructure, potable water systems, and fire-resistant products.Research trends emphasize mechanical characterization, processing optimization, multifunctional performance, and sustainability, with emerging directions in biobased resin systems, smart composites, and circular-economy integration.Collaboration among industry, academia, and international forums is accelerating innovation.This chapter provides a comprehensive overview of basalt fiber composites, covering their geological origins, composition, and manufacturing methods, as well as their mechanical, thermal, and environmental performance, industrial applications, and innovation pathways aligned with global sustai</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2025:</w:t>
      </w:r>
      <w:r>
        <w:t xml:space="preserve"> GRAPHICAL MODELLING FOR FUZZY ANALYTICAL HIERARCHY PROCESS BASED COMPLEXITY OF INVESTMENT CASTING — https://doi.org/10.12732/ijam.v38i8s.616</w:t>
      </w:r>
    </w:p>
    <w:p>
      <w:pPr/>
      <w:r>
        <w:rPr>
          <w:b/>
        </w:rPr>
        <w:t>Shared claim-specific concepts:</w:t>
      </w:r>
      <w:r>
        <w:t xml:space="preserve"> graphical, factors; EU scope not established. This is a provisional connection, not an outcome finding.</w:t>
      </w:r>
    </w:p>
    <w:p>
      <w:pPr>
        <w:pStyle w:val="SourceNote"/>
      </w:pPr>
      <w:r>
        <w:rPr>
          <w:b/>
        </w:rPr>
        <w:t>Available abstract (not full text):</w:t>
      </w:r>
      <w:r>
        <w:t xml:space="preserve"> The decision to produce any industrial component through the investment casting process primarily depends on the manufacturing complexity of that specific component. Three factors primarily influence the complexity of the industrial investment casting: geometry, desired features, and manufacturability. These three factors are additionally influenced by 19 elements, 52 attributes, and 212 meta-attributes. The complexity value based on the relative weightage of these variables is computed using one of the widely accepted multi-criteria decision-making methods, such as the fuzzy analytical hierarchy process. The cumulative complexity value assists in identifying the impact of any specific variable as well as the dependency of the variable on the others. However, it can be challenging to represent the complexity value in a way that allows for straightforward interpretation. challenging. This work proposes a method for describing the complexity index in graph-based systems by utilizing an adaptive consensus mechanism derived from graph theory and graph coloring. The suggested method ensures efficient node representations and is sufficiently resilient to ascertain the maximum and least complexity values of specific parameters on the graph. Proper coloring minimizes collection conflict and enhances node distinctiveness, facilitating the easy identification of essential network compone</w:t>
      </w:r>
    </w:p>
    <w:p>
      <w:pPr/>
      <w:r>
        <w:rPr>
          <w:b/>
        </w:rPr>
        <w:t>POSSIBLE 2025:</w:t>
      </w:r>
      <w:r>
        <w:t xml:space="preserve"> Optimizing Industrial Heat Electrification: Balancing Cost and Emissions — https://doi.org/10.69997/sct.113100</w:t>
      </w:r>
    </w:p>
    <w:p>
      <w:pPr/>
      <w:r>
        <w:rPr>
          <w:b/>
        </w:rPr>
        <w:t>Shared claim-specific concepts:</w:t>
      </w:r>
      <w:r>
        <w:t xml:space="preserve"> graphical, pathway; EU scope not established. This is a provisional connection, not an outcome finding.</w:t>
      </w:r>
    </w:p>
    <w:p>
      <w:pPr>
        <w:pStyle w:val="SourceNote"/>
      </w:pPr>
      <w:r>
        <w:rPr>
          <w:b/>
        </w:rPr>
        <w:t>Available abstract (not full text):</w:t>
      </w:r>
      <w:r>
        <w:t xml:space="preserve"> The electrification of industrial heat is a promising pathway for decarbonization, yet challenges persist in balancing capital costs, operating costs, and emissions reduction. While previous studies have assessed electrification through heat integration and graphical methods, these approaches do not inherently determine the optimal hybrid technology configuration. This study introduces an optimization-based framework that systematically evaluates the cost-optimal allocation of electrified and conventional heating technologies. Formulated as a Mixed-Integer Linear Programming (MILP) model and implemented in Gurobi, the framework minimizes Total Annualized Cost (TAC) while satisfying heat demand, technology constraints, and emissions targets. Applied to an industrial case study, the model compares three scenarios: a fully conventional system relying on steam boilers and fired heaters, a fully electrified system utilizing high-temperature heat pumps, electrode boilers, and electric heaters, and an optimized hybrid system that strategically integrates both conventional and electrified technologies. The results demonstrate that the optimized hybrid system achieves a 75% electrification rate, reducing TAC by 7% compared to previous graphical electrification assessments. The model selects a combination of a high-temperature heat pump and a steam boiler, highlighting the importance of </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pStyle w:val="Heading2"/>
      </w:pPr>
      <w:r>
        <w:t>706.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2026:</w:t>
      </w:r>
      <w:r>
        <w:t xml:space="preserve"> Surveillance of Bordetella pertussis in Europe: bacterial changes and population immunity — https://openalex.org/W7220785808</w:t>
      </w:r>
    </w:p>
    <w:p>
      <w:pPr/>
      <w:r>
        <w:rPr>
          <w:b/>
        </w:rPr>
        <w:t>Shared claim-specific concepts:</w:t>
      </w:r>
      <w:r>
        <w:t xml:space="preserve"> key, population, increasing, potential; EU scope visible. This is a provisional connection, not an outcome finding.</w:t>
      </w:r>
    </w:p>
    <w:p>
      <w:pPr>
        <w:pStyle w:val="SourceNote"/>
      </w:pPr>
      <w:r>
        <w:rPr>
          <w:b/>
        </w:rPr>
        <w:t>Available abstract (not full text):</w:t>
      </w:r>
      <w:r>
        <w:t xml:space="preserve"> Pertussis, caused by the bacterium Bordetella pertussis, remains a significant public health concern despite long-standing vaccination programs. Nationwide epidemics continue to occur worldwide. Several factors, including improved diagnostic methods, evolutionary changes in circulating B. pertussis strains, and waning immunity after vaccination may affect this resurgence. Also, the true burden in populations vaccinated with whole-cell (WCV) versus acellular (ACV) vaccines has not been clearly documented. Moreover, the epidemiological role of middle-aged adults needs closer examination, as they often serve as a reservoir for the bacteria, and are a possible source of transmission to vulnerable newborns. Furthermore, methods used to study serological surveillance, and expression of bacterial antigens vary among European countries. With continuously evolving strains, a deeper understanding of the potential risks from many perspectives is essential. This thesis investigated evolution of key pertussis vaccine antigens, pertactin (PRN), pertussis toxin, filamentous haemagglutinin, and fimbriae, with newly developed immunoassay, before and after the introduction of ACVs. Further, it aims to improve and harmonize serological diagnostic methods across European national reference laboratories (NRL), and to investigate seroepidemiological trends in both WCV and acellular ACV vaccinated po</w:t>
      </w:r>
    </w:p>
    <w:p>
      <w:pPr/>
      <w:r>
        <w:rPr>
          <w:b/>
        </w:rPr>
        <w:t>POSSIBLE 2026:</w:t>
      </w:r>
      <w:r>
        <w:t xml:space="preserve"> Fiscal drag in Europe: Key facts — https://openalex.org/W7142563241</w:t>
      </w:r>
    </w:p>
    <w:p>
      <w:pPr/>
      <w:r>
        <w:rPr>
          <w:b/>
        </w:rPr>
        <w:t>Shared claim-specific concepts:</w:t>
      </w:r>
      <w:r>
        <w:t xml:space="preserve"> key, increasing, income, distribution, tax-benefit, systems; EU scope visible. This is a provisional connection, not an outcome finding.</w:t>
      </w:r>
    </w:p>
    <w:p>
      <w:pPr>
        <w:pStyle w:val="SourceNote"/>
      </w:pPr>
      <w:r>
        <w:rPr>
          <w:b/>
        </w:rPr>
        <w:t>Available abstract (not full text):</w:t>
      </w:r>
      <w:r>
        <w:t xml:space="preserve"> High and persistent inflation, observed in Europe in the wake of the COVID-19 pandemic and the energy crisis triggered by Russiaʼs war of aggression against Ukraine, can substantially shift tax burdens through fiscal drag - the tendency for rising nominal incomes to push taxpayers into higher brackets or reduce the real value of credits and deductions when these parameters are not fully indexed to inflation. Because most European personal income tax systems are progressive and defined in nominal terms, even unchanged real earnings can lead to higher effective tax rates, increasing revenues while eroding householdsʼ purchasing power and altering income distribution. In a recent paper (García-Miralles et al. 2026), we present a comprehensive assessment of fiscal drag across Europe, covering 21 countries, including all euro area members and Hungary. Using harmonized household survey data in combination with EUROMOD (Sutherland and Figari 2013), the tax-benefit microsimulation model for the EU, we provide new evidence on both the built-in scope for fiscal drag within personal income tax systems and the extent to which this phenomenon actually emerged between 2019 and 2023. This policy brief summarizes the key findings.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potential, developments;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Assessing adaptive genetic variation for conservation and management of the European grayling (Thymallus thymallus) — https://doi.org/10.83056/mmu.32478942</w:t>
      </w:r>
    </w:p>
    <w:p>
      <w:pPr/>
      <w:r>
        <w:rPr>
          <w:b/>
        </w:rPr>
        <w:t>Shared claim-specific concepts:</w:t>
      </w:r>
      <w:r>
        <w:t xml:space="preserve"> effect, distribution; EU scope visible. This is a provisional connection, not an outcome finding.</w:t>
      </w:r>
    </w:p>
    <w:p>
      <w:pPr>
        <w:pStyle w:val="SourceNote"/>
      </w:pPr>
      <w:r>
        <w:rPr>
          <w:b/>
        </w:rPr>
        <w:t>Available abstract (not full text):</w:t>
      </w:r>
      <w:r>
        <w:t xml:space="preserve"> In this PhD, functional genetic variation of European grayling (Thymallus thymallus) is assessed to inform conservation and management of the species. This study is the first to characterize immune variation at the Major Histocompatibility complex (MHC) in grayling. The MHC is a marker of high ecological relevance, because of the strong association between immunity and fitness. Taking advantage of advances in sequencing technology, an analytical pipeline optimized for high-throughput, efficient and accurate genotyping of multi-gene families in non-model species is presented. Immune genetic variation is compared to neutral marker data. Results confirm the hypothesis that neutral marker variation does not predict immune genetic variation. Further, the possible effect of supplementing wild populations with hatchery-reared fish on immune genetic variation is evaluated. Significantly lower estimates of heterozygosity were found in stocked than purely native populations. Lower differentiation at immune genes than at neutral markers are indicative of the effects of balancing selection acting upon the MHC, within purely native, but not stocked populations. Furthermore species distribution modelling is used to identify environmental parameters shaping the distribution of grayling. To evaluate risks imposed by climate change, the sensitivity of grayling to climatic variables and range ch</w:t>
      </w:r>
    </w:p>
    <w:p>
      <w:pPr/>
      <w:r>
        <w:rPr>
          <w:b/>
        </w:rPr>
        <w:t>POSSIBLE 2026:</w:t>
      </w:r>
      <w:r>
        <w:t xml:space="preserve"> Assessing direct effects of insect change on insectivore populations in the United Kingdom — https://doi.org/10.1007/s10531-026-03329-5</w:t>
      </w:r>
    </w:p>
    <w:p>
      <w:pPr/>
      <w:r>
        <w:rPr>
          <w:b/>
        </w:rPr>
        <w:t>Shared claim-specific concepts:</w:t>
      </w:r>
      <w:r>
        <w:t xml:space="preserve"> effect, key, population, potential; EU scope not established. This is a provisional connection, not an outcome finding.</w:t>
      </w:r>
    </w:p>
    <w:p>
      <w:pPr>
        <w:pStyle w:val="SourceNote"/>
      </w:pPr>
      <w:r>
        <w:rPr>
          <w:b/>
        </w:rPr>
        <w:t>Available abstract (not full text):</w:t>
      </w:r>
      <w:r>
        <w:t xml:space="preserve"> Declines in insect abundance are a cause for concern, with potential downstream impacts on ecosystem function. Insects are key food resources for insectivorous vertebrates, with evidence that reductions in prey availability may influence population dynamics. Yet quantifying direct effects at large spatial scales is difficult, both due to data limitations and because correlations may reflect shared responses to environmental change rather than trophic links. We assess the role of insect abundance in the dynamics of 10 insectivores (five birds, five bats) in the United Kingdom by pairing insect and vertebrate abundance data at three spatial resolutions (100, 50, 10 km) from multiple citizen science programmes. To address the challenges of inference and combining heterogeneous data, we adopt a multiple-specification approach spanning: (1) association, (2) prediction, and (3) causal inference. We found evidence of overall declines for all bird species evaluated and for most indices of insect abundance, though none of the bat species tested showed consistent declines. Despite indices of both insect and bird abundance declining, declines did not always co-occur spatially. We also detected only moderate evidence of links between insect change and insectivore population change, notably blue tit and great tit with moth abundance, and grey partridge with Diptera abundance. Across taxa, s</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pStyle w:val="Heading2"/>
      </w:pPr>
      <w:r>
        <w:t>707.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2026:</w:t>
      </w:r>
      <w:r>
        <w:t xml:space="preserve"> Just another white-striped mosquito? A scoping review and group discussion synthesis on Aedes koreicus in Europe — https://doi.org/10.1016/j.actatropica.2026.108302</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Among the several Asian Aedes species that have established in Europe over recent decades, Aedes koreicus has received comparatively little research attention since its first detection in Belgium in 2008, despite its remarkable ability to colonise montane and peri‑alpine localities at elevations beyond the reach of its congener Aedes albopictus. Nearly two decades after its European detection, a systematic synthesis of the available evidence and a structured assessment of research and operational priorities are overdue. This paper presents the results of a scoping review of the scientific literature on Ae. koreicus combined with the outcomes of a multidisciplinary expert workshop held in Trento, Italy, in February 2026, which brought together 41 researchers and practitioners from six European countries with expertise in mosquito surveillance, medical entomology, genomics, ecological modelling and public health practice. Through the literature search we obtained a total of 334 articles, of which 91 were eventually included, all published after 2011. Most of the studies were carried out within Europe, focusing mostly on mosquito surveillance. Building upon the scoping review, the workshop identified key priorities for advancing knowledge and operational responses to Ae. koreicus, including strengthened surveillance in montane and lowland areas, improved characterisation of its ve</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2025:</w:t>
      </w:r>
      <w:r>
        <w:t xml:space="preserve"> European Security, Borders, Crime and EU Law — https://doi.org/10.47907/europeansecurityborderscrimeandeulaw/livro</w:t>
      </w:r>
    </w:p>
    <w:p>
      <w:pPr/>
      <w:r>
        <w:rPr>
          <w:b/>
        </w:rPr>
        <w:t>Shared claim-specific concepts:</w:t>
      </w:r>
      <w:r>
        <w:t xml:space="preserve"> group, over, brief; EU scope visible. This is a provisional connection, not an outcome finding.</w:t>
      </w:r>
    </w:p>
    <w:p>
      <w:pPr>
        <w:pStyle w:val="SourceNote"/>
      </w:pPr>
      <w:r>
        <w:rPr>
          <w:b/>
        </w:rPr>
        <w:t>Available abstract (not full text):</w:t>
      </w:r>
      <w:r>
        <w:t xml:space="preserve"> Borders: imaginary lines with very real consequences -legal, social, existential.Crossing them entails risks, both for the resident population and for the foreigner.In Portuguese, risco denotes both risk and a line drawn on a surface, as, for instance, a dividing mark traced on the ground.Hence the expression pisar o risco (to step on the line), meaning imminent transgression (the crossing) that exposes the agent to risk.This linguistic peculiarity (I know of no other language in which this semantic overlap exists) is a vivid reminder that the border is more than a geopolitical device -it is also a calculation of exposure.Where a line is drawn, something is at stake -for the entitled and the non-ayant droit alike.The border becomes, for all parties, a symbolic locus of security (i.e., the successful management of risk), which, paradoxically, may drive them to adopt diametrically opposite behaviour: if need be, foreigners might be prepared to intrude illegally, whereas territorials might push them back illegally.Borders are thus sites of power, vulnerability, crime and uncertainty.Over the last decade, the challenges they pose have grown more complex -empirically and normatively -prompting the Instituto Jurídico/UCILeR to host a seminar on the subject on 18 June 2024.We were privileged to welcome a distinguished group of scholars and practitioners, joined by invi ted guests and </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8.M. Skills building seminar: Mental health and substance use in Europe — https://doi.org/10.1093/eurpub/ckae144.523</w:t>
      </w:r>
    </w:p>
    <w:p>
      <w:pPr/>
      <w:r>
        <w:rPr>
          <w:b/>
        </w:rPr>
        <w:t>Shared claim-specific concepts:</w:t>
      </w:r>
      <w:r>
        <w:t xml:space="preserve"> developments, over, perspective; EU scope visible. This is a provisional connection, not an outcome finding.</w:t>
      </w:r>
    </w:p>
    <w:p>
      <w:pPr>
        <w:pStyle w:val="SourceNote"/>
      </w:pPr>
      <w:r>
        <w:rPr>
          <w:b/>
        </w:rPr>
        <w:t>Available abstract (not full text):</w:t>
      </w:r>
      <w:r>
        <w:t xml:space="preserve"> Abstract The impact of social factors on individual and population mental health are well established (Kirkbride, et al., 2024). The same social factors may trigger the substance use behavior developing into substance use disorders. Mental health disorders can contribute to the substance use and substance use disorders with worsening effects over time (EMCDDA, 2016). This association between substance use, substance use disorders and mental health disorders is a key objective for the scientific consideration and policy development. Respective phenomena are universal and a broader perspective would be useful for a better understanding of how the issue of comorbidities of substance use and mental disorders are addressed on a European level. Identification of the substance use problem, especially among populations in vulnerable situations, like migrants, becomes utterly important. Heterogenous systematic reviews show that there is a need for socially and culturally refugee sensitive instruments to measure the substance use in migrants. Oftentimes substance use is followed by the substance use disorders and drug use related infections. Injecting drug use is also a risk factor for having drug use related infections, such as hepatitis B and C, HIV, tuberculosis. Assessment of risk behaviour patterns among people who inject drugs may contribute to a higher participation in treatment a</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2023:</w:t>
      </w:r>
      <w:r>
        <w:t xml:space="preserve"> The burden of skin disease in Europe — https://doi.org/10.1111/jdv.19390</w:t>
      </w:r>
    </w:p>
    <w:p>
      <w:pPr/>
      <w:r>
        <w:rPr>
          <w:b/>
        </w:rPr>
        <w:t>Shared claim-specific concepts:</w:t>
      </w:r>
      <w:r>
        <w:t xml:space="preserve"> contributes, over, part;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Toward an integrated framework for developing European 6G innovation — https://doi.org/10.1016/j.telpol.2023.102641</w:t>
      </w:r>
    </w:p>
    <w:p>
      <w:pPr/>
      <w:r>
        <w:rPr>
          <w:b/>
        </w:rPr>
        <w:t>Shared claim-specific concepts:</w:t>
      </w:r>
      <w:r>
        <w:t xml:space="preserve"> contributes, discussion, perspective; EU scope visible. This is a provisional connection, not an outcome finding.</w:t>
      </w:r>
    </w:p>
    <w:p>
      <w:pPr>
        <w:pStyle w:val="SourceNote"/>
      </w:pPr>
      <w:r>
        <w:rPr>
          <w:b/>
        </w:rPr>
        <w:t>Available abstract (not full text):</w:t>
      </w:r>
      <w:r>
        <w:t xml:space="preserve"> This article contributes to the discussion on 6G and European policy development, outlining an integrated framework for Europe to benefit from 6G innovation in the future, both as a developer and user of 6G technologies. As 6G is envisioned as a general-purpose technology that can transform the whole of society, there is a need to adopt a broader perspective to innovation compared to earlier technology generations. This proposed framework comprises five elements: national and European sovereignty, triple bottom line sustainability, a competitive transformational innovation policy, European values-based anticipatory regulation, and trustworthy networks that addresses the privacy, security, and safety of users and resilience of 6G at the systems level. It is argued that Europe needs both ex ante and ex post actions to competitively develop and deploy future 6G technologies.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pStyle w:val="Heading2"/>
      </w:pPr>
      <w:r>
        <w:t>708.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2026:</w:t>
      </w:r>
      <w:r>
        <w:t xml:space="preserve"> Assessment of Resource Misallocation and Economic Efficiency Losses in Chinese Cities: A Heterogeneity Perspective on Renewable and Non-Renewable Energy Sources — https://doi.org/10.3390/en19030586</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The misallocation of renewable (RE) and non-renewable energy (NRE) resources may lead to the inefficiency of economic development, thereby hindering the achievement of sustainable development goals. Basing data on 282 Chinese cities during 2005–2021, a relative factor price distortion coefficient was employed to estimate the degree and direction of resource misallocation (RM) for RE, NRE, capital, and labor at both the aggregate city level and across four disaggregated city categories. Output gaps and efficiency losses are further quantified by incorporating RM analysis into the economic growth accounting framework, revealing significant heterogeneity in RM across cities. Findings show that (1) RE and labor misallocation exceed those of NRE and capital at the city level. RE misallocation is dominant in energy misallocation. There exists an underallocation of RE, NRE, and labor, while capital is overallocated. (2) Renewable energy input and output (RE-IO) cities exhibit the highest overall RM (32.1%), whereas renewable energy input (RE-Input) cities possess the lowest ones (21.2%). Four city types demonstrate an underallocation of RE and an overallocation of capital. (3) Both output gaps and efficiency losses are on the rise. Output changes sources are transferred from the variations in factor inputs to those in total factor productivity (TFP). The contribution from the RM chang</w:t>
      </w:r>
    </w:p>
    <w:p>
      <w:pPr/>
      <w:r>
        <w:rPr>
          <w:b/>
        </w:rPr>
        <w:t>POSSIBLE 2026:</w:t>
      </w:r>
      <w:r>
        <w:t xml:space="preserve"> Coordinated planning of heterogeneous energy storage for renewable-rich urban power grids: a degradation-aware techno-economic approach — https://doi.org/10.1016/j.ecmx.2026.102226</w:t>
      </w:r>
    </w:p>
    <w:p>
      <w:pPr/>
      <w:r>
        <w:rPr>
          <w:b/>
        </w:rPr>
        <w:t>Shared claim-specific concepts:</w:t>
      </w:r>
      <w:r>
        <w:t xml:space="preserve"> renewable, benefit, strategy; EU scope not established. This is a provisional connection, not an outcome finding.</w:t>
      </w:r>
    </w:p>
    <w:p>
      <w:pPr>
        <w:pStyle w:val="SourceNote"/>
      </w:pPr>
      <w:r>
        <w:rPr>
          <w:b/>
        </w:rPr>
        <w:t>Available abstract (not full text):</w:t>
      </w:r>
      <w:r>
        <w:t xml:space="preserve"> High renewable penetration in urban receiving-end power grids increases the need for energy storage resources that can simultaneously support renewable accommodation, congestion relief, voltage regulation, and long-term economic operation. However, conventional storage planning methods often rely on a single storage technology or a single-layer planning perspective, which may lead to techno-economic mismatch under multi-timescale operating conditions. This paper proposes a degradation-aware techno-economic planning approach for heterogeneous energy storage in renewable-rich urban receiving-end power grids. A layered and partitioned planning framework is developed to coordinate source-side, grid-side, and distribution-/load-side storage deployment. Multiple storage technologies, including Li-ion batteries, flywheel storage, supercapacitors, and long-duration storage, are jointly optimized in terms of siting, technology selection, power capacity, and energy capacity. The model incorporates multi-timescale operating scenarios, response-performance requirements, lifecycle cost and benefit, and degradation-aware capacity evolution. Case studies on a renewable-rich urban receiving-end grid show that the proposed strategy allocates 230 MW / 521.5 MWh of heterogeneous storage in a spatially differentiated manner. Compared with benchmark schemes, it increases renewable accommodation to </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pStyle w:val="Heading2"/>
      </w:pPr>
      <w:r>
        <w:t>709.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2026:</w:t>
      </w:r>
      <w:r>
        <w:t xml:space="preserve"> Lobito corridor development and the DRC mining sector: state of play and Implications for mineral supply chains — https://doi.org/10.25928/q1je-z893</w:t>
      </w:r>
    </w:p>
    <w:p>
      <w:pPr/>
      <w:r>
        <w:rPr>
          <w:b/>
        </w:rPr>
        <w:t>Shared claim-specific concepts:</w:t>
      </w:r>
      <w:r>
        <w:t xml:space="preserve"> sector, transport, but, climate; EU scope visible. This is a provisional connection, not an outcome finding.</w:t>
      </w:r>
    </w:p>
    <w:p>
      <w:pPr>
        <w:pStyle w:val="SourceNote"/>
      </w:pPr>
      <w:r>
        <w:rPr>
          <w:b/>
        </w:rPr>
        <w:t>Available abstract (not full text):</w:t>
      </w:r>
      <w:r>
        <w:t xml:space="preserve"> The Lobito Corridor has emerged as one of the most geopolitically prominent infrastructure initiatives in Sub-Saharan Africa, linking the Central African Copperbelt of the Democratic Republic of the Congo (DRC) and Zambia to the Atlantic seaport of Lobito in Angola. In the context of rapidly rising global demand for Critical Raw Materials such as copper and cobalt, the corridor is increasingly framed not only as a transport infrastructure project, but as a geopolitical and economic instrument. The United States and the European Union have elevated the corridor under initiatives such as the Partnership for Global Infrastructure and Investment and Global Gateway, positioning it as a Western alternative to China dominated supply chains and infrastructure influence across Africa. The present study was commissioned by the Federal Institute for Geosciences and Natural Resources (BGR) as part of the German-Congolese development cooperation in the mining sector. It assesses the Lobito Corridor’s current state, future development scenarios, and its mining sector-specific implications for the DRC. Based on an interdisciplinary research process combining desk research, fieldwork, and 40 stakeholder interviews across industry, logistics, government &amp; regulatory bodies, civil society, academia, and financing institutions, the report aims to provide an objective evaluation of opportunities a</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emission, reductions, energy, sector;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Majority of methane emissions from European biogas plant supply chains could be eliminated at no net cost — https://doi.org/10.1038/s44458-026-00065-3</w:t>
      </w:r>
    </w:p>
    <w:p>
      <w:pPr/>
      <w:r>
        <w:rPr>
          <w:b/>
        </w:rPr>
        <w:t>Shared claim-specific concepts:</w:t>
      </w:r>
      <w:r>
        <w:t xml:space="preserve"> energy, dominant, but, mitigation; EU scope visible. This is a provisional connection, not an outcome finding.</w:t>
      </w:r>
    </w:p>
    <w:p>
      <w:pPr>
        <w:pStyle w:val="SourceNote"/>
      </w:pPr>
      <w:r>
        <w:rPr>
          <w:b/>
        </w:rPr>
        <w:t>Available abstract (not full text):</w:t>
      </w:r>
      <w:r>
        <w:t xml:space="preserve"> Abstract Biogas, and its purified form – biomethane, offers substantial low-carbon energy potential, but uncertainties regarding methane emissions may undermine this benefit. This study addresses this uncertainty through a mixed-method emissions survey across three European countries, combined with environmental assessment, mitigation analysis and regional policy comparison. Our findings reveal that methane emissions from biogas production average 14.4 kg/h per site (5.4% of methane produced) with a range of 1.3-57 kg/h (2%-21.7%). These values exceed previous estimates, yet 59% of emissions could be eliminated at no net cost. When considering full supply chain emissions, methane emerged as the dominant greenhouse gas, accounting for 47% (18-93%) and 60% (34-94%) of greenhouse gases over 100- and 20-year time horizons, respectively. We advocate for EU and national policy revisions to better account for methane’s contribution and enhance emissions monitoring, highlighting the need for policy interventions incorporating recent advances in methane measurement and cost-effective mitigation strategies.</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pStyle w:val="Heading2"/>
      </w:pPr>
      <w:r>
        <w:t>710.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2026:</w:t>
      </w:r>
      <w:r>
        <w:t xml:space="preserve"> Optimizing Renewable Energy to Meet Malawi's Electricity Demand — https://doi.org/10.5281/zenodo.18499321</w:t>
      </w:r>
    </w:p>
    <w:p>
      <w:pPr/>
      <w:r>
        <w:rPr>
          <w:b/>
        </w:rPr>
        <w:t>Shared claim-specific concepts:</w:t>
      </w:r>
      <w:r>
        <w:t xml:space="preserve"> electricity, significantly, pathway, but, pathways, three; EU scope not established. This is a provisional connection, not an outcome finding.</w:t>
      </w:r>
    </w:p>
    <w:p>
      <w:pPr>
        <w:pStyle w:val="SourceNote"/>
      </w:pPr>
      <w:r>
        <w:rPr>
          <w:b/>
        </w:rPr>
        <w:t>Available abstract (not full text):</w:t>
      </w:r>
      <w:r>
        <w:t xml:space="preserve"> Malawi’s electricity system is heavily dependent on hydropower, making it vulnerable to climate variability, supply insecurity, and fossil-fuel backup. This study uses OSeMOSYS to assess least-cost and reliable electricity pathways for Malawi from 2022 to 2050 under three scenarios: Business-as-Usual, renewable expansion without storage, and renewable expansion with Battery Energy Storage Systems (BESS). Results show that while the BAU pathway has lower short-term capital requirements, it increases long-term reliability and fuel price risks. Solar PV expansion significantly reduces emissions and system costs, but reliable outcomes are achieved only when supported by adequate storage. The study highlights the importance of a coordinated renewables-plus-storage strategy for improving energy security and enabling a resilient low-carbon transition.</w:t>
      </w:r>
    </w:p>
    <w:p>
      <w:pPr/>
      <w:r>
        <w:rPr>
          <w:b/>
        </w:rPr>
        <w:t>POSSIBLE 2026:</w:t>
      </w:r>
      <w:r>
        <w:t xml:space="preserve"> Net-zero pathways and the future of GB electricity transmission networks — https://openalex.org/W7113082078</w:t>
      </w:r>
    </w:p>
    <w:p>
      <w:pPr/>
      <w:r>
        <w:rPr>
          <w:b/>
        </w:rPr>
        <w:t>Shared claim-specific concepts:</w:t>
      </w:r>
      <w:r>
        <w:t xml:space="preserve"> electricity, pathway, pathways; EU scope not established. This is a provisional connection, not an outcome finding.</w:t>
      </w:r>
    </w:p>
    <w:p>
      <w:pPr>
        <w:pStyle w:val="SourceNote"/>
      </w:pPr>
      <w:r>
        <w:rPr>
          <w:b/>
        </w:rPr>
        <w:t>Available abstract (not full text):</w:t>
      </w:r>
      <w:r>
        <w:t xml:space="preserve"> The UK government set a legally binding net-zero greenhouse gas emission target aiming for a fully decarbonized energy system by 2050. Achieving this will require major reforms in the electricity market. However, a clear, officially recognized pathway to decarbonization has yet to be provided. Several research organizations including the Energy Systems Catapult, the National Energy System Operatthe Centere Center for Alternative Tech and the Climate Change Committee have proposed decarbonization pathways. Although these pathways differ in their assumptions and approaches, they all anticipate a significant increase in both electricity demand and renewable generation. In these scenarios, electricity generation is projected to increase by 51% to 160% by 2050, creating both opportunities and challenges for the power transmission network of GB. In this study, we employ a modeling framework to examine the potential impacts of these decarbonization policies on the Great Britain electricity transmission system up to 2050. We identify likely congestion points and critical transmission lines under the predicted growth in load and generation across all seven pathways, providing information to support planning for a resilient and low-carbon electricity network.</w:t>
      </w:r>
    </w:p>
    <w:p>
      <w:pPr/>
      <w:r>
        <w:rPr>
          <w:b/>
        </w:rPr>
        <w:t>POSSIBLE 2026:</w:t>
      </w:r>
      <w:r>
        <w:t xml:space="preserve"> Electricity demand and grid impacts of AI data centers: Challenges and prospects — https://doi.org/10.1016/j.ynexs.2026.100162</w:t>
      </w:r>
    </w:p>
    <w:p>
      <w:pPr/>
      <w:r>
        <w:rPr>
          <w:b/>
        </w:rPr>
        <w:t>Shared claim-specific concepts:</w:t>
      </w:r>
      <w:r>
        <w:t xml:space="preserve"> electricity, three, electric; EU scope not established. This is a provisional connection, not an outcome finding.</w:t>
      </w:r>
    </w:p>
    <w:p>
      <w:pPr>
        <w:pStyle w:val="SourceNote"/>
      </w:pPr>
      <w:r>
        <w:rPr>
          <w:b/>
        </w:rPr>
        <w:t>Available abstract (not full text):</w:t>
      </w:r>
      <w:r>
        <w:t xml:space="preserve"> The rapid growth of artificial intelligence (AI) is driving an unprecedented increase in the electricity demand of AI data centers, raising emerging challenges for electric power grids. Understanding the characteristics of AI data center loads and their interactions with the grid is therefore critical for ensuring both reliable power system operation and sustainable AI development. This paper provides a comprehensive review and vision of this evolving landscape. Specifically, this paper (i) presents an overview of AI data center infrastructure and its key components, (ii) examines the key characteristics and patterns of electricity demand across the stages of model preparation, training, fine-tuning, and inference, (iii) analyzes the critical challenges that AI data center loads pose to power systems across three interrelated timescales, including long-term planning and interconnection, short-term operation and electricity markets, and real-time dynamics and stability, and (iv) discusses potential solutions from the perspectives of the grid, AI data centers, and AI end-users to address these challenges. By synthesizing current knowledge and outlining future directions, this review aims to guide research and development in support of the joint advancement of AI data centers and power systems toward reliable, efficient, and sustainable operation.</w:t>
      </w:r>
    </w:p>
    <w:p>
      <w:pPr>
        <w:pStyle w:val="Heading2"/>
      </w:pPr>
      <w:r>
        <w:t>711.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2026:</w:t>
      </w:r>
      <w:r>
        <w:t xml:space="preserve"> Effects of wood products substitution on fossil carbon emissions in Finland, the European Union, and the world — https://doi.org/10.14214/sf.25043</w:t>
      </w:r>
    </w:p>
    <w:p>
      <w:pPr/>
      <w:r>
        <w:rPr>
          <w:b/>
        </w:rPr>
        <w:t>Shared claim-specific concepts:</w:t>
      </w:r>
      <w:r>
        <w:t xml:space="preserve"> union, out, carbon; EU scope visible. This is a provisional connection, not an outcome finding.</w:t>
      </w:r>
    </w:p>
    <w:p>
      <w:pPr>
        <w:pStyle w:val="SourceNote"/>
      </w:pPr>
      <w:r>
        <w:rPr>
          <w:b/>
        </w:rPr>
        <w:t>Available abstract (not full text):</w:t>
      </w:r>
      <w:r>
        <w:t xml:space="preserve"> The main driver of climate change is fossil carbon emissions that can be avoided by using renewables instead of fossil-intensive energy or materials. A displacement factor (DF) quantifies fossil emissions avoided by wood use instead of a fossil material. Substitution impact of wood products can be calculated by multiplying their product-specific DFs and their production volumes. We quantified the substitution impact in Finland, the European Union (EU), and worldwide for 2020 using two different DF sets. We extended the analysis out to 2040 in Finland. Depending on DFs used, the avoided fossil emissions by wood use were 13–38 (Finnish wood), 149–317 (EU wood), and 971–2014 (world wood) MtCO2e in 2020. These correspond to 37–94% (Finland), 6–12% (EU), and 3–6% (world) of total fossil emissions in their respective areas, highlighting the importance of substitution impacts. Despite the uncertainties, the estimates show large climate effects. In Finland, the substitution impact approaches the scale of the total fossil emissions of the country, while at the EU and global scales, the impact is similar in scale to the entire reported LULUCF criterion. The DFs for wood use may decrease in the future because of the decarbonization of the energy systems used in the production of alternatives to wood: steel, concrete, and plastics. However, wood products will remain important in avoiding f</w:t>
      </w:r>
    </w:p>
    <w:p>
      <w:pPr/>
      <w:r>
        <w:rPr>
          <w:b/>
        </w:rPr>
        <w:t>POSSIBLE 2026:</w:t>
      </w:r>
      <w:r>
        <w:t xml:space="preserve"> Climate stress, energy shocks and carbon-market connectedness in the European emissions trading system — https://doi.org/10.1108/ijccsm-03-2026-0168</w:t>
      </w:r>
    </w:p>
    <w:p>
      <w:pPr/>
      <w:r>
        <w:rPr>
          <w:b/>
        </w:rPr>
        <w:t>Shared claim-specific concepts:</w:t>
      </w:r>
      <w:r>
        <w:t xml:space="preserve"> union, set, carbon, intensity, approach; EU scope visible. This is a provisional connection, not an outcome finding.</w:t>
      </w:r>
    </w:p>
    <w:p>
      <w:pPr>
        <w:pStyle w:val="SourceNote"/>
      </w:pPr>
      <w:r>
        <w:rPr>
          <w:b/>
        </w:rPr>
        <w:t>Available abstract (not full text):</w:t>
      </w:r>
      <w:r>
        <w:t xml:space="preserve"> Purpose This study aims to examine state-dependent connectedness in the climate-energy uncertainty-carbon system surrounding the European Union Emissions Trading System. It asks whether average connectedness differs from carbon-market stress states and extreme-heat states. Design/methodology/approach This study constructs a monthly data set for 2011–2024 covering heat anomalies, geopolitical risk, energy transportation uncertainty, crude oil returns, European gas returns and carbon allowance returns. It combines correlation and tail-dependence evidence, partial-correlation networks and generalized forecast error variance decomposition to compare contemporaneous dependence and directional spillovers across average and stressed states. Findings The average monthly system is only modestly connected, with carbon allowances mainly receiving shocks. Connectedness rises in both lower- and upper-tail carbon-return states and during extreme-heat months, indicating that stressed conditions reveal stronger energy-carbon-uncertainty transmission than full-sample averages suggest. Under upper carbon-return states, carbon allowances also become more active in transmitting shocks. Originality/value This study integrates physical climate stress, energy shocks and uncertainty indicators into a state-dependent connectedness framework for the European carbon market. The evidence shows that averag</w:t>
      </w:r>
    </w:p>
    <w:p>
      <w:pPr/>
      <w:r>
        <w:rPr>
          <w:b/>
        </w:rPr>
        <w:t>POSSIBLE 2026:</w:t>
      </w:r>
      <w:r>
        <w:t xml:space="preserve"> Recent European Union Court Cases — https://doi.org/10.67330/nebcv492</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This installment reports the valuation law of all twenty-seven member states of the European Union, Ireland among them, together with Norway, Switzerland and Ukraine, read for the most part in the states' own languages and checked against official texts. The first and longest part is a set of country studies of expropriation: the measure of compensation, the valuation date, the body that fixes the figure, and what the law directs be left out of account, with the decisions of the period placed inside each framework. Sweden adds a statutory twenty-five percent above market value because dispossession is involuntary, and Finland has done the same since August 2025; Norway awards the higher of sale value and use value; Denmark holds the owner to the position of an ordinary seller. France pays a reinvestment indemnity and separates the date of value from the date of reference for use; the Netherlands compensates the owner's whole damage, of which value is the first head; Spain's justiprecio is fixed by a standing jury and revised by the courts; Portugal builds the value of building land from statutory percentages that must be proved; and Italy's Constitutional Court struck a formula that averaged market value with land income. Switzerland joins compensation for planning restrictions to a levy of at least twenty percent on the value planning creates. Latvia's Constitutional Court str</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pStyle w:val="Heading2"/>
      </w:pPr>
      <w:r>
        <w:t>712.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713.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2026:</w:t>
      </w:r>
      <w:r>
        <w:t xml:space="preserve"> Cybersecurity, knowledge management and sustainability disclosure in DT-Enabled European ports — https://doi.org/10.1108/jkm-12-2025-1721</w:t>
      </w:r>
    </w:p>
    <w:p>
      <w:pPr/>
      <w:r>
        <w:rPr>
          <w:b/>
        </w:rPr>
        <w:t>Shared claim-specific concepts:</w:t>
      </w:r>
      <w:r>
        <w:t xml:space="preserve"> one, knowledge, both, other; EU scope visible. This is a provisional connection, not an outcome finding.</w:t>
      </w:r>
    </w:p>
    <w:p>
      <w:pPr>
        <w:pStyle w:val="SourceNote"/>
      </w:pPr>
      <w:r>
        <w:rPr>
          <w:b/>
        </w:rPr>
        <w:t>Available abstract (not full text):</w:t>
      </w:r>
      <w:r>
        <w:t xml:space="preserve"> Purpose This study aims to investigate how European ports disclose cybersecurity governance and knowledge management (KM) practices within digital twin (DT) technology environments as part of broader operational resilience and net-zero greenhouse gas emissions reduction. Design/methodology/approach This study uses qualitative content analysis of publicly available non-financial disclosures to investigate two leading European ports, i.e. Rotterdam and Hamburg, that have fully implemented the DT adoption process. Based on 36 documents (sustainability reports, DT roadmaps and innovation strategies) published between 2020 and 2024, the analysis focuses on cybersecurity and KM practices disclosed to stakeholders. By combining automated thematic extraction through Leximancer (Version 5) with manual interpretive coding, the study offers novel insights into how ports publicly frame and disclose DT-related cybersecurity and KM practices, contributing to both theory and practice in maritime digitalization. Findings Results reveal significant heterogeneity in the scope and depth of cybersecurity and KM disclosures among ports operating within DT frameworks. One port predominantly frames cybersecurity as an operational safeguard, while the other discloses cybersecurity within broader KM-oriented governance practices associated with data-driven decision-making and net-zero emission targets.</w:t>
      </w:r>
    </w:p>
    <w:p>
      <w:pPr/>
      <w:r>
        <w:rPr>
          <w:b/>
        </w:rPr>
        <w:t>POSSIBLE 2026:</w:t>
      </w:r>
      <w:r>
        <w:t xml:space="preserve"> Mortality patterns and drivers of 11 valuable broadleaved tree species of interest for European forest restoration and agroforestry — https://doi.org/10.1016/j.foreco.2026.124260</w:t>
      </w:r>
    </w:p>
    <w:p>
      <w:pPr/>
      <w:r>
        <w:rPr>
          <w:b/>
        </w:rPr>
        <w:t>Shared claim-specific concepts:</w:t>
      </w:r>
      <w:r>
        <w:t xml:space="preserve"> valuable, knowledge, both, abandonment; EU scope visible. This is a provisional connection, not an outcome finding.</w:t>
      </w:r>
    </w:p>
    <w:p>
      <w:pPr>
        <w:pStyle w:val="SourceNote"/>
      </w:pPr>
      <w:r>
        <w:rPr>
          <w:b/>
        </w:rPr>
        <w:t>Available abstract (not full text):</w:t>
      </w:r>
      <w:r>
        <w:t xml:space="preserve"> Land abandonment and the homogenisation of European forests and agricultural land have created an urgent need for restoration strategies that both diversify and revitalise rural landscapes. Valuable broadleaved species offer strong potential for this dual objective, yet their use remains limited due to scarce ecological knowledge, operational challenges, and high early mortality under changing environmental conditions. Using long-term (2001–2024) monitoring data from 5666 trees across 29 plantations spanning a wide range of ecological conditions in NE Spain, this study characterises species-specific mortality trajectories for 11 valuable broadleaved species and identifies the environmental drivers of early and cumulative mortality, with the aim of informing more successful restoration, agroforestry and afforestation efforts in Europe. Early mortality (three years after planting) averaged 9%, and mid-term mortality (around 20 years, i.e. mid-rotation) reached 26%, with substantial variation among species and plantations. Acer campestre , Fraxinus angustifolia , F. excelsior and Pyrus communis showed the lowest mortality, whereas Sorbus domestica , S. torminalis , Acer pseudoplatanus and Juglans regia the highest, and Prunus avium , Celtis australis and J. × intermedia showed intermediate patterns. Although relationships with environmental variables were species-specific, mortali</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2025:</w:t>
      </w:r>
      <w:r>
        <w:t xml:space="preserve"> THE EFFECTIVE APPLICATION OF THE RULE OF LAW BY THE MEMBER STATES OF THE EUROPEAN UNION — https://doi.org/10.47743/eufire-2024-1-30</w:t>
      </w:r>
    </w:p>
    <w:p>
      <w:pPr/>
      <w:r>
        <w:rPr>
          <w:b/>
        </w:rPr>
        <w:t>Shared claim-specific concepts:</w:t>
      </w:r>
      <w:r>
        <w:t xml:space="preserve"> them, one, both, specific; EU scope visible. This is a provisional connection, not an outcome finding.</w:t>
      </w:r>
    </w:p>
    <w:p>
      <w:pPr>
        <w:pStyle w:val="SourceNote"/>
      </w:pPr>
      <w:r>
        <w:rPr>
          <w:b/>
        </w:rPr>
        <w:t>Available abstract (not full text):</w:t>
      </w:r>
      <w:r>
        <w:t xml:space="preserve"> The paper aims to explain, in the first part, the concept of the rule of law, as it is determined at the level of the European Union. From its creation until today, the principle of the rule of law has experienced a spectacular evolution and a very widespread in democratic states. The second part the paper emphasizes some support mechanisms of the rule of law in the European Union while the last one refers to the analysis of how the member states of the European Union have effectively implemented the analyzed principle. In this sense, in our exposition, important decisions are analyzed, pronounced by the General Court and the Court of Justice of the European Union, with reference to the principles of legality and legal certainty, as well as the effective judicial protection. It was found that, although the rule of law is one of the essential values of the Union, which was constantly promoted by the Union bodies, it was repeatedly violated by the Member States; some of them even had vehement reactions related to the constraints endured in this regard. The article is of real interest both for specialists in the field and, above all, for the Member States of the Union, which have the obligation to comply with the existing legal provisions of the European Union and the specific jurisprudence on the matter.</w:t>
      </w:r>
    </w:p>
    <w:p>
      <w:pPr>
        <w:pStyle w:val="Heading2"/>
      </w:pPr>
      <w:r>
        <w:t>714.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2026:</w:t>
      </w:r>
      <w:r>
        <w:t xml:space="preserve"> Equity-Oriented Decision-Making for Renewable Energy Investments — https://doi.org/10.3390/en19020463</w:t>
      </w:r>
    </w:p>
    <w:p>
      <w:pPr/>
      <w:r>
        <w:rPr>
          <w:b/>
        </w:rPr>
        <w:t>Shared claim-specific concepts:</w:t>
      </w:r>
      <w:r>
        <w:t xml:space="preserve"> decision-making, energy; EU scope not established. This is a provisional connection, not an outcome finding.</w:t>
      </w:r>
    </w:p>
    <w:p>
      <w:pPr>
        <w:pStyle w:val="SourceNote"/>
      </w:pPr>
      <w:r>
        <w:rPr>
          <w:b/>
        </w:rPr>
        <w:t>Available abstract (not full text):</w:t>
      </w:r>
      <w:r>
        <w:t xml:space="preserve"> Renewable energy investment evaluation continues to rely predominantly on techno-economic and environmental criteria, while equity-related considerations remain weakly embedded within formal decision-support frameworks. Although recent research increasingly acknowledges social impacts, spatial constraints, policy uncertainty, and financing structures, these dimensions are rarely integrated in a systematic and operational manner into investment appraisal. This paper addresses this gap by advancing an equity-oriented conceptual framework for renewable energy investment evaluation. Using an integrative literature review combined with thematic analysis, the study synthesises insights from techno-economic assessment, multi-criteria decision-making, energy justice scholarship, and equity-focused modelling studies. The analysis demonstrates that existing evaluation approaches inadequately capture distributional impacts, accessibility constraints, differentiated vulnerability, and equity-adjusted risk. In response, the proposed framework systematises these equity dimensions and embeds them directly into the core logic of investment evaluation alongside conventional criteria. By consolidating fragmented research insights into a coherent evaluative structure, the study contributes to the literature by clarifying how equity can be operationalised within renewable energy investment decisio</w:t>
      </w:r>
    </w:p>
    <w:p>
      <w:pPr/>
      <w:r>
        <w:rPr>
          <w:b/>
        </w:rPr>
        <w:t>POSSIBLE 2026:</w:t>
      </w:r>
      <w:r>
        <w:t xml:space="preserve"> The political economy of energy security in Europe after the Russia–Ukraine war — https://doi.org/10.71085/sss.05.01.475</w:t>
      </w:r>
    </w:p>
    <w:p>
      <w:pPr/>
      <w:r>
        <w:rPr>
          <w:b/>
        </w:rPr>
        <w:t>Shared claim-specific concepts:</w:t>
      </w:r>
      <w:r>
        <w:t xml:space="preserve"> energy, economy; EU scope visible. This is a provisional connection, not an outcome finding.</w:t>
      </w:r>
    </w:p>
    <w:p>
      <w:pPr>
        <w:pStyle w:val="SourceNote"/>
      </w:pPr>
      <w:r>
        <w:rPr>
          <w:b/>
        </w:rPr>
        <w:t>Available abstract (not full text):</w:t>
      </w:r>
      <w:r>
        <w:t xml:space="preserve"> This study discusses the energy security in the aftermath of the war in Europe based on the full-scale invasion of Ukraine by Russia in 2022 and the underlying political economy of policy choices. It asserts that distributional conflicts, institutional capacity and rent dispersion influenced the choices that fell short of technical supply limitations. The study focuses on the evaluation of the diversification of imports, the adequacy of storage, and the price exposure and fiscal instruments by using a mixed-methods design in the form of a pre/post-2022 panel and comparative case studies. The results indicate that there were major decreases in the dependence on Russian pipeline gas and an augmentation of emphasis on storage. It is concluded in the paper that the solution to the problem of securing energy in the long term is the need to balance between the new demands and social legitimacy.</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2025:</w:t>
      </w:r>
      <w:r>
        <w:t xml:space="preserve"> The Barriers to Deployment of Renewable Energy : Application of Sequential Decision-Making and Derisking Models in Emerging Markets and Developing Economies — https://openalex.org/W7113434373</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This thesis analyses barriers to renewable energy deployment using two reference sequential decision-making and derisking models: the Lancaster University's North-West Hydro Resource Model (NWHRM); the United Nations Development Programme's Derisking Renewable Energy Investment (DREI) framework. The study draws on case studies and field research from Sub-Saharan Africa (Equatorial Guinea, South Africa, Namibia); Latin America (Panama, Paraguay); Central Asia (Mongolia, Tajikistan); and, the Caribbean (Barbados, Jamaica). It shows the interlinked nature of technical, financial, and social barriers and refines both DREI and NWHRM models to integrate governance, social acceptance and just inclusive transition considerations. As the site visits show, the policy and financial derisking instruments introduced in emerging markets and developing economies lower investment risks and the levelized cost of energy, such that combining NWHRM and DREI model approaches provides a globally applicable frameworks to assess the barriers to renewable energy investment.</w:t>
      </w:r>
    </w:p>
    <w:p>
      <w:pPr/>
      <w:r>
        <w:rPr>
          <w:b/>
        </w:rPr>
        <w:t>POSSIBLE 2025:</w:t>
      </w:r>
      <w:r>
        <w:t xml:space="preserve"> Simplifying decision-making in model-based co-design of building energy systems through automatically generated optimal controls — https://doi.org/10.26868/25222708.2025.1690</w:t>
      </w:r>
    </w:p>
    <w:p>
      <w:pPr/>
      <w:r>
        <w:rPr>
          <w:b/>
        </w:rPr>
        <w:t>Shared claim-specific concepts:</w:t>
      </w:r>
      <w:r>
        <w:t xml:space="preserve"> decision-making, transition, energy; EU scope visible. This is a provisional connection, not an outcome finding.</w:t>
      </w:r>
    </w:p>
    <w:p>
      <w:pPr>
        <w:pStyle w:val="SourceNote"/>
      </w:pPr>
      <w:r>
        <w:rPr>
          <w:b/>
        </w:rPr>
        <w:t>Available abstract (not full text):</w:t>
      </w:r>
      <w:r>
        <w:t xml:space="preserve"> Energy-efficient technologies and efficient engineering processes are two major prerequisites for the fast and cost-efficient energy transition of the built environment. This study analyzes the potential of automatically generated optimal controls to not only enable high-performing building operation but also to simplify and streamline the decision-making. As a case study, the re-design of the energy supply system for a historic neighborhood in Bruges, Belgium, fully based on renewable and residual energy sources (R2ES) with air-source and ground-source heat pumps, PVT, and PV systems is used. Two design procedures, either using manually generated Rule-Based Controls or automatically generated Optimal Controls, using the Toolchain for Automated Control and Optimization, are compared in terms of the system performance and the design process efficiency. The results illustrate that, for this case study, an optimally controlled system uses around 30 % less electricity than with rule-based control. Moreover, the potential of automatically generated Optimal Controls to simplify the decision-making process in model-based co-design processes and as system integrator, is highlighted.</w:t>
      </w:r>
    </w:p>
    <w:p>
      <w:pPr/>
      <w:r>
        <w:rPr>
          <w:b/>
        </w:rPr>
        <w:t>POSSIBLE 2025:</w:t>
      </w:r>
      <w:r>
        <w:t xml:space="preserve"> Models for industry differentiation in decision-making systems with an application to the Ukrainian economy — https://doi.org/10.32620/reks.2025.3.03</w:t>
      </w:r>
    </w:p>
    <w:p>
      <w:pPr/>
      <w:r>
        <w:rPr>
          <w:b/>
        </w:rPr>
        <w:t>Shared claim-specific concepts:</w:t>
      </w:r>
      <w:r>
        <w:t xml:space="preserve"> decision-making, economy, different; EU scope not established. This is a provisional connection, not an outcome finding.</w:t>
      </w:r>
    </w:p>
    <w:p>
      <w:pPr>
        <w:pStyle w:val="SourceNote"/>
      </w:pPr>
      <w:r>
        <w:rPr>
          <w:b/>
        </w:rPr>
        <w:t>Available abstract (not full text):</w:t>
      </w:r>
      <w:r>
        <w:t xml:space="preserve"> This article is devoted to the study of the problem of using adaptive models of differentiation of sectors of the real sector of the economy as a key component of modern decision support systems (DSS). The subject of the study is models of differentiation of real sectors of the Ukrainian economy for integration into decision support systems to optimize public administration. This research aims to develop and validate adaptive models of industry differentiation into clusters (groups) to improve the effectiveness of decision-making systems applied to the real sector of Ukraine’s economy. The research object is the process of sectoral differentiation, which allows determining the structural features and patterns of economic sector functioning. DSS architecture is proposed that integrates multifactor analysis and machine learning algorithms for automated selection of strategic scenarios. For clustering, we used production volume indicators and the number of strategically important enterprises in Ukraine for the pre-war period (2015–2021), which serve as a benchmark model for comparative analysis. A comparative assessment of the effectiveness of the classical K-means, DBSCAN, and Ensemble model algorithms was conducted with quantitative verification of the results using the Silhouette Score and Davies-Bouldin Score metrics. Empirical analysis showed that the DBSCAN and Ensemble mode</w:t>
      </w:r>
    </w:p>
    <w:p>
      <w:pPr>
        <w:pStyle w:val="Heading2"/>
      </w:pPr>
      <w:r>
        <w:t>715.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2026:</w:t>
      </w:r>
      <w:r>
        <w:t xml:space="preserve"> Forced reorganisation of the North Atlantic SST–NAO relationship and implications for European winter predictability — https://doi.org/10.5194/egusphere-2026-2686</w:t>
      </w:r>
    </w:p>
    <w:p>
      <w:pPr/>
      <w:r>
        <w:rPr>
          <w:b/>
        </w:rPr>
        <w:t>Shared claim-specific concepts:</w:t>
      </w:r>
      <w:r>
        <w:t xml:space="preserve"> regime, forced, ensemble, climate; EU scope visible. This is a provisional connection, not an outcome finding.</w:t>
      </w:r>
    </w:p>
    <w:p>
      <w:pPr>
        <w:pStyle w:val="SourceNote"/>
      </w:pPr>
      <w:r>
        <w:rPr>
          <w:b/>
        </w:rPr>
        <w:t>Available abstract (not full text):</w:t>
      </w:r>
      <w:r>
        <w:t xml:space="preserve"> Abstract. The winter North Atlantic Oscillation (NAO) is a major source of seasonal climate variability across the Euro-Atlantic region, and part of its predictability arises from persistent North Atlantic sea-surface temperature (SST) anomalies. Whether this SST–NAO relationship remains stationary under anthropogenic forcing is uncertain. Here we investigate the evolution of North Atlantic SST–NAO predictability using the 40-member CANARI large ensemble under SSP3-7.0 forcing together with a hierarchy of physically constrained statistical and machine-learning models. We find that the internal component of the SST–NAO teleconnection retains a largely stable spatial structure throughout the 21st century, although the subpolar North Atlantic contribution weakens. In contrast, the externally forced SST–NAO relationship changes substantially as the North Atlantic warming pattern evolves. A three-term stationarity budget shows that forecast-skill degradation in the early 21st century is dominated by changes in the forced mean state rather than by increased internal variability. By the late century, the forced SST–NAO regression reverses sign as differential warming between the tropical and subpolar North Atlantic strengthens. A decomposition of predictability sources indicates a transition from historically interaction-driven predictability, in which forced and internal SST componen</w:t>
      </w:r>
    </w:p>
    <w:p>
      <w:pPr/>
      <w:r>
        <w:rPr>
          <w:b/>
        </w:rPr>
        <w:t>POSSIBLE 2026:</w:t>
      </w:r>
      <w:r>
        <w:t xml:space="preserve"> Northern Greenland transect stacked ice cores as a proxy for winter extreme events in Europe — https://doi.org/10.5194/cp-22-935-2026</w:t>
      </w:r>
    </w:p>
    <w:p>
      <w:pPr/>
      <w:r>
        <w:rPr>
          <w:b/>
        </w:rPr>
        <w:t>Shared claim-specific concepts:</w:t>
      </w:r>
      <w:r>
        <w:t xml:space="preserve"> frequency, ice, two, climate; EU scope visible. This is a provisional connection, not an outcome finding.</w:t>
      </w:r>
    </w:p>
    <w:p>
      <w:pPr>
        <w:pStyle w:val="SourceNote"/>
      </w:pPr>
      <w:r>
        <w:rPr>
          <w:b/>
        </w:rPr>
        <w:t>Available abstract (not full text):</w:t>
      </w:r>
      <w:r>
        <w:t xml:space="preserve"> Abstract. High-resolution ice core records from the Greenland ice sheet provide critical insights into past climate variability across seasonal to multidecadal timescales. A key proxy in these reconstructions is the concentration of stable oxygen isotopes (δ18O), which reflects both regional climatic conditions, such as temperature, as well as atmospheric and oceanic circulation patterns. While recent studies have linked δ18O variability to synoptic-scale phenomena, particularly atmospheric blocking, its relationship to extreme hydroclimatic events in Europe remains underexplored. This study demonstrates that a stacked record of δ18O from the Northern Greenland Transect (NGT), spanning 1602 to 2011, serves as a proxy for hydroclimatic extremes in Europe. The connection between δ18O anomalies and European atmospheric circulation patterns is investigated across two periods: the observational era (1920–2011) and a longer historical context (1602–2003) using paleoclimate reanalysis data. Composite analysis reveals that years characterized by low δ18O values in the NGT record correspond to an increased frequency of atmospheric blocking over Europe. These blocking events are associated with distinct hydroclimatic extremes. Specifically, the analysis shows a consistent pattern of enhanced frequency of extreme precipitation along Norwegian coast and more frequent extreme drier conditio</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2025:</w:t>
      </w:r>
      <w:r>
        <w:t xml:space="preserve"> CLIMK–WINDS: a new database of extreme European winter windstorms — https://doi.org/10.5194/essd-17-4431-2025</w:t>
      </w:r>
    </w:p>
    <w:p>
      <w:pPr/>
      <w:r>
        <w:rPr>
          <w:b/>
        </w:rPr>
        <w:t>Shared claim-specific concepts:</w:t>
      </w:r>
      <w:r>
        <w:t xml:space="preserve"> increase, climate; EU scope visible. This is a provisional connection, not an outcome finding.</w:t>
      </w:r>
    </w:p>
    <w:p>
      <w:pPr>
        <w:pStyle w:val="SourceNote"/>
      </w:pPr>
      <w:r>
        <w:rPr>
          <w:b/>
        </w:rPr>
        <w:t>Available abstract (not full text):</w:t>
      </w:r>
      <w:r>
        <w:t xml:space="preserve"> Abstract. European windstorms pose a significant threat to people, infrastructure and the natural environment. Several windstorms in the recent past have caused substantial damages, and losses associated with extreme windstorms may increase with climate change. Characterizing the footprints of destructive windstorms is thus key to providing quantitative estimates of storm-related economic losses. To that end, we have developed a new, publicly available database of extreme European windstorm footprints for the extended winter season during 1995–2015. In contrast to previously compiled European windstorm databases, we include storm footprints derived from four different data sets, rather than a single source: the ERA5 reanalysis, the COSMO-REA6 reanalysis for Europe, the COSMO-Climate Limited-area Mode regional climate model driven by ERA5 on the EURO-CORDEX domain, and simulation output from the same model but on an enlarged Germany domain with higher horizontal resolution. The database includes both the footprints themselves, expressed as the relative daily maximum wind gusts associated with a storm event, and the daily maximum wind gusts in absolute magnitude associated with the footprints. We derived and included the storm footprints associated with the 50 most extreme storms, or Top50 storms, identified within each of the four input data sets. We applied a consistent methodo</w:t>
      </w:r>
    </w:p>
    <w:p>
      <w:pPr/>
      <w:r>
        <w:rPr>
          <w:b/>
        </w:rPr>
        <w:t>POSSIBLE 2025:</w:t>
      </w:r>
      <w:r>
        <w:t xml:space="preserve"> Increasing frequency and intensity of single, multiple and concurrent meteorological hazards in Europe from a high-resolution dataset (1961–2020) — https://doi.org/10.1088/2752-5295/ae1ce0</w:t>
      </w:r>
    </w:p>
    <w:p>
      <w:pPr/>
      <w:r>
        <w:rPr>
          <w:b/>
        </w:rPr>
        <w:t>Shared claim-specific concepts:</w:t>
      </w:r>
      <w:r>
        <w:t xml:space="preserve"> frequency, increase, two; EU scope visible. This is a provisional connection, not an outcome finding.</w:t>
      </w:r>
    </w:p>
    <w:p>
      <w:pPr>
        <w:pStyle w:val="SourceNote"/>
      </w:pPr>
      <w:r>
        <w:rPr>
          <w:b/>
        </w:rPr>
        <w:t>Available abstract (not full text):</w:t>
      </w:r>
      <w:r>
        <w:t xml:space="preserve"> Abstract By means of a very high (1.5 km) resolution dataset for Europe, we investigate the change between past (1961–1990) and present (1991–2020) periods in the frequency and intensity of meteorological hazards, namely hot (H) and cold (C) waves, droughts (dry (D)), extreme precipitation (wet (W)) and fire weather (F). We analyse not only the changes in hazards taken separately but also the combination of multiple (i.e. two or more hazards happening in the same month but not necessarily in the same year) and concurrent (i.e. happening in the same month and year) events. Europe has become prone to more frequent and intense multiple hazards; in particular, most (&gt;75%) of the land has been subject to increased frequency and intensity of at least two hazards for most of the year, especially H D, H W and H D W combinations. Around 10% of land was subject to an increase in both frequency and intensity of four hazards (H C D W), especially in spring and autumn. Concurrent events have also become more frequent; in particular, the number of concurrent H D events has increased over most of Europe throughout the year, while the number of H F and H D F events has increased over the Mediterranean. Concurrent H W conditions have become more frequent, especially over northeastern Europe and the United Kingdom for most of the year. This led to the population cumulatively exposed to concurren</w:t>
      </w:r>
    </w:p>
    <w:p>
      <w:pPr>
        <w:pStyle w:val="Heading2"/>
      </w:pPr>
      <w:r>
        <w:t>716.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2025:</w:t>
      </w:r>
      <w:r>
        <w:t xml:space="preserve"> Alternative rainfall storylines for the Western European July 2021 floods from ensemble boosting — https://doi.org/10.1038/s43247-025-02386-y</w:t>
      </w:r>
    </w:p>
    <w:p>
      <w:pPr/>
      <w:r>
        <w:rPr>
          <w:b/>
        </w:rPr>
        <w:t>Shared claim-specific concepts:</w:t>
      </w:r>
      <w:r>
        <w:t xml:space="preserve"> here, alternative, terms, system; EU scope visible. This is a provisional connection, not an outcome finding.</w:t>
      </w:r>
    </w:p>
    <w:p>
      <w:pPr>
        <w:pStyle w:val="SourceNote"/>
      </w:pPr>
      <w:r>
        <w:rPr>
          <w:b/>
        </w:rPr>
        <w:t>Available abstract (not full text):</w:t>
      </w:r>
      <w:r>
        <w:t xml:space="preserve"> In July 2021, a cut-off low-pressure system brought extreme rainfall to Western Europe, leading to flooding that caused loss of life and infrastructure damage. Here, we use ensemble boosting to investigate alternative storylines of the event, given the observed dynamical situation. Using a fully coupled free-running climate model, we identify atmospheric flow analogues of the 2021 event in an initial-condition large ensemble. These analogues are re-initialised with slightly perturbed atmospheric initial conditions to generate physically plausible alternative storylines. The storylines are used to investigate how a potentially worse event could have unfolded given the same large-scale dynamics. We identify rainfall events with longer persistence and larger extent, yet the observed event appears to be towards the upper end of what is plausible in the current climate. Such storylines can be used to prepare for possible future events, helping society to imagine dangerous, but plausible, scenarios. The July 2021 extreme rainfall event in Western Europe appears near the upper bound of plausibility in the current climate, though alternative storylines revealing the potential for even more severe outcomes in terms of rainfall persistence, spatial extent, and location – given the large-scale dynamics of the event, according to a boosted ensemble.</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pStyle w:val="Heading2"/>
      </w:pPr>
      <w:r>
        <w:t>717.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2026:</w:t>
      </w:r>
      <w:r>
        <w:t xml:space="preserve"> Progressivity and the tax treatment of children: a microsimulation with administrative personal income tax data — https://openalex.org/W7167384592</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Work Project analyzes the redistributive effects of alternative treatments of children in the Portuguese Personal Income Tax. Using administrative tax microdata from 2017-2020 and a static arithmetic microsimulation model, we compare the observed system of marital quotient and child tax credits with the family quotient regime combined with lower child tax credits applied in 2015. The results show that this policy combination lowers the Kakwani index, indicating a reduction in tax progressivity, and shifts tax relief toward higher-income households, particularly large families, while increasing losses among lower-middle income households. The observed system is more progressive but fiscally more costly.</w:t>
      </w:r>
    </w:p>
    <w:p>
      <w:pPr/>
      <w:r>
        <w:rPr>
          <w:b/>
        </w:rPr>
        <w:t>POSSIBLE 2026:</w:t>
      </w:r>
      <w:r>
        <w:t xml:space="preserve"> Harnessing Technological Innovation for Poverty Reduction: Sectoral and Microsimulation Insights from Cameroon and the DRC — https://doi.org/10.63385/jemm.v2i1.307</w:t>
      </w:r>
    </w:p>
    <w:p>
      <w:pPr/>
      <w:r>
        <w:rPr>
          <w:b/>
        </w:rPr>
        <w:t>Shared claim-specific concepts:</w:t>
      </w:r>
      <w:r>
        <w:t xml:space="preserve"> microsimulation, rates; EU scope not established. This is a provisional connection, not an outcome finding.</w:t>
      </w:r>
    </w:p>
    <w:p>
      <w:pPr>
        <w:pStyle w:val="SourceNote"/>
      </w:pPr>
      <w:r>
        <w:rPr>
          <w:b/>
        </w:rPr>
        <w:t>Available abstract (not full text):</w:t>
      </w:r>
      <w:r>
        <w:t xml:space="preserve"> This study investigates Cameroon and the Democratic Republic of Congo, both contending with significant technological disparities—defined as variations in capital-augmenting technological capacity across sectors that influence productivity and growth potential. Using data from the year 2015, the analysis employs a dynamic computable general equilibrium (CGE) model combined with a microsimulation approach. The study examines how capital-augmenting technological innovation (TI)-that is, improvements in the efficiency of capital use-affects key macroeconomic variables such as GDP growth, wage rates, consumption patterns, and household welfare. Results from the CGE simulations reveal that increased TI positively influences GDP growth through contributions from agriculture, industry, and transport sectors. Welfare and income effects benefit households engaged in innovative sectors, while investment and consumption responses differ across activities. At the micro level, higher TI reduces poverty rates in both countries, especially within agriculture, industry, and transport. The findings highlight the importance of targeted investments in technology-intensive sectors to maximise TI’s benefits for growth, income distribution, and poverty reduction. Policymakers are encouraged to foster innovation-friendly environments, support entrepreneurship, and promote inclusive growth strategies </w:t>
      </w:r>
    </w:p>
    <w:p>
      <w:pPr/>
      <w:r>
        <w:rPr>
          <w:b/>
        </w:rPr>
        <w:t>POSSIBLE 2026:</w:t>
      </w:r>
      <w:r>
        <w:t xml:space="preserve"> How the universal pension scheme shapes poverty outcomes in Zanzibar: Insights from the ZANMOD microsimulation model — https://doi.org/10.35188/unu-wider/2026/734-3</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study is published within the UNU-WIDER project SOUTHMOD -simulating tax and benefit</w:t>
      </w:r>
    </w:p>
    <w:p>
      <w:pPr/>
      <w:r>
        <w:rPr>
          <w:b/>
        </w:rPr>
        <w:t>POSSIBLE 2026:</w:t>
      </w:r>
      <w:r>
        <w:t xml:space="preserve"> The Impact of Demographic Change on Spousal Caregiving and Future Gaps in Long-term Care: Microsimulation Projections for Austria and Italy — https://doi.org/10.1007/s12062-026-09529-9</w:t>
      </w:r>
    </w:p>
    <w:p>
      <w:pPr/>
      <w:r>
        <w:rPr>
          <w:b/>
        </w:rPr>
        <w:t>Shared claim-specific concepts:</w:t>
      </w:r>
      <w:r>
        <w:t xml:space="preserve"> microsimulation, different, size, increase; EU scope visible. This is a provisional connection, not an outcome finding.</w:t>
      </w:r>
    </w:p>
    <w:p>
      <w:pPr>
        <w:pStyle w:val="SourceNote"/>
      </w:pPr>
      <w:r>
        <w:rPr>
          <w:b/>
        </w:rPr>
        <w:t>Available abstract (not full text):</w:t>
      </w:r>
      <w:r>
        <w:t xml:space="preserve"> Abstract As populations age, the sustainability of long-term care systems increasingly depends on the availability of informal care, particularly from partners. This paper addresses the question of how much care we may expect partners to provide in the future by projecting demand for long-term care (LTC), the care supply mix based on current patterns, and the resulting care gaps up to 2070. Using a comparative dynamic microsimulation model, we contrast the results for Austria and Italy, two countries at very different stages in the ageing process and with pronounced institutional differences. Our results suggest that delayed widowhood due to improvements in mortality is a mitigating factor for the increased need for formal care in ageing societies, although it can only offset this increase to a limited extent. Even under optimistic assumptions, potential care gaps substantially increase in both countries, primarily due to demographic change. The size of these gaps is influenced by institutional settings, partnership patterns and gains in longevity, but no scenario reverses the overall upward trend. These findings emphasize the need for comprehensive LTC reforms that extend beyond merely promoting informal care and highlight the necessity for substantial investment in formal care infrastructure.</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illustrating;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The emergence of tax-benefit microsimulation models in the Global South: The experience of SAMOD, SOUTHMOD, and EUROMOD-based models for Latin America — https://doi.org/10.35188/unu-wider/2026/748-0</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paper examines the experience of building and using tax-benefit microsimulation models for countries in the Global South in EUROMOD. The study focuses mainly on three key initiatives: the pioneering SAMOD model, the SOUTHMOD project, and EUROMOD-based models for Latin America. The paper provides an overview of these initiatives and highlights the importance of taking account of the developing-country context in the simulations. Research based on the models has made key contributions to the field of public finance and social policy in the Global South, over a wide range of topics such as distributional analysis, work incentives and informal employment, automatic stabilization, among many others. A number of challenges remain for the update and use of microsimulation models in the Global South. However, these tools offer opportunities for new avenues of research and to contribute with evidence to the policy debate in view of strengthening social protection and increasing fiscal capacity.</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pStyle w:val="Heading2"/>
      </w:pPr>
      <w:r>
        <w:t>718.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2023:</w:t>
      </w:r>
      <w:r>
        <w:t xml:space="preserve"> Analysis of Discourse Markers in Paragraph Writings of Preparatory Elective Class Students in a State University — https://doi.org/10.19160/e-ijer.1190477</w:t>
      </w:r>
    </w:p>
    <w:p>
      <w:pPr/>
      <w:r>
        <w:rPr>
          <w:b/>
        </w:rPr>
        <w:t>Shared claim-specific concepts:</w:t>
      </w:r>
      <w:r>
        <w:t xml:space="preserve"> final, paragraph, three; EU scope not established. This is a provisional connection, not an outcome finding.</w:t>
      </w:r>
    </w:p>
    <w:p>
      <w:pPr>
        <w:pStyle w:val="SourceNote"/>
      </w:pPr>
      <w:r>
        <w:rPr>
          <w:b/>
        </w:rPr>
        <w:t>Available abstract (not full text):</w:t>
      </w:r>
      <w:r>
        <w:t xml:space="preserve"> Writing is one of the productive skills and it is very important. However, it is a very difficult skill to develop even in the native language. In other words, knowing the grammar rules and vocabulary do not create a perfect writing. Using discourse markers between the sentences to relate them with one another makes it more coherent. Therefore, in this study it was aimed to scrutinize the use of discourse markers (DMs) in the paragraphs of high-scored students and low-scored students. In the final exam paper, students were asked to write a story about one of three pictures they chose. They were expected to narrate a story with 100-120 words as they were intermediate level students (B1). After two instructors evaluated each of the students’ writing exams based on the non-academic criteria with the following sub-criteria: “accuracy of vocabulary, variety of vocabulary, accuracy of grammar, variety of grammar, paragraph structure, quality and relevance of ideas, linking words, punctuation and capitalization, and spelling mistakes”, the writings of students who sent their consents were analyzed both quantitatively and qualitatively in this current study. 10 papers for each category (low-scored students’ and high-scored students’ paragraphs) were examined. Results showed that high-scored students used more DMs than low scored-students. Furthermore, misuse of DMs and overused DMs, wh</w:t>
      </w:r>
    </w:p>
    <w:p>
      <w:pPr/>
      <w:r>
        <w:rPr>
          <w:b/>
        </w:rPr>
        <w:t>POSSIBLE 2023:</w:t>
      </w:r>
      <w:r>
        <w:t xml:space="preserve"> Exclusion of the principle of non-refoulement in article 33 paragraph 2 of the 1951 refuge convention — https://doi.org/10.61511/eaebjol.v1i1.2023.108</w:t>
      </w:r>
    </w:p>
    <w:p>
      <w:pPr/>
      <w:r>
        <w:rPr>
          <w:b/>
        </w:rPr>
        <w:t>Shared claim-specific concepts:</w:t>
      </w:r>
      <w:r>
        <w:t xml:space="preserve"> paragraph, relations, outlined; EU scope not established. This is a provisional connection, not an outcome finding.</w:t>
      </w:r>
    </w:p>
    <w:p>
      <w:pPr>
        <w:pStyle w:val="SourceNote"/>
      </w:pPr>
      <w:r>
        <w:rPr>
          <w:b/>
        </w:rPr>
        <w:t>Available abstract (not full text):</w:t>
      </w:r>
      <w:r>
        <w:t xml:space="preserve"> This study aims to examine whether non-refoulement in the refugee context has attained the status of a jus cogens norm or not and how the exceptions in Article 33(2) should be understood if non-refoulement is indeed considered as a jus cogens. This research adopts a normative juridical analysis approach to critically examine the status of the principle of non-refoulement. The study concludes that the principle of non-refoulement qualifies as a norm of jus cogens based on several key criteria. Firstly, it satisfies the requirements of a jus cogens norm by addressing matters of common concern to the international community, serving humanitarian purposes, and aligning with principles outlined in the UN Charter relating to treaties and the use of force in international relations. Secondly, the exception outlined in Article 33 Paragraph 2 of the Refugee Convention does not alter the non-derogable nature of the principle of non-refoulement. The fulfillment of Article 33 Paragraph 2 is contingent upon strict conditions and necessitates objective evidence to be provided by a country. The research is intended to contribute to the understanding of the normative status of the principle of non-refoulement within the framework of international refugee law.</w:t>
      </w:r>
    </w:p>
    <w:p>
      <w:pPr/>
      <w:r>
        <w:rPr>
          <w:b/>
        </w:rPr>
        <w:t>POSSIBLE 2023:</w:t>
      </w:r>
      <w:r>
        <w:t xml:space="preserve"> IMPACT OF THE STATE OF EMERGENCY ON SOCIAL RELATIONS — https://doi.org/10.13165/pspo-23-34-04</w:t>
      </w:r>
    </w:p>
    <w:p>
      <w:pPr/>
      <w:r>
        <w:rPr>
          <w:b/>
        </w:rPr>
        <w:t>Shared claim-specific concepts:</w:t>
      </w:r>
      <w:r>
        <w:t xml:space="preserve"> final, external, relations, provide; EU scope visible. This is a provisional connection, not an outcome finding.</w:t>
      </w:r>
    </w:p>
    <w:p>
      <w:pPr>
        <w:pStyle w:val="SourceNote"/>
      </w:pPr>
      <w:r>
        <w:rPr>
          <w:b/>
        </w:rPr>
        <w:t>Available abstract (not full text):</w:t>
      </w:r>
      <w:r>
        <w:t xml:space="preserve"> The authors of this research paper analyse the impact of declared state of emergency measures on social relations in the Republic of Lithuania within the entire area at the state border of the Republic of Lithuania with the Republic of Belarus and 5 kilometres inland from the border area from 10 November 2021, 24.00 (midnight).Influx of migration as part of the hybrid attack against the Lithuania, Poland, Latvia supported by the Belorussian authorities in 2021 requires Lithuanian institutions to take immediate coordinated contra measures to stop the hybrid attack on the European Union (hereinafter – the EU). The Republic of Lithuania has 679 kilometres eastern external border of the European Union with the Republic of Belarus. Accordingly, Lithuania is in charge for ensuring protection of the border and as sovereign state has the exclusive and discretionary right to make final decisions in a given situation and employ the best suitable and effective measures to handle threats to the national security. Lithuania declared the state emergency at the border with the Republic of Belarus. The territory which falls under the state of emergency obtained a new legal status and concurrently became the object of the specific legal regulation. Also, this gives rise to several questions. How the new legal status of the given territory impacts the four freedoms of the EU, i.e., the free move</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r>
        <w:rPr>
          <w:b/>
        </w:rPr>
        <w:t>POSSIBLE 2022:</w:t>
      </w:r>
      <w:r>
        <w:t xml:space="preserve"> A New Dataset for Topic-Based Paragraph Classification in Genocide-Related Court Transcripts — https://doi.org/10.63317/3o5tq7f6znep</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Recent progress in natural language processing has been impressive in many different areas with transformer-based approaches setting new benchmarks for a wide range of applications.This development has also lowered the barriers for people outside the NLP community to tap into the tools and resources applied to a variety of domain-specific applications.The bottleneck however still remains the lack of annotated gold-standard collections as soon as one's research or professional interest falls outside the scope of what is readily available.One such area is genocide-related research (also including the work of experts who have a professional interest in accessing, exploring and searching large-scale document collections on the topic, such as lawyers).We present GTC (Genocide Transcript Corpus), the first annotated corpus of genocide-related court transcripts which serves three purposes: (1) to provide a first reference corpus for the community, (2) to establish benchmark performances (using state-of-the-art transformer-based approaches) for the new classification task of paragraph identification of violence-related witness statements, (3) to explore first steps towards transfer learning within the domain.We consider our contribution to be addressing in particular this year's hot topic on Language Technology for All.</w:t>
      </w:r>
    </w:p>
    <w:p>
      <w:pPr>
        <w:pStyle w:val="Heading2"/>
      </w:pPr>
      <w:r>
        <w:t>719.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2026:</w:t>
      </w:r>
      <w:r>
        <w:t xml:space="preserve"> Do Environmental, Social, and Governance (ESG) Practices Improve Corporate Profitability? Evidence from European Companies — https://openalex.org/W7198933918</w:t>
      </w:r>
    </w:p>
    <w:p>
      <w:pPr/>
      <w:r>
        <w:rPr>
          <w:b/>
        </w:rPr>
        <w:t>Shared claim-specific concepts:</w:t>
      </w:r>
      <w:r>
        <w:t xml:space="preserve"> does, environmental; EU scope visible. This is a provisional connection, not an outcome finding.</w:t>
      </w:r>
    </w:p>
    <w:p>
      <w:pPr>
        <w:pStyle w:val="SourceNote"/>
      </w:pPr>
      <w:r>
        <w:rPr>
          <w:b/>
        </w:rPr>
        <w:t>Available abstract (not full text):</w:t>
      </w:r>
      <w:r>
        <w:t xml:space="preserve"> The thesis focuses on the correlation between Environmental, Social, and Governance (ESG) performance and corporate profitability of the publicly listed non-financial European companies in the period 2011-2024. The study relies on panel data available in the Refinitiv ESG and financial databases to estimate that ESG engagement improves the profitability of firms and its impact varies by ESG dimension, industry, and economic stress periods. The findings have shown that aggregate ESG performance is not positively correlated with short-term accounting-based profitability, and is, in certain specifications, negatively related to firm performance, indicating the existence of short-term implementation and compliance costs. The performance of governance turns out to be comparatively stronger than the performance of environment and social, whereas the performance of the environment and social turns out to be relatively weak and contingent. The sectoral analyses indicate high heterogeneity of the ESG-profitability relationships, which indicates the significance of industry contexts. In both crisis-interaction models of the COVID-19 pandemic and the European energy crisis, it is revealed that ESG performance does not consistently reduce short-term decreases in profitability during economic stress times. In general, the results indicate that ESG engagement is a short-term tradeoff between</w:t>
      </w:r>
    </w:p>
    <w:p>
      <w:pPr>
        <w:pStyle w:val="Heading2"/>
      </w:pPr>
      <w:r>
        <w:t>720.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2026:</w:t>
      </w:r>
      <w:r>
        <w:t xml:space="preserve"> Global Energy Project for the Future of Humanity — https://doi.org/10.5281/zenodo.20648321</w:t>
      </w:r>
    </w:p>
    <w:p>
      <w:pPr/>
      <w:r>
        <w:rPr>
          <w:b/>
        </w:rPr>
        <w:t>Shared claim-specific concepts:</w:t>
      </w:r>
      <w:r>
        <w:t xml:space="preserve"> energy, rate, technologies, use; EU scope not established. This is a provisional connection, not an outcome finding.</w:t>
      </w:r>
    </w:p>
    <w:p>
      <w:pPr>
        <w:pStyle w:val="SourceNote"/>
      </w:pPr>
      <w:r>
        <w:rPr>
          <w:b/>
        </w:rPr>
        <w:t>Available abstract (not full text):</w:t>
      </w:r>
      <w:r>
        <w:t xml:space="preserve"> A NEW START FOR HUMANITY Global Energy and Civilizational Project for the Future of the World Author:Lukasz Dabrowski From the Author I am not a scientist, an economist, or a politician. I am an entrepreneur who has made many mistakes in his life, gone through many difficult experiences, and thanks to them learned to look at the world from a different perspective. This document was not created because I consider myself a person who has all the answers. It was created because I ask questions which, in my opinion, concern the future of all of us. For years I have observed people, companies, institutions and systems. I have seen both the good and the weaknesses of human nature. I have seen honesty, dedication and hard work, but also greed, corruption, waste of resources and decisions made at the expense of ordinary people. I have come to the conclusion that the greatest problem of the modern world is not the lack of knowledge, technology or money. The greatest problem is the way in which we manage them. We live in times in which humanity possesses possibilities unimaginable to previous generations. We are able to build advanced technologies, communicate with people on the other side of the world within seconds and develop artificial intelligence capable of supporting us in solving increasingly complex problems. At the same time, we still struggle with wars, poverty, corruption, un</w:t>
      </w:r>
    </w:p>
    <w:p>
      <w:pPr/>
      <w:r>
        <w:rPr>
          <w:b/>
        </w:rPr>
        <w:t>POSSIBLE 2026:</w:t>
      </w:r>
      <w:r>
        <w:t xml:space="preserve"> Citizens’ Investments in Collective Renewable Energy Facilities: a Stated Preferences Study with Project Appraisal — https://doi.org/10.2139/ssrn.7006243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2025:</w:t>
      </w:r>
      <w:r>
        <w:t xml:space="preserve"> Financial Modeling for Renewable Energy Projects: Risk and Return Analysis of Wind and Solar Energy Investments — https://doi.org/10.20508/ijrer.v15i4.15391.g9131</w:t>
      </w:r>
    </w:p>
    <w:p>
      <w:pPr/>
      <w:r>
        <w:rPr>
          <w:b/>
        </w:rPr>
        <w:t>Shared claim-specific concepts:</w:t>
      </w:r>
      <w:r>
        <w:t xml:space="preserve"> energy, modeling; EU scope not established. This is a provisional connection, not an outcome finding.</w:t>
      </w:r>
    </w:p>
    <w:p>
      <w:pPr>
        <w:pStyle w:val="SourceNote"/>
      </w:pPr>
      <w:r>
        <w:rPr>
          <w:b/>
        </w:rPr>
        <w:t>Available abstract (not full text):</w:t>
      </w:r>
      <w:r>
        <w:t xml:space="preserve"> In this study, the financial modeling of wind and solar energy investments is investigated with an emphasis on the analysis of risk and return profiles. The primary objective is to provide a comprehensive financial performance assessment for renewable energy projects, focusing specifically on wind and solar energy sectors across various geographic locations. The study contributes to the literature by offering a detailed analysis of the factors influencing the financial performance of these investments and evaluates the applicability and effectiveness of different financial models in the renewable energy domain. Limitations of the research include variability due to geographical factors and potential market dynamics changes. Furthermore, the financial models are based on current economic conditions and technological advancements, which may affect the validity of results over time. Future directions suggest expanding financial modeling to include diverse energy sources and technological innovations, as well as a deeper examination of macroeconomic factors, such as policy making and government incentives, on renewable energy investments.</w:t>
      </w:r>
    </w:p>
    <w:p>
      <w:pPr/>
      <w:r>
        <w:rPr>
          <w:b/>
        </w:rPr>
        <w:t>POSSIBLE 2025:</w:t>
      </w:r>
      <w:r>
        <w:t xml:space="preserve"> Selection of Global Climate Model Data for Downscaling With Generative Machine Learning and Use in the Power Planning for Alignment of Climate and Energy Systems Project — https://doi.org/10.2172/2498329</w:t>
      </w:r>
    </w:p>
    <w:p>
      <w:pPr/>
      <w:r>
        <w:rPr>
          <w:b/>
        </w:rPr>
        <w:t>Shared claim-specific concepts:</w:t>
      </w:r>
      <w:r>
        <w:t xml:space="preserve"> respect, energy, use; EU scope not established. This is a provisional connection, not an outcome finding.</w:t>
      </w:r>
    </w:p>
    <w:p>
      <w:pPr>
        <w:pStyle w:val="SourceNote"/>
      </w:pPr>
      <w:r>
        <w:rPr>
          <w:b/>
        </w:rPr>
        <w:t>Available abstract (not full text):</w:t>
      </w:r>
      <w:r>
        <w:t xml:space="preserve"> The range of results from climate models and scenarios is important to the understanding of uncertainty in power planning analysis. A U.S. Department of Energy-funded analytic project called Power Planning for Alignment of Climate and Energy Systems is developing data and analytic methods to reflect the effects of climate change on key variables for power system planning, as part of the Grid Modernization Lab Consortium. This project will select and prepare global climate model results for use in power system planning models. A related report (Evaluation of Global Climate Models for Use in Energy Analysis) assesses the performance of various global climate models from the Coupled Model Intercomparison Project Phase 6 data archive for their historical skill with respect to energy system performance and for their future projections under multiple climate change scenarios. Building from that report, we describe the selection of a climate scenario (Shared Socioeconomic Pathway [SSP] 2-4.5) and five climate models: TaiESM1, EC-Earth3-CC, GFDL-CM4, EC-Earth3-Veg, and MPI-ESM1-2-HR. We describe the model selection criteria, which were based on the quality of the match between model results under historical conditions and on the representation of the range of future values for several variables. These results will be downscaled via an open-source generative machine learning method call</w:t>
      </w:r>
    </w:p>
    <w:p>
      <w:pPr/>
      <w:r>
        <w:rPr>
          <w:b/>
        </w:rPr>
        <w:t>POSSIBLE 2025:</w:t>
      </w:r>
      <w:r>
        <w:t xml:space="preserve"> An Detailed Analysis of Modelling and Optimisation Techniques for Including Energy Storage and Renewable Energy in District Heating Systems — https://doi.org/10.59075/pjmi.v4i1.512</w:t>
      </w:r>
    </w:p>
    <w:p>
      <w:pPr/>
      <w:r>
        <w:rPr>
          <w:b/>
        </w:rPr>
        <w:t>Shared claim-specific concepts:</w:t>
      </w:r>
      <w:r>
        <w:t xml:space="preserve"> respect, energy, modeling; EU scope not established. This is a provisional connection, not an outcome finding.</w:t>
      </w:r>
    </w:p>
    <w:p>
      <w:pPr>
        <w:pStyle w:val="SourceNote"/>
      </w:pPr>
      <w:r>
        <w:rPr>
          <w:b/>
        </w:rPr>
        <w:t>Available abstract (not full text):</w:t>
      </w:r>
      <w:r>
        <w:t xml:space="preserve"> The construction and infrastructure industry constitutes approximately 47% of worldwide energy utilization. Numerous conventional energy resources, such as petroleum and coal are categorized as non-renewable and are projected to experience depletion within the forthcoming decades. To mitigate the persistent energy dilemmas, the implementation of renewable energy sources such as solar energy, alongside substantial advancements in energy efficiency, has been proposed as feasible remedial measures. Within this framework, District Heating Systems (DHS) have received heightened scrutiny due to their myriad advantages in energy generation, distribution, and application for space heating. This manuscript investigates contemporary advancements in the production, modeling, and optimization of DHS. It systematically classifies energy resources according to their sustainability and their compatibility with the integration of DHS. Furthermore, the prevailing modeling methodologies are assessed with respect to computational efficiency, precision, and reliability of the outcomes. Additionally, the report groups recent DHS research according to various optimisation goals, such as maximising energy and energy efficiency, minimising greenhouse gas (GHG) emissions, reducing costs, and taking exergo-economic and thermo-economic factors into account.</w:t>
      </w:r>
    </w:p>
    <w:p>
      <w:pPr/>
      <w:r>
        <w:rPr>
          <w:b/>
        </w:rPr>
        <w:t>POSSIBLE 2025:</w:t>
      </w:r>
      <w:r>
        <w:t xml:space="preserve"> The invisible traits of professional footballers: a qualitative analysis of attitude and respect from a sports psychology view — https://doi.org/10.56294/saludcyt20252084</w:t>
      </w:r>
    </w:p>
    <w:p>
      <w:pPr/>
      <w:r>
        <w:rPr>
          <w:b/>
        </w:rPr>
        <w:t>Shared claim-specific concepts:</w:t>
      </w:r>
      <w:r>
        <w:t xml:space="preserve"> respect, requires, long-term; EU scope not established. This is a provisional connection, not an outcome finding.</w:t>
      </w:r>
    </w:p>
    <w:p>
      <w:pPr>
        <w:pStyle w:val="SourceNote"/>
      </w:pPr>
      <w:r>
        <w:rPr>
          <w:b/>
        </w:rPr>
        <w:t>Available abstract (not full text):</w:t>
      </w:r>
      <w:r>
        <w:t xml:space="preserve"> Becoming a professional football player is a long and demanding journey that requires more than just physical strength, technical expertise, and tactical awareness. Psychological skills and mental resilience also play a crucial role in ensuring both progression to the professional level and the ability to sustain success over time. This study aims to explore key psychological aspects in the developmental pathway of football players, emphasizing the interplay between attitude, behavior, and overall character growth. Using a qualitative research design with a grounded theory approach, this study involved 10 youth football coaches, all holding official coaching licenses and with a minimum of five years of coaching experience. Data collection was carried out through triangulation methods, including open-ended semi-structured interviews, observations, and document analysis, to ensure credibility and richness of data. The findings reveal that successful football players must demonstrate exemplary behavior, as their attitudes and conduct not only reflect personal character but also influence the broader football environment. Two core qualities identified are maintaining a positive attitude and showing respect for everyone—teammates, coaches, referees, opponents, and even supporters. Beyond technical and physical skills, the long-term development of a football player must integrate psy</w:t>
      </w:r>
    </w:p>
    <w:p>
      <w:pPr>
        <w:pStyle w:val="Heading2"/>
      </w:pPr>
      <w:r>
        <w:t>721.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2026:</w:t>
      </w:r>
      <w:r>
        <w:t xml:space="preserve"> Organic Photovoltaics in European Greenhouses – Mapping Renewable Electricity Potential across Europe — https://doi.org/10.1016/j.ecmx.2026.102162</w:t>
      </w:r>
    </w:p>
    <w:p>
      <w:pPr/>
      <w:r>
        <w:rPr>
          <w:b/>
        </w:rPr>
        <w:t>Shared claim-specific concepts:</w:t>
      </w:r>
      <w:r>
        <w:t xml:space="preserve"> potential, energy; EU scope visible. This is a provisional connection, not an outcome finding.</w:t>
      </w:r>
    </w:p>
    <w:p>
      <w:pPr>
        <w:pStyle w:val="SourceNote"/>
      </w:pPr>
      <w:r>
        <w:rPr>
          <w:b/>
        </w:rPr>
        <w:t>Available abstract (not full text):</w:t>
      </w:r>
      <w:r>
        <w:t xml:space="preserve"> This study investigates the potential of Organic Photovoltaics (OPV) for integration into greenhouses across the European Union (EU), as a pathway to strengthen both energy and food security within the clean energy transition. The integration of renewable electricity generation with agricultural production in greenhouses employs a dual-use strategy for land and energy. As an emerging photovoltaic technology, OPV is explicitly relevant in this context, directly supporting the EU’s goals for sustainable transformation and the clean energy transition. The techno-economic feasibility of OPV greenhouses under varying deployment and performance scenarios is assessed. Depending on the assumptions made regarding coverage and efficiency, the annual electricity generation potential ranges from 14 TWh year⁻1 under conservative conditions to over 130 TWh year⁻1 in advanced cases. The findings indicate that, even under scenarios characterized by low OPV coverage and lower power density, annual OPV electricity generation has the potential to reach or even surpass allocated annual greenhouse electricity demand in numerous EU regions on an annual-balance basis. Under current high-cost assumptions, economic feasibility remains limited, with LCOE values ranging from 0.13 to 0.46 € kWh⁻1 across regions and module-capacity scenarios. Under industrial-scale manufacturing assumptions, LCOE decreases</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2024:</w:t>
      </w:r>
      <w:r>
        <w:t xml:space="preserve"> A review of the current potential of European brown seaweed for the production of biofuels — https://doi.org/10.1186/s13705-024-00452-5</w:t>
      </w:r>
    </w:p>
    <w:p>
      <w:pPr/>
      <w:r>
        <w:rPr>
          <w:b/>
        </w:rPr>
        <w:t>Shared claim-specific concepts:</w:t>
      </w:r>
      <w:r>
        <w:t xml:space="preserve"> potential, energy, interest; EU scope visible. This is a provisional connection, not an outcome finding.</w:t>
      </w:r>
    </w:p>
    <w:p>
      <w:pPr>
        <w:pStyle w:val="SourceNote"/>
      </w:pPr>
      <w:r>
        <w:rPr>
          <w:b/>
        </w:rPr>
        <w:t>Available abstract (not full text):</w:t>
      </w:r>
      <w:r>
        <w:t xml:space="preserve"> Abstract Background In addition to the other uses for macroalgae, since the 1970s, there has been interest in using macroalgae as a source of biofuels, due to the high rates of productivity and intrinsic advantages over other biofuel crops such as not requiring land use or significant freshwater input. A wide range of conversion processes exist but anaerobic digestion was one of the first demonstrated and is still a widely proposed conversion pathway. To be economically viable and scalable within Europe, the industry will need to be based on a small number of fast growing, high-yielding European macroalgae species. There is a wide body of scientific work on the conversion of seaweeds to biofuel via anaerobic digestion. Main text These studies demonstrate that the efficiency of this conversion pathway is highly variable between species, processing techniques, composition and digestor conditions. In this paper, we review this body of work specifically linking it to candidate species for European macroalgae bio-energy cultivation with the aim to promote the future development of the European macroalgal cultivation sector and allow for a better alignment with the requirements for biofuel production from macroalgae. Conclusions Overall, anaerobic digestion of seaweed offers opportunities for large-scale energy production which avoids some of the issues that have faced previous gener</w:t>
      </w:r>
    </w:p>
    <w:p>
      <w:pPr/>
      <w:r>
        <w:rPr>
          <w:b/>
        </w:rPr>
        <w:t>POSSIBLE 2024:</w:t>
      </w:r>
      <w:r>
        <w:t xml:space="preserve"> The Range Potential of North American Tree Species in Europe — https://doi.org/10.3390/f15010130</w:t>
      </w:r>
    </w:p>
    <w:p>
      <w:pPr/>
      <w:r>
        <w:rPr>
          <w:b/>
        </w:rPr>
        <w:t>Shared claim-specific concepts:</w:t>
      </w:r>
      <w:r>
        <w:t xml:space="preserve"> all, potential, especially; EU scope visible. This is a provisional connection, not an outcome finding.</w:t>
      </w:r>
    </w:p>
    <w:p>
      <w:pPr>
        <w:pStyle w:val="SourceNote"/>
      </w:pPr>
      <w:r>
        <w:rPr>
          <w:b/>
        </w:rPr>
        <w:t>Available abstract (not full text):</w:t>
      </w:r>
      <w:r>
        <w:t xml:space="preserve"> European forest ecosystems are projected to change severely under climate change especially due to an anticipated decline in the distribution of major tree species in Europe. Therefore, the adaptation of European forests appears necessary and urgent. While spontaneous adaptation mechanisms bear a large self-guided potential, we focus on quantifying the potential of management-guided mechanisms. Besides other possible tree species groups for adaptation, non-native tree species from North America have a long tradition in Europe, yet their full distribution potential is not completely revealed. We applied an ensemble species distribution model approach to six North American species, using combined occurrence data from the native and naturalized ranges to gain more insights into the species suitability in the introduced area in 2070 (2061–2080) under the emission scenarios RCP 4.5 and 8.5. Our findings support the assumption that there is unreported species potential in the introduced area beyond their current distribution. Next to northeastern range shifts projected for all species, we identified Abies grandis, Liriodendron tulipifera, Quercus rubra, and Robinia pseudoacacia with increasing range potentials in the future. P. ponderosa and P. menziesii var. menziesii are projected to show a steady and decreased range potential under RCP 4.5 and 8.5, respectively.</w:t>
      </w:r>
    </w:p>
    <w:p>
      <w:pPr/>
      <w:r>
        <w:rPr>
          <w:b/>
        </w:rPr>
        <w:t>POSSIBLE 2024:</w:t>
      </w:r>
      <w:r>
        <w:t xml:space="preserve"> A Mapping of Textile Waste Recycling Technologies in Europe and Spain — https://doi.org/10.3390/textiles4030022</w:t>
      </w:r>
    </w:p>
    <w:p>
      <w:pPr/>
      <w:r>
        <w:rPr>
          <w:b/>
        </w:rPr>
        <w:t>Shared claim-specific concepts:</w:t>
      </w:r>
      <w:r>
        <w:t xml:space="preserve"> all, selected, especially;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Evidence of a European seed dispersal crisis — https://doi.org/10.1126/science.ado1464</w:t>
      </w:r>
    </w:p>
    <w:p>
      <w:pPr/>
      <w:r>
        <w:rPr>
          <w:b/>
        </w:rPr>
        <w:t>Shared claim-specific concepts:</w:t>
      </w:r>
      <w:r>
        <w:t xml:space="preserve"> potential, especially, international; EU scope visible. This is a provisional connection, not an outcome finding.</w:t>
      </w:r>
    </w:p>
    <w:p>
      <w:pPr>
        <w:pStyle w:val="SourceNote"/>
      </w:pPr>
      <w:r>
        <w:rPr>
          <w:b/>
        </w:rPr>
        <w:t>Available abstract (not full text):</w:t>
      </w:r>
      <w:r>
        <w:t xml:space="preserve"> Seed dispersal is crucial for ecosystem persistence, especially in fragmented landscapes, such as those common in Europe. Ongoing defaunation might compromise effective seed dispersal, but the conservation status of pairwise interactions remains unknown. With a literature review, we reconstructed the first European-wide seed dispersal network and evaluated the conservation status of interactions by assessing each interacting partner's IUCN (International Union for Conservation of Nature) conservation status and population trends. We found that a third of the disperser species and interactions face potential extinction and that 30% of the plant species have most of their dispersers threatened or declining. Our study reveals a developing seed dispersal crisis in Europe and highlights large knowledge gaps regarding the dispersers and conservation status of zoochorous plants, urging further scrutiny and action to conserve the seed dispersal service.</w:t>
      </w:r>
    </w:p>
    <w:p>
      <w:pPr/>
      <w:r>
        <w:rPr>
          <w:b/>
        </w:rPr>
        <w:t>POSSIBLE 2024:</w:t>
      </w:r>
      <w:r>
        <w:t xml:space="preserve"> An assessment of the species diversity and disease potential of Pythium communities in Europe — https://doi.org/10.1038/s41467-024-52761-0</w:t>
      </w:r>
    </w:p>
    <w:p>
      <w:pPr/>
      <w:r>
        <w:rPr>
          <w:b/>
        </w:rPr>
        <w:t>Shared claim-specific concepts:</w:t>
      </w:r>
      <w:r>
        <w:t xml:space="preserve"> all, countries, potential; EU scope visible. This is a provisional connection, not an outcome finding.</w:t>
      </w:r>
    </w:p>
    <w:p>
      <w:pPr>
        <w:pStyle w:val="SourceNote"/>
      </w:pPr>
      <w:r>
        <w:rPr>
          <w:b/>
        </w:rPr>
        <w:t>Available abstract (not full text):</w:t>
      </w:r>
      <w:r>
        <w:t xml:space="preserve"> Pythium sensu lato (s.l.) is a genus of parasitic oomycetes that poses a serious threat to agricultural production worldwide, but their severity is often neglected because little knowledge about them is available. Using an internal transcribed spacer (ITS) amplicon-based-metagenomics approach, we investigate the occurrence, abundance, and diversity of Pythium spp. s.l. in 127 corn fields of 11 European countries from the years 2019 to 2021. We also identify 73 species, with up to 20 species in a single soil sample, and the prevalent species, which show high species diversity, varying disease potential, and are widespread in most countries. Further, we show species-species co-occurrence patterns considering all detected species and link species abundance to soil parameter using the LUCAS topsoil dataset. Infection experiments with recovered isolates show that Pythium s.l. differ in disease potential, and that effective interference with plant hormone networks suppressing JA (jasmonate)-mediated defenses is an essential component of the virulence mechanism of Pythium s.l. species. This study provides a valuable dataset that enables deep insights into the structure and species diversity of Pythium s.l. communities in European corn fields and knowledge for better understanding plant-Pythium interactions, facilitating the development of an effective strategy to cope with this pathog</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2023:</w:t>
      </w:r>
      <w:r>
        <w:t xml:space="preserve"> The European List of Key Medicines for Medical Education: A Modified Delphi Study — https://doi.org/10.1002/cpt.3132</w:t>
      </w:r>
    </w:p>
    <w:p>
      <w:pPr/>
      <w:r>
        <w:rPr>
          <w:b/>
        </w:rPr>
        <w:t>Shared claim-specific concepts:</w:t>
      </w:r>
      <w:r>
        <w:t xml:space="preserve"> selected, countries, achieve; EU scope visible. This is a provisional connection, not an outcome finding.</w:t>
      </w:r>
    </w:p>
    <w:p>
      <w:pPr>
        <w:pStyle w:val="SourceNote"/>
      </w:pPr>
      <w:r>
        <w:rPr>
          <w:b/>
        </w:rPr>
        <w:t>Available abstract (not full text):</w:t>
      </w:r>
      <w:r>
        <w:t xml:space="preserve"> Rational prescribing is essential for the quality of health care. However, many final-year medical students and junior doctors lack prescribing competence to perform this task. The availability of a list of medicines that a junior doctor working in Europe should be able to independently prescribe safely and effectively without supervision could support and harmonize teaching and training in clinical pharmacology and therapeutics (CPT) in Europe. Therefore, our aim was to achieve consensus on such a list of medicines that are widely accessible in Europe. For this, we used a modified Delphi study method consisting of three parts. In part one, we created an initial list based on a literature search. In part two, a group of 64 coordinators in CPT education, selected via the Network of Teachers in Pharmacotherapy of the European Association for Clinical Pharmacology and Therapeutics, evaluated the accessibility of each medicine in his or her country, and provided a diverse group of experts willing to participate in the Delphi part. In part three, 463 experts from 24 European countries were invited to participate in a 2-round Delphi study. In total, 187 experts (40%) from 24 countries completed both rounds and evaluated 416 medicines, 98 of which were included in the final list. The top three Anatomical Therapeutic Chemical code groups were (1) cardiovascular system (n = 23), (2) ant</w:t>
      </w:r>
    </w:p>
    <w:p>
      <w:pPr/>
      <w:r>
        <w:rPr>
          <w:b/>
        </w:rPr>
        <w:t>POSSIBLE 2023:</w:t>
      </w:r>
      <w:r>
        <w:t xml:space="preserve"> Unlocking the potential of targeting histone-modifying enzymes for treating IBD and CRC — https://doi.org/10.1186/s13148-023-01562-1</w:t>
      </w:r>
    </w:p>
    <w:p>
      <w:pPr/>
      <w:r>
        <w:rPr>
          <w:b/>
        </w:rPr>
        <w:t>Shared claim-specific concepts:</w:t>
      </w:r>
      <w:r>
        <w:t xml:space="preserve"> shown, potential, help; EU scope not established. This is a provisional connection, not an outcome finding.</w:t>
      </w:r>
    </w:p>
    <w:p>
      <w:pPr>
        <w:pStyle w:val="SourceNote"/>
      </w:pPr>
      <w:r>
        <w:rPr>
          <w:b/>
        </w:rPr>
        <w:t>Available abstract (not full text):</w:t>
      </w:r>
      <w:r>
        <w:t xml:space="preserve"> Dysregulation of histone modifications has been implicated in the pathogenesis of both inflammatory bowel disease (IBD) and colorectal cancer (CRC). These diseases are characterized by chronic inflammation, and alterations in histone modifications have been linked to their development and progression. Furthermore, the gut microbiota plays a crucial role in regulating immune responses and maintaining gut homeostasis, and it has been shown to exert effects on histone modifications and gene expression in host cells. Recent advances in our understanding of the roles of histone-modifying enzymes and their associated chromatin modifications in IBD and CRC have provided new insights into potential therapeutic interventions. In particular, inhibitors of histone-modifying enzymes have been explored in clinical trials as a possible therapeutic approach for these diseases. This review aims to explore these potential therapeutic interventions and analyze previous and ongoing clinical trials that examined the use of histone-modifying enzyme inhibitors for the treatment of IBD and CRC. This paper will contribute to the current body of knowledge by exploring the latest advances in the field and discussing the limitations of existing approaches. By providing a comprehensive analysis of the potential benefits of targeting histone-modifying enzymes for the treatment of IBD and CRC, this review w</w:t>
      </w:r>
    </w:p>
    <w:p>
      <w:pPr>
        <w:pStyle w:val="Heading2"/>
      </w:pPr>
      <w:r>
        <w:t>722.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2026:</w:t>
      </w:r>
      <w:r>
        <w:t xml:space="preserve"> Divergent European hail projections from machine learning and physically based models under global warming — https://doi.org/10.1038/s44304-026-00218-3</w:t>
      </w:r>
    </w:p>
    <w:p>
      <w:pPr/>
      <w:r>
        <w:rPr>
          <w:b/>
        </w:rPr>
        <w:t>Shared claim-specific concepts:</w:t>
      </w:r>
      <w:r>
        <w:t xml:space="preserve"> projections, increases, over, climate; EU scope visible. This is a provisional connection, not an outcome finding.</w:t>
      </w:r>
    </w:p>
    <w:p>
      <w:pPr>
        <w:pStyle w:val="SourceNote"/>
      </w:pPr>
      <w:r>
        <w:rPr>
          <w:b/>
        </w:rPr>
        <w:t>Available abstract (not full text):</w:t>
      </w:r>
      <w:r>
        <w:t xml:space="preserve"> Abstract Reliable fine-scale hail projections are urgently needed for robust risk assessments, yet future trends remain uncertain and contradictory across methods. Using 11-year pan-European convection-permitting climate simulations for the present and a + 3°C pseudo-global-warming climate, we compare an online hail-growth diagnostic (HAILCAST) with an offline machine learning model (XGBoost) trained on ERA5 hail environments. We show that, under current conditions, both approaches produce comparable hail frequencies across most of Europe. However, XGBoost predicts widespread hail suppression in a warmer climate, mainly driven by increasing freezing level heights, from conditions beyond the training distribution. HAILCAST instead simulates how enhanced storm updrafts can sustain hail growth despite a warmer atmosphere, projecting regional increases over central-eastern Europe and larger hailstones. Our findings show that data-driven approaches alone should be used with caution under global warming, underscoring the need for physically based hail representations in convection-permitting climate models to robustly assess future convective hazards.</w:t>
      </w:r>
    </w:p>
    <w:p>
      <w:pPr/>
      <w:r>
        <w:rPr>
          <w:b/>
        </w:rPr>
        <w:t>POSSIBLE 2026:</w:t>
      </w:r>
      <w:r>
        <w:t xml:space="preserve"> Hydrological drought projections across Europe under climate change — https://doi.org/10.1038/s44304-025-00152-w</w:t>
      </w:r>
    </w:p>
    <w:p>
      <w:pPr/>
      <w:r>
        <w:rPr>
          <w:b/>
        </w:rPr>
        <w:t>Shared claim-specific concepts:</w:t>
      </w:r>
      <w:r>
        <w:t xml:space="preserve"> projections, increases, socioeconomic, climate;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projection of habitat suitability and potential distribution of main European cereal bugs using MaxEnt modelling — https://doi.org/10.1111/afe.70040</w:t>
      </w:r>
    </w:p>
    <w:p>
      <w:pPr/>
      <w:r>
        <w:rPr>
          <w:b/>
        </w:rPr>
        <w:t>Shared claim-specific concepts:</w:t>
      </w:r>
      <w:r>
        <w:t xml:space="preserve"> projections, temperature, not, ssp1, climate; EU scope visible. This is a provisional connection, not an outcome finding.</w:t>
      </w:r>
    </w:p>
    <w:p>
      <w:pPr>
        <w:pStyle w:val="SourceNote"/>
      </w:pPr>
      <w:r>
        <w:rPr>
          <w:b/>
        </w:rPr>
        <w:t>Available abstract (not full text):</w:t>
      </w:r>
      <w:r>
        <w:t xml:space="preserve"> Abstract Main European sap‐sucking cereal bugs— Aelia acuminata , Aelia rostrata , Eurygaster maura and Eurygaster austriaca —are significant pests of wheat, causing significant yield loss in wheat and other cereals. Global climate change will modify their distribution areas by changing environmental conditions (e.g., increasing winter temperatures). Information on their dispersal possibilities can help to clarify their future economic importance and damage potential. Species distribution models are tools for predicting the distribution of species and habitat suitability by quantifying the relationship between species' occurrence records and environmental variables and predicting the potential species distributions. In this study, we modelled their current potential and future distribution by MaxEnt and the currently available occurrence data. For the future projections, we chose two scenarios (SSP1‐2.6 and SSP5‐8.5) of the global climate model IPSL‐CM6A‐LR. Our results show that the boundaries of potentially suitable habitats are shifting polewards with an eastern habitat expansion (total of 121.6%–200.6% increase in continental Europe), and areas of high habitat suitability are shifted towards western Europe and the north‐eastern areas of central Europe in both studied periods (2041–2060 and 2061–2080) for all four species. Based on our models, we can conclude that overwinter</w:t>
      </w:r>
    </w:p>
    <w:p>
      <w:pPr/>
      <w:r>
        <w:rPr>
          <w:b/>
        </w:rPr>
        <w:t>POSSIBLE 2026:</w:t>
      </w:r>
      <w:r>
        <w:t xml:space="preserve"> Machine Learning-Based Bias-Corrected Future Projections of Ozone Concentrations from a Chemistry-Climate Model — https://doi.org/10.1021/acs.est.5c11992</w:t>
      </w:r>
    </w:p>
    <w:p>
      <w:pPr/>
      <w:r>
        <w:rPr>
          <w:b/>
        </w:rPr>
        <w:t>Shared claim-specific concepts:</w:t>
      </w:r>
      <w:r>
        <w:t xml:space="preserve"> projections, increases, socioeconomic, ssp1, over, climate; EU scope visible. This is a provisional connection, not an outcome finding.</w:t>
      </w:r>
    </w:p>
    <w:p>
      <w:pPr>
        <w:pStyle w:val="SourceNote"/>
      </w:pPr>
      <w:r>
        <w:rPr>
          <w:b/>
        </w:rPr>
        <w:t>Available abstract (not full text):</w:t>
      </w:r>
      <w:r>
        <w:t xml:space="preserve"> Reliable projections of future surface ozone are crucial for air quality management and health risk assessment. However, potential biases in spatial distribution, magnitude, and trends in ozone simulated by global chemistry-climate models limit their applicability in regional evaluations. In this study, LightGBM, a machine learning (ML) algorithm, is applied to correct biases in CESM2-simulated ozone over China, the United States, and Europe and to calibrate future projections under two Shared Socioeconomic Pathways (SSP1–2.6 and SSP5–8.5) from 2020 to 2060. The ML-based correction significantly improves spatial distribution and reduces bias by 40 to 60%, also reversing the potentially incorrect trend under SSP1–2.6 in eastern China. When the ML-based correction is applied to CESM2 projections, the warm-season mean ozone shows substantial changes from 2020 to 2060. Under SSP1–2.6, corrected ozone decreases by 13.5, 17.9, and 13.7 μg/m 3 in China, the United States, and Europe, respectively. In contrast, under SSP5–8.5, ozone increases over the same period by 9.4, 2.0, and 5.2 μg/m 3 in these regions. The decomposition analysis shows that anthropogenic emission changes dominate future ozone trends, while a strong climate penalty occurs in polluted eastern China and climate benefits are found in western China, the United States, and Europe under SSP5–8.5. These findings demonstra</w:t>
      </w:r>
    </w:p>
    <w:p>
      <w:pPr/>
      <w:r>
        <w:rPr>
          <w:b/>
        </w:rPr>
        <w:t>POSSIBLE 2026:</w:t>
      </w:r>
      <w:r>
        <w:t xml:space="preserve"> Projections of changes in extreme storm surges for European coasts using statistical downscaling — https://doi.org/10.5194/nhess-26-2269-2026</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Abstract. Understanding future changes in extreme storm surges (ESSs) is critical for coastal risk assessment and adaptation. However, existing projections in Europe are often based on computationally expensive dynamical models, limiting ensemble sizes and thus confidence in projected changes. In this study, we develop a cost-effective statistical downscaling model (SDM) trained to replicate dynamically downscaled storm surges, enabling the generation of a pan-European ensemble of ESS projections based on 17 global climate models (GCMs) – substantially expanding previous efforts. The SDM is trained on a storm surge hindcast and demonstrates stable skill across historical and future climates, effectively capturing projected ESSs changes given by dynamical simulations. Ensemble projections reveal robust multi-model mean (MMM) changes in the 10-year return level (RL10) of ESSs by 2100. Negative MMM changes are identified in the Mediterranean Sea (−7 %), Moroccan Atlantic coast (−10 %), and Danish Straits (−6 %), while positive changes of around +6 % are projected for the Celtic and Irish Seas, western Denmark, and the Gulf of Finland. Despite these robust signals, inter-model spread is substantial, with likely ranges (17th–83rd percentiles) extending from −25 % to +17 % across Europe, and changes of up to ±35 % in individual models. The southern North Sea and northern Baltic Sea e</w:t>
      </w:r>
    </w:p>
    <w:p>
      <w:pPr/>
      <w:r>
        <w:rPr>
          <w:b/>
        </w:rPr>
        <w:t>POSSIBLE 2026:</w:t>
      </w:r>
      <w:r>
        <w:t xml:space="preserve"> DASNordicSLR —A Regional Dataset of Sea Level Projections for Northern Europe — https://doi.org/10.1002/gdj3.70065</w:t>
      </w:r>
    </w:p>
    <w:p>
      <w:pPr/>
      <w:r>
        <w:rPr>
          <w:b/>
        </w:rPr>
        <w:t>Shared claim-specific concepts:</w:t>
      </w:r>
      <w:r>
        <w:t xml:space="preserve"> projections, low, climate; EU scope visible. This is a provisional connection, not an outcome finding.</w:t>
      </w:r>
    </w:p>
    <w:p>
      <w:pPr>
        <w:pStyle w:val="SourceNote"/>
      </w:pPr>
      <w:r>
        <w:rPr>
          <w:b/>
        </w:rPr>
        <w:t>Available abstract (not full text):</w:t>
      </w:r>
      <w:r>
        <w:t xml:space="preserve"> ABSTRACT Sea level rise is an inevitable consequence and one of the most significant threats posed by climate change, increasing the risk of flooding in low‐lying areas along the German coast. Based on the IPCC 6th Assessment Report (AR6) projections, we aimed to deliver improved projections of relative sea‐level change for Northern Europe's coastal regions. These projections are available as spatial data up to 2150. While most drivers of sea level change operate on a continental or global scale, vertical land motion is a regional factor—particularly relevant in Northern Europe—resulting from glacial isostatic adjustment and local processes. By combining the IPCC projections of absolute sea level change with a new, high‐resolution vertical land motion model for Fennoscandia, an optimised set of projections for relative sea level change for the North Sea and Baltic Sea was developed. In this context, the spatial resolution changes from the 1 × 1 grid commonly used in AR6 datasets to the finer 1/6 × 1/12 grid of the regional land motion model. This results in local differences in sea level rise by 2100 up to −200 mm to +500 mm within the domain.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pStyle w:val="Heading2"/>
      </w:pPr>
      <w:r>
        <w:t>723.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2026:</w:t>
      </w:r>
      <w:r>
        <w:t xml:space="preserve"> Ecological characterisation of peatlands and coastal lagoons in Europe — https://doi.org/10.2760/9963649</w:t>
      </w:r>
    </w:p>
    <w:p>
      <w:pPr/>
      <w:r>
        <w:rPr>
          <w:b/>
        </w:rPr>
        <w:t>Shared claim-specific concepts:</w:t>
      </w:r>
      <w:r>
        <w:t xml:space="preserve"> water, ecological, coastal; EU scope visible. This is a provisional connection, not an outcome finding.</w:t>
      </w:r>
    </w:p>
    <w:p>
      <w:pPr>
        <w:pStyle w:val="SourceNote"/>
      </w:pPr>
      <w:r>
        <w:rPr>
          <w:b/>
        </w:rPr>
        <w:t>Available abstract (not full text):</w:t>
      </w:r>
      <w:r>
        <w:t xml:space="preserve"> This report is the response to a policy request submitted by DG Environment to the EC Knowledge Centre for Biodiversity (KCBD) through the KCBD ticketing system. KCBD assigned this to the BioAgora project, to be answered by the Science Service for Biodiversity (SSBD). European wetlands, including peatlands and coastal lagoons, are among the most valuable yet degraded ecosystems, with up to 80% lost over the past century and more than half of peatlands already drained. Despite their limited extent, peatlands store nearly one-third of global soil carbon, while coastal lagoons occupy ~13% of the world’s coastline and sustain highly productive and biodiverse systems. The report identifies hydrology as the key control on ecosystem functioning, showing that drainage, land-use change, and nutrient enrichment trigger cascading and often irreversible degradation, turning carbon sinks into major emission sources. It highlights that no single indicator can capture ecosystem condition, and that effective assessment requires integrated, multi-scale frameworks combining Earth Observation with in-situ data. These findings provide a critical scientific basis for implementing EU policies — including the Habitats Directive (92/43/EEC), Water Framework Directive (2000/60/EC), and Nature Restoration Regulation (2024/1991) — supporting harmonised monitoring, restoration prioritisation, and evidence</w:t>
      </w:r>
    </w:p>
    <w:p>
      <w:pPr/>
      <w:r>
        <w:rPr>
          <w:b/>
        </w:rPr>
        <w:t>POSSIBLE 2026:</w:t>
      </w:r>
      <w:r>
        <w:t xml:space="preserve"> Water Quality, Environmental Contaminants and Disease Burden in Europe: An Ecological Analysis of Associations with Disability-Adjusted Life Years — https://doi.org/10.3390/environments13010036</w:t>
      </w:r>
    </w:p>
    <w:p>
      <w:pPr/>
      <w:r>
        <w:rPr>
          <w:b/>
        </w:rPr>
        <w:t>Shared claim-specific concepts:</w:t>
      </w:r>
      <w:r>
        <w:t xml:space="preserve"> water, ecological, rivers; EU scope visible. This is a provisional connection, not an outcome finding.</w:t>
      </w:r>
    </w:p>
    <w:p>
      <w:pPr>
        <w:pStyle w:val="SourceNote"/>
      </w:pPr>
      <w:r>
        <w:rPr>
          <w:b/>
        </w:rPr>
        <w:t>Available abstract (not full text):</w:t>
      </w:r>
      <w:r>
        <w:t xml:space="preserve"> Rivers and groundwater supply 88% of Europe’s freshwater and are critical for public health. We examined whether cross-country differences in arsenic, lead, mercury, and nickel concentrations in groundwater and rivers are associated with disease burden. In an ecological cross-sectional study of 24 European countries, nationally aggregated concentrations from the European Environment Agency’s Waterbase Water Quality (2016–2019) were linked to cause-specific disability-adjusted life years (DALYs) from the Global Burden of Disease 2021 for six disease groups. Variables were z-standardized. Associations were assessed using Pearson correlations and linear regression with Benjamini–Hochberg correction. Missing concentrations were addressed via multiple imputation by chained equations using 1980–2025 monitoring records, and models were sequentially adjusted for health system, demographic, and economic indices. In groundwater, lead was positively associated with diabetes and kidney disease DALYs and remained significant after imputation and adjustment (β = 0.60, p = 0.011). In rivers, arsenic was positively associated with all-cause, cardiovascular, and neoplasm DALYs in unadjusted analyses but attenuated after adjustment and/or imputation. No consistent associations were observed for mercury or nickel. These continent-wide, non-causal findings can help prioritize monitoring and risk m</w:t>
      </w:r>
    </w:p>
    <w:p>
      <w:pPr/>
      <w:r>
        <w:rPr>
          <w:b/>
        </w:rPr>
        <w:t>POSSIBLE 2026:</w:t>
      </w:r>
      <w:r>
        <w:t xml:space="preserve"> Ecological integrity as a foundation for European health policy — https://doi.org/10.1016/j.lanepe.2026.101833</w:t>
      </w:r>
    </w:p>
    <w:p>
      <w:pPr/>
      <w:r>
        <w:rPr>
          <w:b/>
        </w:rPr>
        <w:t>Shared claim-specific concepts:</w:t>
      </w:r>
      <w:r>
        <w:t xml:space="preserve"> aim, water, ecological; EU scope visible. This is a provisional connection, not an outcome finding.</w:t>
      </w:r>
    </w:p>
    <w:p>
      <w:pPr>
        <w:pStyle w:val="SourceNote"/>
      </w:pPr>
      <w:r>
        <w:rPr>
          <w:b/>
        </w:rPr>
        <w:t>Available abstract (not full text):</w:t>
      </w:r>
      <w:r>
        <w:t xml:space="preserve"> Twenty years after the Council of the European Union endorsed overarching values for health systems, Frischhut and colleagues have proposed updating them in response to demographic, technological, geopolitical, and environmental change. 1 Their proposals rightly enlarge the ethical frame of European health policy.Yet one foundation remains insufficiently articulated: the integrity of the ecological systems on which health depends.The European Group on Ethics in Science and New Technologies (EGE), the European Commission's independent ethics advisory body, called for a right to a clean, healthy, and sustainable environment and for plural ways of valuing nature. 2 We argue that ecological integrity supplies a necessary normative and material foundation for making that right consequential in health policy.We use ecological integrity to denote the capacity of ecological systems to sustain biodiversity, essential functions, adaptive resilience, and regenerative processes over time.3 In ecological science, ecosystem integrity is used similarly.Svenning's dynamic account sharpens it by emphasising the continuation of biodiversitygenerating processes and evolutionary lineages through transformation.4 Integrity therefore does not imply pristine nature, an unchanging species composition, or the exclusion of responsible human use.Why not rely on familiar terms?Sustainability is an importa</w:t>
      </w:r>
    </w:p>
    <w:p>
      <w:pPr/>
      <w:r>
        <w:rPr>
          <w:b/>
        </w:rPr>
        <w:t>POSSIBLE 2026:</w:t>
      </w:r>
      <w:r>
        <w:t xml:space="preserve"> Outcome monitoring of water vole reintroductions in ecological restoration — https://openalex.org/W7165991401</w:t>
      </w:r>
    </w:p>
    <w:p>
      <w:pPr/>
      <w:r>
        <w:rPr>
          <w:b/>
        </w:rPr>
        <w:t>Shared claim-specific concepts:</w:t>
      </w:r>
      <w:r>
        <w:t xml:space="preserve"> aim, water, ecological; EU scope not established. This is a provisional connection, not an outcome finding.</w:t>
      </w:r>
    </w:p>
    <w:p>
      <w:pPr>
        <w:pStyle w:val="SourceNote"/>
      </w:pPr>
      <w:r>
        <w:rPr>
          <w:b/>
        </w:rPr>
        <w:t>Available abstract (not full text):</w:t>
      </w:r>
      <w:r>
        <w:t xml:space="preserve"> Growing awareness socially, economically, and politically, of extensive biodiversity loss in the UK is motivating a wide range of ecological restoration targets and projects. These range from targets for tree cover on farmland for environmental schemes to rewilding. Water voles (Arvicola amphibius) in the UK disappeared from 90% of their known range between 1970-2000. Their decline was driven by the introduction of the American mink (Neovison vison), and land use changes, where intensive livestock and dairy production has encroached on riverbank habitat. The restoration of their riparian habitat has included restricting livestock access, and removing the invasive American mink, permitting the reintroduction of captive bred water voles in over 250 sites across the UK since 2003. However, despite this conservation campaign, outcome monitoring of water vole reintroductions is limited, particularly in terms of health and survival rates. Our aim was to fill some of the gaps in post- reintroduction monitoring of water voles, develop a tool for post-release monitoring, and assess the potential of reintroduced species as sentinels of ecosystem health. Given that gut microbiota plays a vital role in host health, influencing immunity and physiology, identifying hypothesised post- reintroduction shifts is therefore important for animal welfare and reintroduction success. We collected faec</w:t>
      </w:r>
    </w:p>
    <w:p>
      <w:pPr/>
      <w:r>
        <w:rPr>
          <w:b/>
        </w:rPr>
        <w:t>POSSIBLE 2026:</w:t>
      </w:r>
      <w:r>
        <w:t xml:space="preserve"> EVALUATING THE EFFECTS OF ECOLOGICAL WATER ALLOCATION ON WATER RESOURCES AND ENVIRONMENT VIA AN ECOHYDROLOGICAL MODEL — https://doi.org/10.15666/aeer/2403_44254440</w:t>
      </w:r>
    </w:p>
    <w:p>
      <w:pPr/>
      <w:r>
        <w:rPr>
          <w:b/>
        </w:rPr>
        <w:t>Shared claim-specific concepts:</w:t>
      </w:r>
      <w:r>
        <w:t xml:space="preserve"> water, good, ecological; EU scope visible. This is a provisional connection, not an outcome finding.</w:t>
      </w:r>
    </w:p>
    <w:p>
      <w:pPr>
        <w:pStyle w:val="SourceNote"/>
      </w:pPr>
      <w:r>
        <w:rPr>
          <w:b/>
        </w:rPr>
        <w:t>Available abstract (not full text):</w:t>
      </w:r>
      <w:r>
        <w:t xml:space="preserve"> Along with the rapid urbanization, more severe problems of water shortage and degradation to aquatic ecosystem have been manifested in recent years leading to serious compromising of ecosystem health. In this research paper, the MIKE SHE (System Hydrological European) model is established and Beijing City is selected as a case to explore the relationships among ecological water allocation, water environment and water resources. The results indicate that ecological replenishment measures, such as water diverted from the Yellow River and volumes dedicated to river and lake replenishment, exhibit significant positive correlations with improvements in the water environment and water resources, with regression coefficients of 0.962 and 0.874 (p &lt;.01), respectively. In contrast, the number of hydrological monitoring stations and reservoirs shows negative correlations, with coefficients of -0.252 and -0.504, significant at the 10% and 5% levels, respectively. Moreover, the impacts of environmental water allocation are significantly different in diverse basins (such as Yongding River basin, Jiyun River basin, and Chaobai River basin), and most noticeable temporal variations occur between 2014 and 2023. The results verify the improvement of regional water environment and resource through good ecological water management.</w:t>
      </w:r>
    </w:p>
    <w:p>
      <w:pPr/>
      <w:r>
        <w:rPr>
          <w:b/>
        </w:rPr>
        <w:t>POSSIBLE 2026:</w:t>
      </w:r>
      <w:r>
        <w:t xml:space="preserve"> Assessment of the effects of pollutants on rivers and streams ecological health — https://doi.org/10.21248/gups.97990</w:t>
      </w:r>
    </w:p>
    <w:p>
      <w:pPr/>
      <w:r>
        <w:rPr>
          <w:b/>
        </w:rPr>
        <w:t>Shared claim-specific concepts:</w:t>
      </w:r>
      <w:r>
        <w:t xml:space="preserve"> water, achieve, good, ecological, status, all; EU scope visible. This is a provisional connection, not an outcome finding.</w:t>
      </w:r>
    </w:p>
    <w:p>
      <w:pPr>
        <w:pStyle w:val="SourceNote"/>
      </w:pPr>
      <w:r>
        <w:rPr>
          <w:b/>
        </w:rPr>
        <w:t>Available abstract (not full text):</w:t>
      </w:r>
      <w:r>
        <w:t xml:space="preserve"> Increasing human activity worldwide poses a complex threat to ecosystems, particularly for wetlands, 85% of which have now been destroyed by anthropogenic influences. In response, the Water Framework Directive has set the ambitious target to achieve the good ecological and chemical status of all water bodies by 2027. Yet, as of 2025, most surface waters still fall short: 60.8% of the surface water bodies fail to reach the good ecological status, while 46% fail to achieve good chemical status. These assessments are based on monitoring only a limited set of pollutants, and there are currently no methods for evaluating how chemical mixtures affect communities’ integrity of watercourses. Consequently, the real extent of chemical pollution and its effects on ecological health are likely underestimated. Against this background, this cumulative dissertation aims to fill these gaps by investigating chemical pollution and its connection to the ecological health of rivers and streams. It addresses strategies for the monitoring of chemical pollution, its effects on macroinvertebrate communities, and current legislation and practices implemented in this framework. To this end, three scientific studies were conducted, each examining different aspects of this complex topic. The first study overviews the most common biomonitoring methods for assessing chemical pollution. Through a systematic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pStyle w:val="Heading2"/>
      </w:pPr>
      <w:r>
        <w:t>724.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2024:</w:t>
      </w:r>
      <w:r>
        <w:t xml:space="preserve"> Anticoagulation for people receiving long-term haemodialysis — https://doi.org/10.1002/14651858.cd011858.pub2</w:t>
      </w:r>
    </w:p>
    <w:p>
      <w:pPr/>
      <w:r>
        <w:rPr>
          <w:b/>
        </w:rPr>
        <w:t>Shared claim-specific concepts:</w:t>
      </w:r>
      <w:r>
        <w:t xml:space="preserve"> long-term, prevent, due; EU scope not established. This is a provisional connection, not an outcome finding.</w:t>
      </w:r>
    </w:p>
    <w:p>
      <w:pPr>
        <w:pStyle w:val="SourceNote"/>
      </w:pPr>
      <w:r>
        <w:rPr>
          <w:b/>
        </w:rPr>
        <w:t>Available abstract (not full text):</w:t>
      </w:r>
      <w:r>
        <w:t xml:space="preserve"> BACKGROUND: Haemodialysis (HD) requires safe and effective anticoagulation to prevent clot formation within the extracorporeal circuit during dialysis treatments to enable adequate dialysis and minimise adverse events, including major bleeding. Low molecular weight heparin (LMWH) may provide a more predictable dose, reliable anticoagulant effects and be simpler to administer than unfractionated heparin (UFH) for HD anticoagulation, but may accumulate in the kidneys and lead to bleeding. OBJECTIVES: To assess the efficacy and safety of anticoagulation strategies (including both heparin and non-heparin drugs) for long-term HD in people with kidney failure. Any intervention preventing clotting within the extracorporeal circuit without establishing anticoagulation within the patient, such as regional citrate, citrate enriched dialysate, heparin-coated dialysers, pre-dilution haemodiafiltration (HDF), and saline flushes were also included. SEARCH METHODS: We searched the Cochrane Kidney and Transplant Register of Studies up to November 2023 through contact with the Information Specialist using search terms relevant to this review. Studies in the Register are identified through searches of CENTRAL, MEDLINE, and EMBASE, conference proceedings, the International Clinical Trials Registry Platform (ICTRP) Search Portal and ClinicalTrials.gov. SELECTION CRITERIA: Randomised controlled tri</w:t>
      </w:r>
    </w:p>
    <w:p>
      <w:pPr/>
      <w:r>
        <w:rPr>
          <w:b/>
        </w:rPr>
        <w:t>POSSIBLE 2024:</w:t>
      </w:r>
      <w:r>
        <w:t xml:space="preserve"> City energy planning: Modeling long-term strategies under system uncertainties — https://doi.org/10.1016/j.esr.2024.101564</w:t>
      </w:r>
    </w:p>
    <w:p>
      <w:pPr/>
      <w:r>
        <w:rPr>
          <w:b/>
        </w:rPr>
        <w:t>Shared claim-specific concepts:</w:t>
      </w:r>
      <w:r>
        <w:t xml:space="preserve"> long-term, planning, heat; EU scope not established. This is a provisional connection, not an outcome finding.</w:t>
      </w:r>
    </w:p>
    <w:p>
      <w:pPr>
        <w:pStyle w:val="SourceNote"/>
      </w:pPr>
      <w:r>
        <w:rPr>
          <w:b/>
        </w:rPr>
        <w:t>Available abstract (not full text):</w:t>
      </w:r>
      <w:r>
        <w:t xml:space="preserve"> Cities are facing the dilemma of fulfilling energy service demands for their rapidly growing population while also working towards climate mitigation efforts. City energy planning is essential to deal with this dilemma. Thus, this study explores the role of city energy plans on future cost-efficient energy systems. A technology-rich cost-optimization model was developed using TIMES with intra-sectoral and inter-sectoral interactions and applied to the Gothenburg energy system. The model outcomes are investigated with the application of policy-driven scenarios and further tested under system uncertainties and price sensitivities identified using a participatory approach. Heating sector developments include DH production based on biomass CHP and heat pumps combined with improved building energy efficiency. Cost-efficient transport sector developments show a rapid deployment of biofuel vehicles, followed by increasing electrification later in the time horizon. With the applied uncertainties, different cost-optimal district heat production mixes and heating supply solutions are observed, providing alternative planning strategies. The model results also signify competition of biomass and electricity among sectors in their development pathways. The modeling outcomes enable decision-makers to assess various energy systems transition strategies from a long-term perspective. • TIMES cit</w:t>
      </w:r>
    </w:p>
    <w:p>
      <w:pPr>
        <w:pStyle w:val="Heading2"/>
      </w:pPr>
      <w:r>
        <w:t>725.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2026:</w:t>
      </w:r>
      <w:r>
        <w:t xml:space="preserve"> Analyzing the impact of the Ostend declaration stated offshore wind targets on the European energy system — https://doi.org/10.1088/2753-3751/ae69e4</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The Ostend Declaration commits North Sea countries to installing 300 GW of offshore wind (OW) capacity by 2050, a development that will reshape Europe’s decarbonised energy system. This study assesses how such large-scale OW deployment affects the European energy mix, transmission needs, and OW project profitability. Using the open energy system model GENeSYS-MOD with a 47-node spatial resolution, including 19 offshore nodes, we evaluate scenarios with different offshore grid layouts and OW investment requirements, and conduct a sensitivity analysis on OW capital costs. Results show that meeting the Ostend targets increases total system costs by only about 1%, while OW primarily displaces onshore wind, solar PV, and nuclear power. Achieving the targeted OW levels endogenously requires roughly a 50% reduction in OW CAPEX. The choice of offshore grid layout has little impact on overall system cost or average OW return on investment, but it does shift the geographic distribution of investments; notably, radial grid layouts reduce the need for onshore wind in Norway. Enforcing early OW buildout raises OW profitability due to higher electricity prices in earlier periods. The findings highlight trade-offs between cost efficiency, infrastructure design, and regional policy priorities for North Sea energy development.</w:t>
      </w:r>
    </w:p>
    <w:p>
      <w:pPr/>
      <w:r>
        <w:rPr>
          <w:b/>
        </w:rPr>
        <w:t>POSSIBLE 2026:</w:t>
      </w:r>
      <w:r>
        <w:t xml:space="preserve"> Hydrogen integration into the European energy system — https://doi.org/10.36253/979-12-215-1013-3.04</w:t>
      </w:r>
    </w:p>
    <w:p>
      <w:pPr/>
      <w:r>
        <w:rPr>
          <w:b/>
        </w:rPr>
        <w:t>Shared claim-specific concepts:</w:t>
      </w:r>
      <w:r>
        <w:t xml:space="preserve"> energy, system, analyses;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pStyle w:val="Heading2"/>
      </w:pPr>
      <w:r>
        <w:t>726.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2026:</w:t>
      </w:r>
      <w:r>
        <w:t xml:space="preserve"> The Coherence–Reservoir–Kernel Ontology: A Formal Specification for Narrative Entity Classification — https://doi.org/10.5281/zenodo.21121800</w:t>
      </w:r>
    </w:p>
    <w:p>
      <w:pPr/>
      <w:r>
        <w:rPr>
          <w:b/>
        </w:rPr>
        <w:t>Shared claim-specific concepts:</w:t>
      </w:r>
      <w:r>
        <w:t xml:space="preserve"> three, based, nine, key, literature; EU scope not established. This is a provisional connection, not an outcome finding.</w:t>
      </w:r>
    </w:p>
    <w:p>
      <w:pPr>
        <w:pStyle w:val="SourceNote"/>
      </w:pPr>
      <w:r>
        <w:rPr>
          <w:b/>
        </w:rPr>
        <w:t>Available abstract (not full text):</w:t>
      </w:r>
      <w:r>
        <w:t xml:space="preserve"> Abstract Narrative analysis lacks a universal, rigorous framework for classifying entities across myths, literature, games, comics, and films. Traditional taxonomies rely on culturally specific labels—"god," "vampire," "wizard," "superhero"—that break down in cross-cultural comparison and fail to capture the underlying structural logic of fictional universes. This paper introduces the Coherence–Reservoir–Kernel Ontology (CRK-O), a formal, capability-based classification system that defines entities not by what they are called but by what informational fields they can access and manipulate. Key Contributions Three-Field Framework: Narrative universes are modeled as dynamical systems with three nested informational fields: the Coherence Field (ψ, observable local reality), the Reservoir Field (χ, nonlocal memory and potential), and the Memory Kernel (K, structural transformation rules). Capability-Based Classification: Entities are classified into three ontological ranks based on field access: Rank 0 — Local Entity (LE): Bound to local coherence only (humans, animals, ordinary objects) Rank 1 — Reservoir-Coupled Entity (RCE): Access to nonlocal memory and potential (vampires, wizards, superheroes, demigods, ghosts) Rank 2 — Kernel Entity (KE): Define transformation rules (cosmic forces, archetypes, fundamental principles; theological gods are one cultural instantiation) Formal Ax</w:t>
      </w:r>
    </w:p>
    <w:p>
      <w:pPr/>
      <w:r>
        <w:rPr>
          <w:b/>
        </w:rPr>
        <w:t>POSSIBLE 2026:</w:t>
      </w:r>
      <w:r>
        <w:t xml:space="preserve"> Unemployment Narratives — https://doi.org/10.65864/ek0yrsgq0r</w:t>
      </w:r>
    </w:p>
    <w:p>
      <w:pPr/>
      <w:r>
        <w:rPr>
          <w:b/>
        </w:rPr>
        <w:t>Shared claim-specific concepts:</w:t>
      </w:r>
      <w:r>
        <w:t xml:space="preserve"> three, narratives, key, factors; EU scope not established. This is a provisional connection, not an outcome finding.</w:t>
      </w:r>
    </w:p>
    <w:p>
      <w:pPr>
        <w:pStyle w:val="SourceNote"/>
      </w:pPr>
      <w:r>
        <w:rPr>
          <w:b/>
        </w:rPr>
        <w:t>Available abstract (not full text):</w:t>
      </w:r>
      <w:r>
        <w:t xml:space="preserve"> We study economic narratives - causal accounts of observed events - in a high-stakes real-world context: long-term unemployment. We use open-ended questions to measure narratives about long-term unemployment in samples of Danish unemployed job seekers, firm managers, households from the general population, and experts at labor market institutions, as well as international academic experts. We document three main results. First, there is pronounced heterogeneity in narratives both within and across samples. For instance, job seekers are more likely to attribute long-term unemployment to factors outside the control of the individual and less likely to attribute it to job seekers' own decisions than respondents in the other samples. Second, narratives strongly reflect job seekers' personal experiences during both the current and previous unemployment spells. Third, narratives shape job seekers' and firm managers' quantitative beliefs, decisions and labor market outcomes as measured in survey and linked administrative data, which we demonstrate in a field experiment and correlationally. Our findings highlight the experiential origins of economic narratives and underscore the key role of narratives in belief formation and decision making.</w:t>
      </w:r>
    </w:p>
    <w:p>
      <w:pPr/>
      <w:r>
        <w:rPr>
          <w:b/>
        </w:rPr>
        <w:t>POSSIBLE 2026:</w:t>
      </w:r>
      <w:r>
        <w:t xml:space="preserve"> Mosaic narrative a poetics of cinematic new media narrative — https://doi.org/10.26192/9z55q</w:t>
      </w:r>
    </w:p>
    <w:p>
      <w:pPr/>
      <w:r>
        <w:rPr>
          <w:b/>
        </w:rPr>
        <w:t>Shared claim-specific concepts:</w:t>
      </w:r>
      <w:r>
        <w:t xml:space="preserve"> elaborated, based, key; EU scope not established. This is a provisional connection, not an outcome finding.</w:t>
      </w:r>
    </w:p>
    <w:p>
      <w:pPr>
        <w:pStyle w:val="SourceNote"/>
      </w:pPr>
      <w:r>
        <w:rPr>
          <w:b/>
        </w:rPr>
        <w:t>Available abstract (not full text):</w:t>
      </w:r>
      <w:r>
        <w:t xml:space="preserve"> This thesis proposes the Poetics of Mosaic Narrative as a tool for theorising the creation and telling of cinematic stories in a digital environment. As such the Poetics of Mosaic Narrative is designed to assist creators of new media narrative to design dramatically compelling screen based stories by drawing from established theories of cinema and emerging theories of new media. In doing so it validates the crucial element of cinematic storytelling in the digital medium, which due to its fragmentary, variable and re-combinatory nature, affords the opportunity for audience interaction. The Poetics of Mosaic Narrative re-asserts the dramatic and cinematic nature of narrative in new media by drawing upon the dramatic theory of Aristotle’s Poetics, the cinematic theories of the 1920s Russian Film Theorists and contemporary Neo-Formalists, the narrative theories of the 1960s French Structuralists, and the scriptwriting theories of contemporary cinema. In particular it focuses on the theory and practice of the prominent new media theorist, Lev Manovich, as a means of investigating and creating a practical poetics. The key element of the Poetics of Mosaic Narrative is the expansion of the previously forgotten and undeveloped Russian Formalist concept of cinematurgy which is vital to the successful development of new media storytelling theory and practice. This concept, as originally p</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2025:</w:t>
      </w:r>
      <w:r>
        <w:t xml:space="preserve"> From Prediction to Prevention: Identifying Actionable Crash Factors Through ML and Narrative-Based Sensitivity Testing — https://doi.org/10.3390/futuretransp5040190</w:t>
      </w:r>
    </w:p>
    <w:p>
      <w:pPr/>
      <w:r>
        <w:rPr>
          <w:b/>
        </w:rPr>
        <w:t>Shared claim-specific concepts:</w:t>
      </w:r>
      <w:r>
        <w:t xml:space="preserve"> three, narratives, nine, key, factors; EU scope not established. This is a provisional connection, not an outcome finding.</w:t>
      </w:r>
    </w:p>
    <w:p>
      <w:pPr>
        <w:pStyle w:val="SourceNote"/>
      </w:pPr>
      <w:r>
        <w:rPr>
          <w:b/>
        </w:rPr>
        <w:t>Available abstract (not full text):</w:t>
      </w:r>
      <w:r>
        <w:t xml:space="preserve"> Crashes on roadways continue to represent a major global public health concern due to high rates of death and injury, underscoring the need for predictive tools that can identify high-risk conditions and guide prevention strategies. This study develops a framework that combines structured crash records and road information with unstructured police narratives to predict injury severity using machine learning and natural language processing (NLP). The dataset is used to train, validate, and test nine models, combining three algorithms (Random Forest, AdaBoost, and XGBoost) with two NLP methods (TF-IDF and Word2Vec). Model performance is evaluated using macro-average F1-scores to address severe class imbalance. Results show that XGBoost with TF-IDF achieves the best performance (macro-F1 = 0.644), demonstrating measurable improvements from incorporating narrative features compared to structured data alone. Beyond prediction, a simulation-based sensitivity analysis is conducted on the top 100 features, identifying 11 variables with the greatest impact on severity outcomes in Kentucky. Seatbelt non-use, occupant entrapment, and impaired driver control emerge as the most influential factors, with simulated improvements leading to notable reductions in fatalities and major injuries. The study introduces a “prediction-to-prevention” framework that links injury severity prediction with </w:t>
      </w:r>
    </w:p>
    <w:p>
      <w:pPr>
        <w:pStyle w:val="Heading2"/>
      </w:pPr>
      <w:r>
        <w:t>727.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2025:</w:t>
      </w:r>
      <w:r>
        <w:t xml:space="preserve"> THE DEVELOPMENT OF THE EUROPEAN UNION COUNTRIES UNDER THE INFLUENCE OF THE DIGITAL TRANSFORMATION — https://doi.org/10.24818/cike2024.14</w:t>
      </w:r>
    </w:p>
    <w:p>
      <w:pPr/>
      <w:r>
        <w:rPr>
          <w:b/>
        </w:rPr>
        <w:t>Shared claim-specific concepts:</w:t>
      </w:r>
      <w:r>
        <w:t xml:space="preserve"> present, population, out, countries, union; EU scope visible. This is a provisional connection, not an outcome finding.</w:t>
      </w:r>
    </w:p>
    <w:p>
      <w:pPr>
        <w:pStyle w:val="SourceNote"/>
      </w:pPr>
      <w:r>
        <w:rPr>
          <w:b/>
        </w:rPr>
        <w:t>Available abstract (not full text):</w:t>
      </w:r>
      <w:r>
        <w:t xml:space="preserve"> The main purpose of the study is to determine the main trends of the socio-economic development of the EU countries under the influence of the digital transformation. The modern world has already taken some steps towards a new technological, economic and social reality. The European Commission’s Digital Compass plan sets out goals for a successful digital transformation in Europe by 2030. The 2030 target of the Digital Compass is that at least 80% of citizens have at least basic digital skills, at least 90% of small and medium-sized enterprises in the EU should have a basic level of digital intensity, all key public services for citizens and businesses should be fully online by 2030. Based on the analysis from specialized literature and statistical data, it was possible to present the situation in the field of digital transformation of the EU states. The key aspects of socio-economic development indicators in the field of human capital, connectivity, integration of digital technology, digital public services are analyzed in this paper. Several indicators are analyzed such as: digitally skilled population and highly skilled digital professionals, secure and sustainable digital infrastructures, the degree of digital intensity of business processes, the use of Cloud computing, Big data, Artificial intelligence by enterprises, the share of businesses that sell online and the digita</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2024:</w:t>
      </w:r>
      <w:r>
        <w:t xml:space="preserve"> OUT-OF-COURT RESOLUTION OF CONSUMER DISPUTES UNDER THE EUROPEAN UNION LAW — https://doi.org/10.5604/01.3001.0054.4286</w:t>
      </w:r>
    </w:p>
    <w:p>
      <w:pPr/>
      <w:r>
        <w:rPr>
          <w:b/>
        </w:rPr>
        <w:t>Shared claim-specific concepts:</w:t>
      </w:r>
      <w:r>
        <w:t xml:space="preserve"> countries, union; EU scope visible. This is a provisional connection, not an outcome finding.</w:t>
      </w:r>
    </w:p>
    <w:p>
      <w:pPr>
        <w:pStyle w:val="SourceNote"/>
      </w:pPr>
      <w:r>
        <w:rPr>
          <w:b/>
        </w:rPr>
        <w:t>Available abstract (not full text):</w:t>
      </w:r>
      <w:r>
        <w:t xml:space="preserve"> The subject of the article is an analysis of out-of-court methods of resolving consumer disputes in European Union law. They constitute a procedural guarantee of the implementation of consumers’ right to a high level of protection, guaranteed in Art. 38 of the Charter of Fundamental Rights of the European Union. The article describes Directive 2013/11/EU on alternative dispute resolution for consumer disputes. The principles of its implementation in European Union countries are also presented. Also addressed by the analysis is the latest proposal to amend the ADR Directive presented by the European Commission. According to the author, Directive 2013/11/EU has fulfilled its role as the foundation of the consumer rights protection system in the European Union. However, with the development of services on the internet, consumers are exposed to new threats. The proposal to modify the ADR Directive presented by the European Commission is a step aimed at increasing the level of consumer protection.</w:t>
      </w:r>
    </w:p>
    <w:p>
      <w:pPr>
        <w:pStyle w:val="Heading2"/>
      </w:pPr>
      <w:r>
        <w:t>728.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2026:</w:t>
      </w:r>
      <w:r>
        <w:t xml:space="preserve"> Future Projections of Burned Area in Europe Highlight the Importance of Human Action — https://doi.org/10.1111/gcb.71043</w:t>
      </w:r>
    </w:p>
    <w:p>
      <w:pPr/>
      <w:r>
        <w:rPr>
          <w:b/>
        </w:rPr>
        <w:t>Shared claim-specific concepts:</w:t>
      </w:r>
      <w:r>
        <w:t xml:space="preserve"> population, projections, potential, substantially; EU scope visible. This is a provisional connection, not an outcome finding.</w:t>
      </w:r>
    </w:p>
    <w:p>
      <w:pPr>
        <w:pStyle w:val="SourceNote"/>
      </w:pPr>
      <w:r>
        <w:rPr>
          <w:b/>
        </w:rPr>
        <w:t>Available abstract (not full text):</w:t>
      </w:r>
      <w:r>
        <w:t xml:space="preserve"> Wildfires are often a natural part of many European ecosystems, but human activities through land use, other socio-economic factors and climate change have significantly changed how fires behave. Anthropogenic climate change is already intensifying fire-prone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experiments where socio-economic factors are held constant to isolate their influence. Our findings show that both biophysical and socio-economic factors strongly affect future wildfire activity. Fire weather and fire management capacity are important drivers, while population density, vegetation shifts and land use matter more at regional scales. By the end of the century, intensified fi</w:t>
      </w:r>
    </w:p>
    <w:p>
      <w:pPr/>
      <w:r>
        <w:rPr>
          <w:b/>
        </w:rPr>
        <w:t>POSSIBLE 2026:</w:t>
      </w:r>
      <w:r>
        <w:t xml:space="preserve"> The impact of population ageing on temperature-related mortality projections in the Czech Republic — https://doi.org/10.1088/2752-5295/aea925</w:t>
      </w:r>
    </w:p>
    <w:p>
      <w:pPr/>
      <w:r>
        <w:rPr>
          <w:b/>
        </w:rPr>
        <w:t>Shared claim-specific concepts:</w:t>
      </w:r>
      <w:r>
        <w:t xml:space="preserve"> population, projections, substantially; EU scope visible. This is a provisional connection, not an outcome finding.</w:t>
      </w:r>
    </w:p>
    <w:p>
      <w:pPr>
        <w:pStyle w:val="SourceNote"/>
      </w:pPr>
      <w:r>
        <w:rPr>
          <w:b/>
        </w:rPr>
        <w:t>Available abstract (not full text):</w:t>
      </w:r>
      <w:r>
        <w:t xml:space="preserve"> Abstract Climate change and population ageing are jointly reshaping temperature-related mortality patterns in Europe; however, their combined effects remain insufficiently quantified on the national scale. In the Czech Republic, cold-related mortality has historically exceeded heat-related mortality, but this pattern is expected to shift under future climate and demographic transitions. Here, we projected future heat- and cold-attributable mortality under both climate-only and population ageing scenarios. We estimated age-specific (&lt;75 and ⩾75 years) temperature–mortality associations for all 14 NUTS-3 regions using a three-stage time-series modelling framework and combined them with high-resolution EURO-CORDEX climate projections and Shared Socioeconomic Pathway population scenarios under RCP4.5/SSP2 and RCP8.5/SSP5. Heat- and cold-attributable mortalities were projected across four future periods. Heat-attributable mortality increases substantially, rising from 2 deaths historically to 20 deaths by the 2090s under RCP8.5/SSP5. Cold-attributable mortality declines under climate-only scenarios but increases markedly when population ageing is included, reaching 105 deaths by the 2090s and reversing climate-driven reductions. The combined net temperature-related mortality burden increased from 82 deaths in the historical period to 124 under population ageing scenarios, with agein</w:t>
      </w:r>
    </w:p>
    <w:p>
      <w:pPr/>
      <w:r>
        <w:rPr>
          <w:b/>
        </w:rPr>
        <w:t>POSSIBLE 2026:</w:t>
      </w:r>
      <w:r>
        <w:t xml:space="preserve"> Evaluating Livestock Culling Practices Using Population Projection Models in Neolithic Dalmatia — https://doi.org/10.5334/jcaa.257</w:t>
      </w:r>
    </w:p>
    <w:p>
      <w:pPr/>
      <w:r>
        <w:rPr>
          <w:b/>
        </w:rPr>
        <w:t>Shared claim-specific concepts:</w:t>
      </w:r>
      <w:r>
        <w:t xml:space="preserve"> population, production; EU scope not established. This is a provisional connection, not an outcome finding.</w:t>
      </w:r>
    </w:p>
    <w:p>
      <w:pPr>
        <w:pStyle w:val="SourceNote"/>
      </w:pPr>
      <w:r>
        <w:rPr>
          <w:b/>
        </w:rPr>
        <w:t>Available abstract (not full text):</w:t>
      </w:r>
      <w:r>
        <w:t xml:space="preserve"> Mortality profiles derived from age-at-death estimates of archaeological animal remains reveal the outcomes of prehistoric herders slaughtering decisions. Survivorship curves from these data are often interpreted as evidence for herd management strategies optimized for meat, milk, or wool production. Spatial and temporal comparisons can illuminate variation and development in agropastoral economies, but these profiles also carry assumptions. High juvenile mortality, for instance, may compromise long-term herd viability, while interpreting survivorship as a reflection of constant offtake rates across generations can oversimplify pastoral dynamics. This study addresses these issues by modeling sheep and goat herd demography with a stage-structured Lefkovitch projection model. Culling strategies derived from Neolithic Dalmatian sites, informed by caprine age-at-death data, serve as primary constraints on herd growth. By optimizing offtake rates, the simulations evaluate how herders might have adjusted their practices to maintain herd stability amid environmental and subsistence stresses. Results show that sheep herds were generally more sustainable than goat herds, highlighting the demographic impact of differing culling regimes. The findings underscore the adaptive nature of prehistoric herd management and the importance of flexible strategies for mitigating risk and ensuring lon</w:t>
      </w:r>
    </w:p>
    <w:p>
      <w:pPr/>
      <w:r>
        <w:rPr>
          <w:b/>
        </w:rPr>
        <w:t>POSSIBLE 2026:</w:t>
      </w:r>
      <w:r>
        <w:t xml:space="preserve"> Population Dynamics and Demographic Crises in the Parish of Detva (1781–1920): Evidence from Inverse Projection — https://doi.org/10.54694/dem.0389</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This study provides a comprehensive historical demographic analysis of the parish of Detva, located in present-day Slovakia, covering the period 1781–1920. It aims to reconstruct long-term population dynamics and assess the determinants of demographic change in a rural Central European setting, where systematic census data are limited. Parish registers of births, deaths, and marriages serve as the primary sources, with a total of 58,551 baptisms and 39,032 deaths analysed to reconstruct population dynamics. The study applies the inverse projection method, enabling the estimation of population size, age structure, fertility, mortality, and other key demographic indicators in a context where census data are incomplete or unavailable. The results reveal that the parish experienced gradual population growth, punctuated by periods of crisis caused by epidemics, famine, economic instability, and emigration. Crude Birth and Death Rates, along with Gross and Net Reproduction Rates (GRR and NRR), indicate sustained generational replacement, with fertility remaining high until the late 19th century and only declining under the influence of economic and wartime crises. Life expectancy at birth (e_0) remained relatively low, averaging around 32 years, reflecting high mortality among children and the elderly before the demographic transition. The age structure was dominated by children and </w:t>
      </w:r>
    </w:p>
    <w:p>
      <w:pPr>
        <w:pStyle w:val="Heading2"/>
      </w:pPr>
      <w:r>
        <w:t>729.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2026:</w:t>
      </w:r>
      <w:r>
        <w:t xml:space="preserve"> Maternal Group B Streptococcus Vaccination: A Three-Country European Consortium to Improve Surveillance and Data Readiness — https://doi.org/10.2147/clep.s600067</w:t>
      </w:r>
    </w:p>
    <w:p>
      <w:pPr/>
      <w:r>
        <w:rPr>
          <w:b/>
        </w:rPr>
        <w:t>Shared claim-specific concepts:</w:t>
      </w:r>
      <w:r>
        <w:t xml:space="preserve"> objective, three, across, approach; EU scope visible. This is a provisional connection, not an outcome finding.</w:t>
      </w:r>
    </w:p>
    <w:p>
      <w:pPr>
        <w:pStyle w:val="SourceNote"/>
      </w:pPr>
      <w:r>
        <w:rPr>
          <w:b/>
        </w:rPr>
        <w:t>Available abstract (not full text):</w:t>
      </w:r>
      <w:r>
        <w:t xml:space="preserve"> Background: (GBS) is a common gut coloniser, yet it can cause serious disease in pregnant women, newborns, and in adults with predisposing conditions. Estimates suggest that approximately 20 million pregnant women are colonised with GBS, and 394,000 cases of invasive disease occur in infants every year, but there are many data gaps. Several countries lack robust data, leading to likely underestimation of the true disease burden, notably for GBS-associated stillbirths and preterm births. Objective: Recent progress in the development of maternal GBS vaccines adds urgency to the need for comprehensive surveillance data. The aim of this study is to describe advances in routine health information systems and record linkage offer new opportunities for robust monitoring and research on GBS outcomes, both before and after vaccine roll-out. Approach: This review article identifies crucial research gaps, proposes priority outcomes that should be monitored, and highlights opportunities to use routine data from three European countries (Denmark, the Netherlands, the United Kingdom) to harmonise data and strengthen the evidence base to inform national GBS vaccine policy decisions. Conclusion: Strengthening and harmonising routine data collection across Europe and globally will be essential to maximize and measure the benefits of a maternal GBS vaccination.</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key, across, regions;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CLASSIFICATION OF LARGE EUROPEAN CITIES BASED ON THE RATINGS OF THEIR INHABITANTS — https://doi.org/10.29119/1641-3466.2024.213.37</w:t>
      </w:r>
    </w:p>
    <w:p>
      <w:pPr/>
      <w:r>
        <w:rPr>
          <w:b/>
        </w:rPr>
        <w:t>Shared claim-specific concepts:</w:t>
      </w:r>
      <w:r>
        <w:t xml:space="preserve"> objective, three, factors, methods, approach; EU scope visible. This is a provisional connection, not an outcome finding.</w:t>
      </w:r>
    </w:p>
    <w:p>
      <w:pPr>
        <w:pStyle w:val="SourceNote"/>
      </w:pPr>
      <w:r>
        <w:rPr>
          <w:b/>
        </w:rPr>
        <w:t>Available abstract (not full text):</w:t>
      </w:r>
      <w:r>
        <w:t xml:space="preserve"> Purpose: Trends indicate an increasing share of the population living in an urbanized world.It is important to provide them with appropriate living conditions.Most often, we describe living conditions using objective indicators.We hope that they reflect the expectations of the residents well.What if this is not the case?The aim of the research presented in the article is to provide a classification of large European cities based on the opinions of their inhabitants.Design/methodology/approach: Eurostat provides data from the Perception Survey on the Quality of Life in European Cities.The research is carried out every four years.The last was in 2023.Findings: The existence of three types of large European cities covered by the study was indicated. Research limitations/implications:The results of the research are based on subjective assessments of the residents, perhaps they should be verified with objective factors.Social implications: A work to look at cities through the eyes of their inhabitants.It shows the similarities in their perception of the conditions resulting from the location of the city and the economic conditions of the state.Originality/value: Application of clustering methods to the analyzed data, determination of groups of similar cities.Defining the dimensions in the PCA analysis that cities can be described.</w:t>
      </w:r>
    </w:p>
    <w:p>
      <w:pPr>
        <w:pStyle w:val="Heading2"/>
      </w:pPr>
      <w:r>
        <w:t>730.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Regressive ‘alternative’ media and their role in disrupting the public spheres in Europe and Latin America — https://doi.org/10.1007/s11616-025-00892-9</w:t>
      </w:r>
    </w:p>
    <w:p>
      <w:pPr/>
      <w:r>
        <w:rPr>
          <w:b/>
        </w:rPr>
        <w:t>Shared claim-specific concepts:</w:t>
      </w:r>
      <w:r>
        <w:t xml:space="preserve"> those, role, often; EU scope visible. This is a provisional connection, not an outcome finding.</w:t>
      </w:r>
    </w:p>
    <w:p>
      <w:pPr>
        <w:pStyle w:val="SourceNote"/>
      </w:pPr>
      <w:r>
        <w:rPr>
          <w:b/>
        </w:rPr>
        <w:t>Available abstract (not full text):</w:t>
      </w:r>
      <w:r>
        <w:t xml:space="preserve"> Abstract The emergence of alternative media is linked to the progressive social movements of the 1960s and 1970s, which aimed to democratize media production and amplify marginalized voices. Recently, regressive news sites have emerged, claiming to be “alternative” despite their far-right ideologies. As a result, some independent “digital natives” in Latin America reject the “alternative” label. In disinformation studies, scholars often use the term ‘alternative’ to describe media outlets that oppose mainstream institutions without critically addressing power dynamics. Critical media scholars argue that labeling the far right as a counter-public under the ‘alternative’ banner risks equating undemocratic groups with those advocating for democracy. The global right-wing movement is more accurately characterized as “defensive” publics due to its alignment with systemic inequalities. We contend that the right wing’s alignment with systemic inequalities, coupled with its tenuous relationship with truth, distinguishes it from progressive alternative publics. While independent digital-native media often incorporate fact-checking units to combat disinformation, right-wing outlets are significant sources of falsehoods. These outlets exploit democratic rhetoric and distort constructivist views of facts to advance anti-democratic agendas. To illustrate this tactic, the article examines th</w:t>
      </w:r>
    </w:p>
    <w:p>
      <w:pPr/>
      <w:r>
        <w:rPr>
          <w:b/>
        </w:rPr>
        <w:t>POSSIBLE 2025:</w:t>
      </w:r>
      <w:r>
        <w:t xml:space="preserve"> Continuing recovery of wolves in Europe — https://doi.org/10.1371/journal.pstr.0000158</w:t>
      </w:r>
    </w:p>
    <w:p>
      <w:pPr/>
      <w:r>
        <w:rPr>
          <w:b/>
        </w:rPr>
        <w:t>Shared claim-specific concepts:</w:t>
      </w:r>
      <w:r>
        <w:t xml:space="preserve"> those, role, positive, often;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role, common, environmental;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role, large-scale, drivers, driven, initiatives;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The Role of Environmental Factors in Lyme Disease Transmission in the European Union: A Systematic Review — https://doi.org/10.3390/tropicalmed9050113</w:t>
      </w:r>
    </w:p>
    <w:p>
      <w:pPr/>
      <w:r>
        <w:rPr>
          <w:b/>
        </w:rPr>
        <w:t>Shared claim-specific concepts:</w:t>
      </w:r>
      <w:r>
        <w:t xml:space="preserve"> role, environmental, positive; EU scope visible. This is a provisional connection, not an outcome finding.</w:t>
      </w:r>
    </w:p>
    <w:p>
      <w:pPr>
        <w:pStyle w:val="SourceNote"/>
      </w:pPr>
      <w:r>
        <w:rPr>
          <w:b/>
        </w:rPr>
        <w:t>Available abstract (not full text):</w:t>
      </w:r>
      <w:r>
        <w:t xml:space="preserve"> BACKGROUND: spp. Our objective was to determine meteorological and environmental factors associated with LD transmission in Europe and the effect of climate change on LD. MATERIALS AND METHODS: A systematic review following the PRISMA guidelines was performed. We selected studies on LD transmission in the European Union (EU) and the European Economic Area (EEA) published between 2000 and 2022. The protocol was registered in the PROSPERO database. RESULTS: We included 81 studies. The impact of environmental, meteorological or climate change factors on tick vectors was studied in 65 papers (80%), and the impact on human LD cases was studied in 16 papers (19%), whereas animal hosts were only addressed in one study (1%). A significant positive relationship was observed between temperature and precipitation and the epidemiology of LD, although contrasting results were found among studies. Other positive factors were humidity and the expansion of anthropized habitats. CONCLUSIONS: The epidemiology of LD seems to be related to climatic factors that are changing globally due to ongoing climate change. Unfortunately, the complete zoonotic cycle was not systematically analyzed. It is important to adopt a One Health approach to understand LD epidemiology.</w:t>
      </w:r>
    </w:p>
    <w:p>
      <w:pPr/>
      <w:r>
        <w:rPr>
          <w:b/>
        </w:rPr>
        <w:t>POSSIBLE 2024:</w:t>
      </w:r>
      <w:r>
        <w:t xml:space="preserve"> Role of Renewable Energy Adoption in Reducing Climate Change Impacts in Europe — https://doi.org/10.47672/ajcs.2336</w:t>
      </w:r>
    </w:p>
    <w:p>
      <w:pPr/>
      <w:r>
        <w:rPr>
          <w:b/>
        </w:rPr>
        <w:t>Shared claim-specific concepts:</w:t>
      </w:r>
      <w:r>
        <w:t xml:space="preserve"> role, environmental, often;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Proactively boosting home dialysis adoption in Europe — https://doi.org/10.1093/ndt/gfae199</w:t>
      </w:r>
    </w:p>
    <w:p>
      <w:pPr/>
      <w:r>
        <w:rPr>
          <w:b/>
        </w:rPr>
        <w:t>Shared claim-specific concepts:</w:t>
      </w:r>
      <w:r>
        <w:t xml:space="preserve"> those, focus, initiatives;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pStyle w:val="Heading2"/>
      </w:pPr>
      <w:r>
        <w:t>731.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2026:</w:t>
      </w:r>
      <w:r>
        <w:t xml:space="preserve"> Comparison of Building Energy Performance Policies in the European Union and Türkiye in the Context of Climate Risk Management — https://doi.org/10.54864/planarch.1949234</w:t>
      </w:r>
    </w:p>
    <w:p>
      <w:pPr/>
      <w:r>
        <w:rPr>
          <w:b/>
        </w:rPr>
        <w:t>Shared claim-specific concepts:</w:t>
      </w:r>
      <w:r>
        <w:t xml:space="preserve"> energy, system, reduction, period; EU scope visible. This is a provisional connection, not an outcome finding.</w:t>
      </w:r>
    </w:p>
    <w:p>
      <w:pPr>
        <w:pStyle w:val="SourceNote"/>
      </w:pPr>
      <w:r>
        <w:rPr>
          <w:b/>
        </w:rPr>
        <w:t>Available abstract (not full text):</w:t>
      </w:r>
      <w:r>
        <w:t xml:space="preserve"> Due to its significant contribution to global energy consumption and greenhouse gas emissions, the building sector plays an important role in reducing carbon footprints, supporting climate adaptation, and strengthening risk management. This study compares building energy performance policies in the European Union (EU) and Türkiye from the perspective of climate risk management. The analysis focuses on the EU Energy Performance of Buildings Directive (EPBD), which has developed from the nearly zero-energy building (nZEB) approach toward the zero-emission building (ZEB) target, and on Türkiye’s Regulation on Energy Performance in Buildings (BEPY), including the nearly zero-energy building (nSEB) approach, the BEP-TR calculation system, and the Energy Identity Certificate (EKB). In the document analysis, five EU documents and four Turkish documents from the 2010–2024 period were evaluated in terms of design, implementation, and management/supervision dimensions. The findings show that the two approaches share common goals in reducing energy demand, increasing energy efficiency, and supporting the use of renewable energy. While policy tools do not eliminate climate hazards, they can contribute to reducing vulnerability and improving adaptation capacity through building envelope performance, passive design, and performance monitoring. While the EU approach integrates building renova</w:t>
      </w:r>
    </w:p>
    <w:p>
      <w:pPr/>
      <w:r>
        <w:rPr>
          <w:b/>
        </w:rPr>
        <w:t>POSSIBLE 2026:</w:t>
      </w:r>
      <w:r>
        <w:t xml:space="preserve"> The Common European Energy Data Space and the Energy Networks — https://doi.org/10.1007/s40518-026-00288-x</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Abstract Purpose of Review The development of the Common European Energy Data Space (CEEDS) emerges as a pillar to enable secure, interoperable, trusted, and resilient data exchange among stakeholders of the European energy system. Recent Findings We study the potentials for the CEEDS from an energy infrastructure perspective. We focus on the improvement of operational processes, reducing barriers to entry and to data exchanges, utilising AI-driven analytics, new cross-sectoral processes, and flexibility. Summary Recent innovative projects and solutions implemented, show promising and relevant potential for the implementation of the CEEDS in the energy sector. However, there are still not enough empirical analyses of the impact of real-life energy data space initiatives, which are essential for implementing these large-scale solutions.</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energy, system, total;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ENERGY SYSTEM OF UKRAINE: EUROPEAN INTEGRATION TRANSFORMATIONS AND ECONOMIC SECURITY — https://doi.org/10.31617/1.2026(169)01</w:t>
      </w:r>
    </w:p>
    <w:p>
      <w:pPr/>
      <w:r>
        <w:rPr>
          <w:b/>
        </w:rPr>
        <w:t>Shared claim-specific concepts:</w:t>
      </w:r>
      <w:r>
        <w:t xml:space="preserve"> energy, system, period; EU scope visible. This is a provisional connection, not an outcome finding.</w:t>
      </w:r>
    </w:p>
    <w:p>
      <w:pPr>
        <w:pStyle w:val="SourceNote"/>
      </w:pPr>
      <w:r>
        <w:rPr>
          <w:b/>
        </w:rPr>
        <w:t>Available abstract (not full text):</w:t>
      </w:r>
      <w:r>
        <w:t xml:space="preserve"> This article examines the significance of the energy system for the functioning of the national economy and its impact on the level of the stateʼs economic and overall security. Particular atten­tion is paid to the energy systemʼs ability to adapt to crisis conditions, particularly during a period of martial law, when the risks of losing generation, transmission and distribution capa­city increase significantly. It is argued that the recovery and development of the sector require the modernisation of the technical infrastructure and a reorientation of resource provision in line with European approaches. The research hypo­thesis is that the deepening of Ukraineʼs integration into the European economic space creates conditions for the qualitative moderni­sation of the energy system, increases its resilience to external threats and contributes to strengthening the stateʼs economic security. It is demonstrated that attracting international support and developing institutional investment mechanisms are important factors in the restora­tion of energy infrastructure. The theoretical basis of the study is the approach of enterprise economic security, which allows for a compre­hen­sive assessment of the state and prospects of the energy systemʼs development. The study employs general scientific methods, in particular analysis, synthesis and generalisation. It is gene­rally accepted that</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focus, energy, system, total;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pStyle w:val="Heading2"/>
      </w:pPr>
      <w:r>
        <w:t>732.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Beef and dairy emissions: a diagnosis of the international legal order — https://doi.org/10.1093/jel/eqaf020</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Climate Change, Cattle, and the International Legal Order offers a new but necessary view of the role of international law in the fight against climate change. Rebecca Williams’ monograph focuses on the links between climate change and the cattle sector, exploring the integration of this agricultural sector into four relevant regimes—climate change, agriculture, forest and trade—showing how it remains a dangerous black spot of the international legal order. Her ‘diagnosis’ of livestock emissions consideration in the international legal order leads, however, to a broader discussion of understanding climate justice in relation to agriculture and redefines ‘the current conceptualisation of who is responsible for taking agri-climate action’.1 The links between climate change and cattle can be briefly described as 3-fold. Most famously, the first link is the role of enteric fermentation by cattle in producing Greenhouse Gases (GHGs) (with methane being more dangerous for the climate than carbon dioxide). The second link, now gaining traction in public awareness, is land-use impacts, namely the destruction of forests (which are carbon converters) due to cattle feed production and grazing. The third link, and maybe less known, is the way manure management produces carbon and methane and causes nitrogen run-off, creating ocean dead zones. Rebecca Williams employs a nexus approach to fo</w:t>
      </w:r>
    </w:p>
    <w:p>
      <w:pPr/>
      <w:r>
        <w:rPr>
          <w:b/>
        </w:rPr>
        <w:t>POSSIBLE 2025:</w:t>
      </w:r>
      <w:r>
        <w:t xml:space="preserve"> Methane Emissions from Mining in the European Union — https://doi.org/10.3390/en18040791</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Analysis of solar and wind energy utilisation in Europe and Africa — https://doi.org/10.70132/z8468559752</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pPr/>
      <w:r>
        <w:rPr>
          <w:b/>
        </w:rPr>
        <w:t>POSSIBLE 2025:</w:t>
      </w:r>
      <w:r>
        <w:t xml:space="preserve"> TRANSFORMATION OF EUROPEAN ENERGY LAW AND ITS CONSEQUENCES FOR THE INTERNATIONAL NATURAL GAS MARKET — https://doi.org/10.61525/s231243500036422-2</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process of European integration, undertaken in preparation for the conclusion of the Treaty on European Union, created in the 1980s the need to consolidate the pan-European fuel and energy market and to unify the national energy spaces of European countries. Since then, an intensive process of forming a single energy space of European countries has begun. The initial objective was to establish a unified European energy system to optimize regulatory processes. Between 1996 and 2019, four successive legislative packages were adopted, aimed at integrating markets and liberalizing national gas and electricity markets. Having undergone substantial transformation, European energy legislation has evolved into an instrument designed to phase out fossil fuels, including natural gas, and to increase the share of renewable energy sources in the overall energy mix. To achieve the stated climate goals by 2050, the legal framework governing the operation of the European energy system will continue to be reformed. The global trend towards 2050 involves a steady increase in electricity generation, provided by both carbon-based and carbon-free sources. The energy transition exerts a significant influence on international energy markets, compelling gas producers and exporters to adapt to changing conditions. Owing to fast economic growth and rising demand for energy resources, countries in t</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Financial levers and carbon emissions: analysing the debt-emission nexus in the European Union — https://doi.org/10.1080/00036846.2024.2393901</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paper examines the intricate relationship between the national debts of EU-27 member countries and their CO2 emissions, employing the Logarithmic Mean Divisia Index additive model to dissect the impacts of different financial and economic factors on environmental sustainability. To thoroughly explore the evolution of CO2 emissions and influencing factors, the 27 economies analysed were classified into two categories (advanced economies and emerging economies). Furthermore, three sub-periods for analysis were set (1995–2007, 2008–2016, and 2017–2022). The study identifies significant correlations between debt structures, economic growth, energy consumption patterns, and CO2 emissions. The findings reveal that Economic Growth is the largest contributor to the CO2 emissions increase, followed by Total Debt Level. A powerful and constant counterbalancing effect of CO2 emissions reduction is assured by Fossil Fuel Financing. The results underscore the complex interplay between financial and environmental policies in the EU, emphasizing the need for balanced approaches to achieve climate goals. It suggests that investment in green technologies and renewable energy sources, alongside innovative financing mechanisms for green technologies, enhanced energy efficiency, and fiscal policies aimed at reducing national debts, can have the dual benefit of mitigating climate change while </w:t>
      </w:r>
    </w:p>
    <w:p>
      <w:pPr/>
      <w:r>
        <w:rPr>
          <w:b/>
        </w:rPr>
        <w:t>POSSIBLE 2024:</w:t>
      </w:r>
      <w:r>
        <w:t xml:space="preserve"> Current European Energy Architecture — https://openalex.org/W7110603362</w:t>
      </w:r>
    </w:p>
    <w:p>
      <w:pPr/>
      <w:r>
        <w:rPr>
          <w:b/>
        </w:rPr>
        <w:t>Shared claim-specific concepts:</w:t>
      </w:r>
      <w:r>
        <w:t xml:space="preserve"> international, energy, emissions; EU scope visible. This is a provisional connection, not an outcome finding.</w:t>
      </w:r>
    </w:p>
    <w:p>
      <w:pPr>
        <w:pStyle w:val="SourceNote"/>
      </w:pPr>
      <w:r>
        <w:rPr>
          <w:b/>
        </w:rPr>
        <w:t>Available abstract (not full text):</w:t>
      </w:r>
      <w:r>
        <w:t xml:space="preserve">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pPr>
        <w:pStyle w:val="Heading2"/>
      </w:pPr>
      <w:r>
        <w:t>733.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2026:</w:t>
      </w:r>
      <w:r>
        <w:t xml:space="preserve"> TREATMENT OF ACUTE LUNATE DISLOCATION BY CLOSED REDUCTION AND CASTING: A CASE REPORT — https://doi.org/10.25258/ijddt.16.63s.182</w:t>
      </w:r>
    </w:p>
    <w:p>
      <w:pPr/>
      <w:r>
        <w:rPr>
          <w:b/>
        </w:rPr>
        <w:t>Shared claim-specific concepts:</w:t>
      </w:r>
      <w:r>
        <w:t xml:space="preserve"> long-term, casting, applied; EU scope not established. This is a provisional connection, not an outcome finding.</w:t>
      </w:r>
    </w:p>
    <w:p>
      <w:pPr>
        <w:pStyle w:val="SourceNote"/>
      </w:pPr>
      <w:r>
        <w:rPr>
          <w:b/>
        </w:rPr>
        <w:t>Available abstract (not full text):</w:t>
      </w:r>
      <w:r>
        <w:t xml:space="preserve"> Background: Lunate dislocation is an uncommon, high-energy traumatic wrist injury.Due to its rarity, misdiagnosis or delayed treatment is common and frequently leads to poor functional outcomes, median nerve compression, and chronic joint dysfunction.1,2 While open reduction and surgical repair of disrupted ligaments are typically performed in most cases to prevent long-term dysfunction, early-diagnosed acute dislocations may benefit from a conservative approach after stable closed reduction.[3][4][5][6] Case Description: A 28-year-old male physical education teacher presented to the emergency department with acute pain, swelling, and median nerve paresthesia over the right wrist following trauma.Radiographic evaluation confirmed a diagnosis of acute volar lunate dislocation (Mayfield Stage 4 carpal instability).3 Under general anesthesia, successful closed reduction was achieved using Tavernier's method.7 With satisfactory intraoperative stability, a below-elbow cast was applied for three weeks, and oral methylcobalamin therapy was initiated.The patient's tingling sensation completely resolved over the first two weeks.At the 3-month follow-up, the patient experienced no pain at rest, demonstrated an exceptional extension/flexion range of 90°-0°-75° and pronation/supination range of 90°-0°-90°, and successfully resumed his professional duties.Conclusion: Closed reduction and ca</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2025:</w:t>
      </w:r>
      <w:r>
        <w:t xml:space="preserve"> DEVELOPING CRITICAL THINKING SKILLS OF PRIMARY SCHOOL STUDENTS THROUGH INDEPENDENT CURRICULUM LEARNING — https://openalex.org/W7221244119</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development of critical thinking skills among elementary school students plays an important role in preparing the younger generation to face the challenges of the fourth industrial revolution era. The method used is a literature study on this theme. The results of the study revealed that Merdeka Belajar Curriculum provides ample space to improve students' critical thinking skills through flexible learning, focusing on students, and closely related to context. Effective strategies include project-based learning, collaborative problem solving, and technology integration in the learning process. However, the research also identified challenges such as the need for intense enrichment of teacher competencies and adaptation of assessment methods to appropriately measure critical thinking skills. In conclusion, Merdeka Belajar Curriculum has great potential to improve the critical thinking skills of primary school students, but this achievement is highly dependent on careful implementation along with comprehensive support from all education stakeholders. Recommendations for further studies include long-term studies on the long-term impact of this curriculum on the development of students' critical thinking skills and the exploration of new assessment models that are in line with the objectives of the Merdeka Belajar Curriculum</w:t>
      </w:r>
    </w:p>
    <w:p>
      <w:pPr>
        <w:pStyle w:val="Heading2"/>
      </w:pPr>
      <w:r>
        <w:t>734.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DISCUSSION OF FINDINGS, SUMMARY, CONCLUSIONS, RECOMMENDATIONS, SUGGESTIONS FOR FURTHER RESEARCH, AND AUTHOR REFLECTION — https://doi.org/10.5281/zenodo.22797016</w:t>
      </w:r>
    </w:p>
    <w:p>
      <w:pPr/>
      <w:r>
        <w:rPr>
          <w:b/>
        </w:rPr>
        <w:t>Shared claim-specific concepts:</w:t>
      </w:r>
      <w:r>
        <w:t xml:space="preserve"> conclude, summary, recommendations, context; EU scope not established. This is a provisional connection, not an outcome finding.</w:t>
      </w:r>
    </w:p>
    <w:p>
      <w:pPr>
        <w:pStyle w:val="SourceNote"/>
      </w:pPr>
      <w:r>
        <w:rPr>
          <w:b/>
        </w:rPr>
        <w:t>Available abstract (not full text):</w:t>
      </w:r>
      <w:r>
        <w:t xml:space="preserve"> Leadership development plays an important role in increasing the effectiveness and sustainability of church organisations,especially in post conflict situations where the leaders are faced with a myriad of spiritual, social, organisational andresource challenges. The study focused on the effectiveness of leadership development programmes on leadershipcapacity among emerging leaders in African Inland Church (AIC) Torit District Church Council (DCC), South Sudan.Four dimensions of the leadership development programme were mentioned: programme content, training methods,training exposure and programme implementation constraints. The research design used was a mixed research designwhich involved both structured questionnaires and key informant interviews. 90 respondents provided quantitative dataand eight key informants provided qualitative data. Pearson correlation and regression analysis were used to explore therelationships between leadership development programme characteristics and leadership capacity, while descriptivestatistics were used to examine the characteristics of these programmes.The results revealed that there was positive and significant relationship between programme content and leadershipcapacity (r = 0.64; β = 0.30; p = 0.003), meaning that the programme content has a positive relationship with leadershipcapacity when it is relevant and integrated. The training m</w:t>
      </w:r>
    </w:p>
    <w:p>
      <w:pPr/>
      <w:r>
        <w:rPr>
          <w:b/>
        </w:rPr>
        <w:t>POSSIBLE 2026:</w:t>
      </w:r>
      <w:r>
        <w:t xml:space="preserve"> Digitizing the Pre-consultation Experience: Impacts and Design Recommendations — https://doi.org/10.1145/3772318.3791354</w:t>
      </w:r>
    </w:p>
    <w:p>
      <w:pPr/>
      <w:r>
        <w:rPr>
          <w:b/>
        </w:rPr>
        <w:t>Shared claim-specific concepts:</w:t>
      </w:r>
      <w:r>
        <w:t xml:space="preserve"> conclude, recommendations, information; EU scope not established. This is a provisional connection, not an outcome finding.</w:t>
      </w:r>
    </w:p>
    <w:p>
      <w:pPr>
        <w:pStyle w:val="SourceNote"/>
      </w:pPr>
      <w:r>
        <w:rPr>
          <w:b/>
        </w:rPr>
        <w:t>Available abstract (not full text):</w:t>
      </w:r>
      <w:r>
        <w:t xml:space="preserve"> Clinical pre-consultation, where patients share health information prior to an appointment, can offer better patient-centered care by freeing time for meaningful patient–physician conversations. Conversational agents powered by large language models (LLMs) can automate this process to make it more scalable and consistent, but doing so can cause information overload that exacerbates physicians’ workload as they spend time parsing through data. This paper examines the opportunities and challenges of using pre-consultation agents to mediate information transfer between patients and physicians, with the aim of producing clinically useful yet patient-driven summaries that capture their histories and concerns. Through sessions with both patients and physicians, we show that automatically generated pre-consultation summaries can increase patients’ confidence and sense of control over their health information while fostering a more collaborative dynamic. We conclude with design recommendations for integrating pre-consultation agents into clinical workflows.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2025:</w:t>
      </w:r>
      <w:r>
        <w:t xml:space="preserve"> Policy recommendations for enhancing communication efficiency in organizations — https://doi.org/10.70593/978-93-49910-07-2_5</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This chapter presents a summary of the key findings based on the data presentation and analysis discussed in the previous chapter. Conclusions are then drawn, followed by recommendations derived from the study’s findings. Finally, suggestions for future research are provided. 5.2 Summary of Findings The following are the major findings that emerged from the data analysis: The study revealed that effective communication has a significant positive impact on organizational performance. The analysis further showed that effective communication enhances productivity within organizations. The findings indicate that managers who possess strong interpersonal communication skills are better able to disseminate information clearly, thereby minimizing communication gaps within the organization. The study also found that effective manager–employee communication contributes positively to the execution of decisions and the successful accomplishment of tasks. 5.3. Conclusion Based on the findings, the study concludes that effective communication fosters mutual understanding between management and employees. This mutual understanding plays a vital role in building strong relationships within the organization. Communication serves as the channel through which roles, responsibilities, resources, expectations, and tasks are conveyed to subordinates, enabling smoother workflow and enhanced performa</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2024:</w:t>
      </w:r>
      <w:r>
        <w:t xml:space="preserve"> The Politics of Approval — https://doi.org/10.1017/9781009341554.007</w:t>
      </w:r>
    </w:p>
    <w:p>
      <w:pPr/>
      <w:r>
        <w:rPr>
          <w:b/>
        </w:rPr>
        <w:t>Shared claim-specific concepts:</w:t>
      </w:r>
      <w:r>
        <w:t xml:space="preserve"> summary, politics, authors; EU scope not established. This is a provisional connection, not an outcome finding.</w:t>
      </w:r>
    </w:p>
    <w:p>
      <w:pPr>
        <w:pStyle w:val="SourceNote"/>
      </w:pPr>
      <w:r>
        <w:rPr>
          <w:b/>
        </w:rPr>
        <w:t>Available abstract (not full text):</w:t>
      </w:r>
      <w:r>
        <w:t xml:space="preserve"> The most widely read and influential component of the IPCC’s practice of writing is the summary for policymakers (SPM), where the key messages of the underlying report are presented in short sentences and figures to facilitate travel into the media, ministers’ speeches and UNFCCC negotiations. The aim of this chapter is to describe the politics of approval. The chapter begins the historical emergence of this practice and documents the tactics and strategies available to co-chairs, authors and delegates to influence the final outcome. Documenting participation in the authorship and approval of the SPM again illuminates the asymmetries revealed in previous chapters, but also highlights the growing presence of some developing countries in the process. This is evident in the content that has initiated some of the greatest struggle – the categorisation of developing versus developed countries. This account reveals that the forces structuring the final stage of the IPCC’s practice of writing originate in the broader global struggle to determine the meaning of climate change and continue after the approval, only now with a new SPM to substantiate national positions in the negotiation of the collective response.</w:t>
      </w:r>
    </w:p>
    <w:p>
      <w:pPr/>
      <w:r>
        <w:rPr>
          <w:b/>
        </w:rPr>
        <w:t>POSSIBLE 2024:</w:t>
      </w:r>
      <w:r>
        <w:t xml:space="preserve"> Global barriers to decision makers for prioritizing interventions for obesity — https://doi.org/10.1038/s41366-024-01650-z</w:t>
      </w:r>
    </w:p>
    <w:p>
      <w:pPr/>
      <w:r>
        <w:rPr>
          <w:b/>
        </w:rPr>
        <w:t>Shared claim-specific concepts:</w:t>
      </w:r>
      <w:r>
        <w:t xml:space="preserve"> decision, makers, politics, technology; EU scope not established. This is a provisional connection, not an outcome finding.</w:t>
      </w:r>
    </w:p>
    <w:p>
      <w:pPr>
        <w:pStyle w:val="SourceNote"/>
      </w:pPr>
      <w:r>
        <w:rPr>
          <w:b/>
        </w:rPr>
        <w:t>Available abstract (not full text):</w:t>
      </w:r>
      <w:r>
        <w:t xml:space="preserve"> The treatment of obesity remains underprioritized. New pharmacologic options for the treatment of obesity have shown effectiveness and safety but are not widely reimbursed. Despite the unmet need and the existence of effective prevention and treatment strategies, substantial barriers exist to effectively address obesity as a disease. The purpose of this scoping review was to investigate the barriers for decision makers in prioritizing interventions for obesity and to seek out interconnection between barriers to prevention and treatment. A scoping review was conducted using a systematic search of both scientific databases and Health Technology Assessment (HTA) databases. Studies that addressed barriers to reimbursement or prioritization of obesity treatment and prevention were included. A total of 26 articles and 14 HTAs were included. Four main barriers for decision makers to prioritize new interventions for obesity were identified: perceptions, knowledge, economics, and politics. There was a high degree of interconnectedness among barriers, as well as large overlaps between barriers in relation to bariatric surgery, pharmacologic treatments, and prevention regulation. Multiple barriers exist that impact decision makers in prioritizing interventions for treating obesity. A strong interconnectedness of the barriers was found, indicating a systems approach to improve global prior</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pStyle w:val="Heading2"/>
      </w:pPr>
      <w:r>
        <w:t>735.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2025:</w:t>
      </w:r>
      <w:r>
        <w:t xml:space="preserve"> Mentorship in endocrinology training: a cross-sectional study of the United States and Europe — https://doi.org/10.1016/j.eclinm.2025.103377</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Background: Mentorship is crucial for developing both scientific and professional competencies in medical training, yet its role in endocrinology training remains underexplored. We aimed to assess the prevalence of mentorship in endocrinology trainees, analyse demographic and training programme factors, and evaluate the impact of mentor characteristics on trainee outcomes. Methods: We conducted a cross-sectional study of endocrinology trainees in the United States and Europe (23 countries) between June 2023 to January 2024. Participants were recruited via professional societies, email lists, and social media. Those who had completed more than 7 years of training post-medical school or had missing data on duration of training were excluded. A structured online questionnaire was developed using validated mentorship competency tools and adapted for regional nuances to collect data on demographics, mentorship experiences, academic productivity, and well-being. The primary outcome assessed the prevalence of mentorship; secondary outcomes evaluated the associations between mentor characteristics and self-reported academic productivity, satisfaction within the mentorship relationship, and levels of burnout and stress. Univariable and multivariable logistic regression analyses were conducted. Findings: Between June 10, 2023, and January 1, 2024, 250 respondents (154 from the U.S. and 9</w:t>
      </w:r>
    </w:p>
    <w:p>
      <w:pPr/>
      <w:r>
        <w:rPr>
          <w:b/>
        </w:rPr>
        <w:t>POSSIBLE 2025:</w:t>
      </w:r>
      <w:r>
        <w:t xml:space="preserve"> Greening politics? European parties’ and European Parliament groups’ standpoints on sustainability (2019–2024) — https://doi.org/10.1108/sampj-11-2024-1307</w:t>
      </w:r>
    </w:p>
    <w:p>
      <w:pPr/>
      <w:r>
        <w:rPr>
          <w:b/>
        </w:rPr>
        <w:t>Shared claim-specific concepts:</w:t>
      </w:r>
      <w:r>
        <w:t xml:space="preserve"> analyses, presented, union; EU scope visible. This is a provisional connection, not an outcome finding.</w:t>
      </w:r>
    </w:p>
    <w:p>
      <w:pPr>
        <w:pStyle w:val="SourceNote"/>
      </w:pPr>
      <w:r>
        <w:rPr>
          <w:b/>
        </w:rPr>
        <w:t>Available abstract (not full text):</w:t>
      </w:r>
      <w:r>
        <w:t xml:space="preserve"> Purpose The study aims to discuss the “greening” of European Union politics in the European Parliament, by the voice of its political groups/parties, from 2019 to 2024. It aims at characterising the standpoints of each of the groups. Design/methodology/approach The main question guiding the research is: to what extent did the political parties and groups at the European Union level adopt green politics standpoints, in the period 2019–2024? The conceptual framework connects green politics with the three pillars of sustainability (economic, social and environmental); with the debate on weak vs strong sustainability; with anthropocentric vs ecocentric perspectives. The standpoints of the European Parliament (EP) groups/parties are analysed with reference to those categories. The empirical research is based on the qualitative analysis of party manifestos and programmes for the 2019 election, and on a selection of EP parliamentary debates. Findings The data evidence the evolution of green politics in the EP, from 2019 to 2024. Variation across groups is presented. The predominance of each of the three pillars of sustainability by the EP group is demonstrated. Weak vs strong sustainability and anthropocentric vs ecocentric standpoints are mapped. Practical implications The study contributes: to the sustainable development debate (sustainable development goals [SDG]16 “Peace, Justice </w:t>
      </w:r>
    </w:p>
    <w:p>
      <w:pPr/>
      <w:r>
        <w:rPr>
          <w:b/>
        </w:rPr>
        <w:t>POSSIBLE 2025:</w:t>
      </w:r>
      <w:r>
        <w:t xml:space="preserve"> The European Union in a New Emerging Global Order — https://doi.org/10.33067/se.1.2025.7</w:t>
      </w:r>
    </w:p>
    <w:p>
      <w:pPr/>
      <w:r>
        <w:rPr>
          <w:b/>
        </w:rPr>
        <w:t>Shared claim-specific concepts:</w:t>
      </w:r>
      <w:r>
        <w:t xml:space="preserve"> article, vision, union; EU scope visible. This is a provisional connection, not an outcome finding.</w:t>
      </w:r>
    </w:p>
    <w:p>
      <w:pPr>
        <w:pStyle w:val="SourceNote"/>
      </w:pPr>
      <w:r>
        <w:rPr>
          <w:b/>
        </w:rPr>
        <w:t>Available abstract (not full text):</w:t>
      </w:r>
      <w:r>
        <w:t xml:space="preserve"> The European Union (EU) is a very speciﬁc sui generis entity in the international arena as it neither a classical international organisation nor state. Moreover, the process of its creation remains incomplete, with the original vision of establishing a novel, supranational entity on the continent still not fully realised. What is more, European integration and the EU has recently met many challenges and obstacles of different kinds, both internal (a potential Grexit, a very real Brexit, an axiological clash of the elites, and democratic deﬁcit) and external (e.g., conﬂicts on its borders, the resurgence of hard power to the international scene, the so-called “Trump factor”, etc.). This article seeks to examine and specify the current global position of the EU in this new, turbulent era marked by partial de-globalisation, the dominance of hard power, and great-power competition in the world. This era is deﬁned in this essay as a “strategic draft”, during which Russia seems intent on dismantling the international order, while China looks to establish an entirely new one. These are challenging times, as the old order no longer functions properly, while the new one is yet to take shape.</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2022:</w:t>
      </w:r>
      <w:r>
        <w:t xml:space="preserve"> Exposure to Green Spaces and Multiple Child Health Outcomes: a preliminary meta-analysis from 11 European Birth Cohorts — https://doi.org/10.1289/isee.2022.p-0484</w:t>
      </w:r>
    </w:p>
    <w:p>
      <w:pPr/>
      <w:r>
        <w:rPr>
          <w:b/>
        </w:rPr>
        <w:t>Shared claim-specific concepts:</w:t>
      </w:r>
      <w:r>
        <w:t xml:space="preserve"> outcome, analyses, presented; EU scope visible. This is a provisional connection, not an outcome finding.</w:t>
      </w:r>
    </w:p>
    <w:p>
      <w:pPr>
        <w:pStyle w:val="SourceNote"/>
      </w:pPr>
      <w:r>
        <w:rPr>
          <w:b/>
        </w:rPr>
        <w:t>Available abstract (not full text):</w:t>
      </w:r>
      <w:r>
        <w:t xml:space="preserve"> Studies on the association between exposure to green spaces and child health have captured only a narrow range of outcomes. Here, we conducted an outcome-wide study on more than 90,000 mother-children’s dyads from 11 European birth-cohort studies, to examine the association of residential availability (NDVI) and accessibility to green spaces (yes/no) in a 300 meters buffer during pregnancy and childhood with a range of outcomes. Fourteen outcomes in three areas of child health (respiratory health, obesity, neurodevelopment) will be included. The latest available measure of each outcome within the age band 3-12 years, was selected for each child. For postnatal period, green space exposures were calculated from birth up to the age before the outcome assessment. Using a federated-analysis tool (DataSHIELD), we fitted linear and logistic regression models in each cohort separately and then combined the results using random-effects meta-analysis. All the analyses were adjusted for child age (years) and sex, maternal education (low, medium, high), and area-level socioeconomic status (low/medium/high deprived). More than 70% of study participants lived close to green space during pregnancy and childhood period. Preliminary analyses on eight outcomes show no associations between availability of, or accessibility to, green spaces and respiratory (asthma diagnosis, forced expiration volu</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pStyle w:val="Heading2"/>
      </w:pPr>
      <w:r>
        <w:t>736.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2026:</w:t>
      </w:r>
      <w:r>
        <w:t xml:space="preserve"> Digital Transformation and Sustainable Development Goals Disclosure: The Mediating Role of Public Sector Transparency in Europe — https://doi.org/10.3390/su18189316</w:t>
      </w:r>
    </w:p>
    <w:p>
      <w:pPr/>
      <w:r>
        <w:rPr>
          <w:b/>
        </w:rPr>
        <w:t>Shared claim-specific concepts:</w:t>
      </w:r>
      <w:r>
        <w:t xml:space="preserve"> implications, goals, system, based; EU scope visible. This is a provisional connection, not an outcome finding.</w:t>
      </w:r>
    </w:p>
    <w:p>
      <w:pPr>
        <w:pStyle w:val="SourceNote"/>
      </w:pPr>
      <w:r>
        <w:rPr>
          <w:b/>
        </w:rPr>
        <w:t>Available abstract (not full text):</w:t>
      </w:r>
      <w:r>
        <w:t xml:space="preserve"> This study examines the association between national digital transformation and corporate Sustainable Development Goals (SDGs) disclosure and investigates the mediating role of public sector transparency in this relationship. Using an unbalanced panel of 420 EU-listed firms from 20 European Union countries over the period 2019–2024, the study measures SDGs disclosure through a manually constructed content-analysis index based on firms’ reported activities, policies, targets, key performance indicators, and measurable outcomes related to the 17 United Nations SDGs. The empirical analysis employs two-way fixed-effects regressions and country-clustered bootstrap mediation analysis, complemented by System Generalized Method of Moments (System GMM), two-stage least squares (2SLS), and heterogeneity analyses. The findings show that digital transformation is positively associated with public sector transparency and that greater public sector transparency is associated with higher levels of corporate SDGs disclosure. The mediation analysis further reveals a positive and statistically significant implied mediating association between digital transformation and SDGs disclosure through public sector transparency, accounting for approximately 51.4% of the estimated total association. The findings remain robust across alternative specifications and endogeneity tests. This study contributes </w:t>
      </w:r>
    </w:p>
    <w:p>
      <w:pPr/>
      <w:r>
        <w:rPr>
          <w:b/>
        </w:rPr>
        <w:t>POSSIBLE 2026:</w:t>
      </w:r>
      <w:r>
        <w:t xml:space="preserve"> The implications of unification for Germany's role in the European Union. — https://doi.org/10.82444/warw.33741772</w:t>
      </w:r>
    </w:p>
    <w:p>
      <w:pPr/>
      <w:r>
        <w:rPr>
          <w:b/>
        </w:rPr>
        <w:t>Shared claim-specific concepts:</w:t>
      </w:r>
      <w:r>
        <w:t xml:space="preserve"> two, implications, first;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Modeling of root reinforcement of European hornbeam considering the use different fiber bundle models — https://doi.org/10.24425/ace.2026.157490</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This study comprises measurements of root systems of European hornbeam in forests located near Winiary, in the vicinity of Gdów (Wiśnickie Foothills, Poland) and near the town of Kanice (Moravia, Czech Republic). Field research included root measurements using the trench wall method conducted at a distance of approximately 1 m from the tree trunks. Tensile strength of the roots collected from both study sites and the geotechnical properties of the soil were determined in the laboratory. Based on the results of field measurements and laboratory tests, the root reinforcement was calculated using selected fibre bundle models. This study was aimed to compare root systems and mechanical properties of roots of the European hornbeam from the two sites and to compare the root reinforcement results obtained using different bundle models, taking into account different approaches to load distribution. The paper also discusses the impact of the tensile strength-strain characteristics of roots and their orientation relative to the direction of slip plane (zone) on the root reinforcement. The results of laboratory tests showed that tensile strength and elasticity of roots collected from both sites are very similar. Calculations showed that the values of root reinforcement computed using fiber bundle models are even 2.5 times smaller than those obtained from the classic Wu–Waldron model. On t</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pStyle w:val="Heading2"/>
      </w:pPr>
      <w:r>
        <w:t>737.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2026:</w:t>
      </w:r>
      <w:r>
        <w:t xml:space="preserve"> Conditional pathways to loneliness in older adults with vision impairment: a decision-tree analysis — https://doi.org/10.1093/geroni/igag102</w:t>
      </w:r>
    </w:p>
    <w:p>
      <w:pPr/>
      <w:r>
        <w:rPr>
          <w:b/>
        </w:rPr>
        <w:t>Shared claim-specific concepts:</w:t>
      </w:r>
      <w:r>
        <w:t xml:space="preserve"> pathways, vision, lower, robust; EU scope not established. This is a provisional connection, not an outcome finding.</w:t>
      </w:r>
    </w:p>
    <w:p>
      <w:pPr>
        <w:pStyle w:val="SourceNote"/>
      </w:pPr>
      <w:r>
        <w:rPr>
          <w:b/>
        </w:rPr>
        <w:t>Available abstract (not full text):</w:t>
      </w:r>
      <w:r>
        <w:t xml:space="preserve"> Background and Objectives: The prevalence of vision impairment continues to increase globally due to population growth and aging. Among older adults with vision impairment, loneliness is common. Prior studies assessing loneliness risk have relied on regression-based approaches, which may not capture complex, heterogeneous conditional pathways. We apply a theoretically guided machine learning approach to examine loneliness risk among older adults with age-related macular degeneration (AMD). Research Design and Methods: = 80.1 years) enrolled in a randomized controlled trial, we applied a decision tree method using measures of legal blindness, emotional responses to vision loss, social life satisfaction, anxiety, depression, optimism, future planning, and sociodemographic factors to investigate heterogeneous pathways to loneliness. Results: = .78, DeLong 95% confidence interval: 0.68-0.88) and robust classification performance across thresholds. Social life satisfaction emerged as the primary branching condition differentiating loneliness outcomes. Distinct pathways suggested that high social life satisfaction was strongly associated with lower loneliness; optimism served as a compensatory resource when social satisfaction was lower. Additional pathways highlighted the effects of vision loss severity, anxiety, and emotional responses to vision loss on loneliness. Depressive sympt</w:t>
      </w:r>
    </w:p>
    <w:p>
      <w:pPr/>
      <w:r>
        <w:rPr>
          <w:b/>
        </w:rPr>
        <w:t>POSSIBLE 2026:</w:t>
      </w:r>
      <w:r>
        <w:t xml:space="preserve"> Cleaning up cleaning: a pathway to net zero for fast moving consumer goods chemical formulations — https://doi.org/10.3389/frevc.2026.1742124</w:t>
      </w:r>
    </w:p>
    <w:p>
      <w:pPr/>
      <w:r>
        <w:rPr>
          <w:b/>
        </w:rPr>
        <w:t>Shared claim-specific concepts:</w:t>
      </w:r>
      <w:r>
        <w:t xml:space="preserve"> moving, greenhouse, emissions; EU scope not established. This is a provisional connection, not an outcome finding.</w:t>
      </w:r>
    </w:p>
    <w:p>
      <w:pPr>
        <w:pStyle w:val="SourceNote"/>
      </w:pPr>
      <w:r>
        <w:rPr>
          <w:b/>
        </w:rPr>
        <w:t>Available abstract (not full text):</w:t>
      </w:r>
      <w:r>
        <w:t xml:space="preserve"> Household cleaning products and packaged chemicals sold by fast moving consumer goods (FMCG) companies contribute significantly to global emissions. Once used, these products largely enter wastewater systems and degrade into carbon-based greenhouse gases (GHGs). Such end-of-life emissions can account for up to two-thirds of the product's total, but are often overlooked in both environmental assessments and policy. Here, we examine the decarbonization of the FMCG chemical formulations sector, motivated by four questions. First, is it preferable to substitute fossil-based feedstock with bio-based feedstock, or to continue with fossil feedstocks but with capture and permanent storage of the corresponding atmospheric carbon dioxide? Second, how large are the current cost differentials between fossil-based and viable bio-based feedstocks? Third, what is the potential for cost reductions among bio-based feedstocks, given technology learning curves? Fourth, what carbon prices would make bio-based feedstocks competitive with their fossil-based alternatives? The paper concludes with a discussion of policy options to enable the competitiveness of bio-based feedstocks with their fossil carbon equivalents, opening up a pathway to net zero for household chemical formulations.</w:t>
      </w:r>
    </w:p>
    <w:p>
      <w:pPr/>
      <w:r>
        <w:rPr>
          <w:b/>
        </w:rPr>
        <w:t>POSSIBLE 2026:</w:t>
      </w:r>
      <w:r>
        <w:t xml:space="preserve"> 6.4 Vision and pathway development of aqua thermal energy in the EU North Sea region:Version March 2026 — https://openalex.org/W7152935239</w:t>
      </w:r>
    </w:p>
    <w:p>
      <w:pPr/>
      <w:r>
        <w:rPr>
          <w:b/>
        </w:rPr>
        <w:t>Shared claim-specific concepts:</w:t>
      </w:r>
      <w:r>
        <w:t xml:space="preserve"> pathways, vision, actions, enhance; EU scope visible. This is a provisional connection, not an outcome finding.</w:t>
      </w:r>
    </w:p>
    <w:p>
      <w:pPr>
        <w:pStyle w:val="SourceNote"/>
      </w:pPr>
      <w:r>
        <w:rPr>
          <w:b/>
        </w:rPr>
        <w:t>Available abstract (not full text):</w:t>
      </w:r>
      <w:r>
        <w:t xml:space="preserve"> This report presents the outcomes of Work Package 6 (WP6) within the EU Interreg North Sea WaterWarmth Project, focusing on governance, innovation, policy frameworks, and stakeholder engagement for the advancement of aqua thermal energy (AE) systems in the EU North Sea Region. The project aims to accelerate the transition toward sustainable, low-carbon aqua thermal heating and cooling by developing shared strategic knowledge and actionable pathways for AE deployment across six European countries. The central result of WP6 is a co-created vision for aqua thermal energy systems in 2050, supported by country-specific and unified transition pathways spanning the period 2025–2050. The vision was formulated with the WaterWarmth project partners to elicit individual and group level ideas. To enhance the co-creation process, and to apply an innovative mixed methodology approach, Generative Artificial Intelligence (GenAI) was integrated in the process of vision formulation. The vision depicts a fair, sustainable, and community-driven heating system in which decentralized yet interconnected AE networks are owned and managed by local, non-profit cooperatives. These systems ensure affordability, resilience, and secure access to clean heat, while safeguarding aquatic ecosystems. Technological development is another pillar of the vision augmented through smart management systems. To operatio</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pStyle w:val="Heading2"/>
      </w:pPr>
      <w:r>
        <w:t>738.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2026:</w:t>
      </w:r>
      <w:r>
        <w:t xml:space="preserve"> Right Wing Reactionary Populist Radicalism and Migration in Europe — https://doi.org/10.5195/valeus.2026.3</w:t>
      </w:r>
    </w:p>
    <w:p>
      <w:pPr/>
      <w:r>
        <w:rPr>
          <w:b/>
        </w:rPr>
        <w:t>Shared claim-specific concepts:</w:t>
      </w:r>
      <w:r>
        <w:t xml:space="preserve"> findings, migration, countries, between, france, greece; EU scope visible. This is a provisional connection, not an outcome finding.</w:t>
      </w:r>
    </w:p>
    <w:p>
      <w:pPr>
        <w:pStyle w:val="SourceNote"/>
      </w:pPr>
      <w:r>
        <w:rPr>
          <w:b/>
        </w:rPr>
        <w:t>Available abstract (not full text):</w:t>
      </w:r>
      <w:r>
        <w:t xml:space="preserve"> The main purpose of this essay is to assess the relationship between populism and immigration in the European Union. Based on an extensive literature review on the current state of populist movements in the EU as well as on the findings of two sets of comparative fieldwork conducted in various European countries in 2017 (Germany, France, Italy, Greece, and the Netherlands) and between 2020 and 2021 (Germany, France, Italy, and the Netherlands), the essay seeks to understand and explain the relevance of the debates on migration, refugees and Islam with the rise of radical right-wing populism as well as with the current state of the EU. The essay discusses the impact of the growing populist and anti-Muslim sentiments on migration and asylum policies in the EU.</w:t>
      </w:r>
    </w:p>
    <w:p>
      <w:pPr/>
      <w:r>
        <w:rPr>
          <w:b/>
        </w:rPr>
        <w:t>POSSIBLE 2026:</w:t>
      </w:r>
      <w:r>
        <w:t xml:space="preserve"> Rethinking European Migration Through Second-Best Destinations — https://doi.org/10.1007/978-981-92-2630-6_2</w:t>
      </w:r>
    </w:p>
    <w:p>
      <w:pPr/>
      <w:r>
        <w:rPr>
          <w:b/>
        </w:rPr>
        <w:t>Shared claim-specific concepts:</w:t>
      </w:r>
      <w:r>
        <w:t xml:space="preserve"> three, migration, sweden, italy; EU scope visible. This is a provisional connection, not an outcome finding.</w:t>
      </w:r>
    </w:p>
    <w:p>
      <w:pPr>
        <w:pStyle w:val="SourceNote"/>
      </w:pPr>
      <w:r>
        <w:rPr>
          <w:b/>
        </w:rPr>
        <w:t>Available abstract (not full text):</w:t>
      </w:r>
      <w:r>
        <w:t xml:space="preserve"> This chapter develops the theoretical framework of the book by introducing three interrelated concepts: (1) second-best destinations, (2) diasporic marginalities, and (3) learning to stay, to analyze how migration from Turkey unfolds at the edges of Europe’s opportunity structures. It argues that destinations are structurally produced positions within a European migration system that unevenly distribute access, protection, and mobility. Southern Europe, and Italy in particular, emerges as a second-best destination through the combined effects of European migration governance, informal labor market structures, and the foreclosure of preferred alternatives in Northern Europe. The chapter proceeds in three movements. It first traces the consolidation of European migration governance, from the Common European Asylum System and the Dublin Regulation through the EU-Turkey Statement of 2016, showing how supranational frameworks systematically positioned Southern European states as enforcement peripheries while limiting their capacity for long-term protection and incorporation. It then examines Italy’s specific trajectory, from late incorporation into European migration circuits through recurrent regularizations and institutionalized informality, to its current position as a space where migrants can remain but rarely thrive. Finally, it maps the aspirational geographies against which I</w:t>
      </w:r>
    </w:p>
    <w:p>
      <w:pPr/>
      <w:r>
        <w:rPr>
          <w:b/>
        </w:rPr>
        <w:t>POSSIBLE 2026:</w:t>
      </w:r>
      <w:r>
        <w:t xml:space="preserve"> Migration resistance as border politics : counter-imaginaries of EUrope — https://doi.org/10.82444/warw.33687625</w:t>
      </w:r>
    </w:p>
    <w:p>
      <w:pPr/>
      <w:r>
        <w:rPr>
          <w:b/>
        </w:rPr>
        <w:t>Shared claim-specific concepts:</w:t>
      </w:r>
      <w:r>
        <w:t xml:space="preserve"> three, migration, italy; EU scope visible. This is a provisional connection, not an outcome finding.</w:t>
      </w:r>
    </w:p>
    <w:p>
      <w:pPr>
        <w:pStyle w:val="SourceNote"/>
      </w:pPr>
      <w:r>
        <w:rPr>
          <w:b/>
        </w:rPr>
        <w:t>Available abstract (not full text):</w:t>
      </w:r>
      <w:r>
        <w:t xml:space="preserve"> This thesis seeks to conceptualise and mobilise migration resistances as forces of animation through which contemporary forms of EUropean border governance can be productively explored. By following different migration struggles ethnographically, it inquires into their emergence and asks what practices of government and control they reveal. Situated within the academic fields of ‘critical border and migration studies’ and Michel Foucault’s conceptualisations of power, resistance and the art of government, resistance is understood as method. As a set of analytics and catalysts that sets sociopolitical processes and phenomena into frictional motion, resistance is developed as a mode of critical investigation. It is argued that, while always specific and situated, migration struggles form transversal resistances that bring to light particular aspects of the ‘EUropean border dispositif’ which seeks to monitor, regulate and deter certain human mobilities. In a multi-sited ethnography, conducted in diverse borderscapes, heterogeneous struggles are explored. The first study follows the Non-Citizen movement that emerged in Germany and interprets their confrontational and provocative struggle as dissent. The second ethnographic study explores the Boats4People campaign that took place in Italy and Tunisia to protest migrant deaths in the Mediterranean Sea and focuses on their embodied pr</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pStyle w:val="Heading2"/>
      </w:pPr>
      <w:r>
        <w:t>739.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ABSTRACT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2026:</w:t>
      </w:r>
      <w:r>
        <w:t xml:space="preserve"> Alarming decline in the carbon sink of European forests driven by disturbances. — https://doi.org/10.1093/nsr/nwag354</w:t>
      </w:r>
    </w:p>
    <w:p>
      <w:pPr/>
      <w:r>
        <w:rPr>
          <w:b/>
        </w:rPr>
        <w:t>Shared claim-specific concepts:</w:t>
      </w:r>
      <w:r>
        <w:t xml:space="preserve"> decline, however, targets; EU scope visible. This is a provisional connection, not an outcome finding.</w:t>
      </w:r>
    </w:p>
    <w:p>
      <w:pPr>
        <w:pStyle w:val="SourceNote"/>
      </w:pPr>
      <w:r>
        <w:rPr>
          <w:b/>
        </w:rPr>
        <w:t>Available abstract (not full text):</w:t>
      </w:r>
      <w:r>
        <w:t xml:space="preserve"> Forests are carbon sinks essential for climate change mitigation. However, increased harvests and natural disturbances across Europe have recently challenged this role. To project the future carbon sink capacity of Europe's forests, we integrated country reports from the United Nations Framework Convention on Climate Change with remote sensing maps of disturbances and above-ground biomass. Our model simulates biomass dynamics at 18 km resolution from 2010 to 2030, predicting a 39% decrease in the EU-27 forest carbon sink, driven by disturbances outpacing biomass recovery. Consequently, the 2030 forest carbon sink will fall 27% short of the estimated target consistent with EU-27 climate objectives. We demonstrate that the three billion trees initiative is insufficient for climate change mitigation and needs to be combined with a 28% reduction in forest harvests from 2025 to 2030 to meet these targets.</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Differential impact of gender and socioeconomic indicators on heart failure hospitalisations: A Pan-European population-based time-series analysis — https://doi.org/10.1093/eurheartj/ehaf784.1064</w:t>
      </w:r>
    </w:p>
    <w:p>
      <w:pPr/>
      <w:r>
        <w:rPr>
          <w:b/>
        </w:rPr>
        <w:t>Shared claim-specific concepts:</w:t>
      </w:r>
      <w:r>
        <w:t xml:space="preserve"> average, decline, rate, number, however; EU scope visible. This is a provisional connection, not an outcome finding.</w:t>
      </w:r>
    </w:p>
    <w:p>
      <w:pPr>
        <w:pStyle w:val="SourceNote"/>
      </w:pPr>
      <w:r>
        <w:rPr>
          <w:b/>
        </w:rPr>
        <w:t>Available abstract (not full text):</w:t>
      </w:r>
      <w:r>
        <w:t xml:space="preserve"> Abstract Background Heart failure (HF) is a growing global health challenge, placing an increasing burden on healthcare systems worldwide. There is currently a lack of large-scale multinational studies examining how HF hospitalisation rates vary over time by age and socioeconomic indicators Purpose To examine trends in HF hospitalisation rates across European nations and, assess their association with gender and socioeconomic metrics. Methods Annual HF discharge rates (per 100,000 inhabitants) categorised by sex, along with national socioeconomic data were extracted from the Eurostat and World Bank databases, respectively for the periods 2004-2018. Joinpoint regression was used to analyse trends in discharge rates. Healthcare and socioeconomic metrics were compared between countries with increasing vs. decreasing HF discharge rates for recent years (2014-2018). HF prevalence (per 100,000 inhabitants) from the Global Burden of Disease database was assessed for correlations with discharge rates. Results A total of 19,975,316 HF related hospitalisation were reported across 26 European countries between 2004-2018. Among them, 19 countries showed an increase in HF hospitalisation rates for both sexes. The largest increases were observed in Latvia (+550% males, +510% females), Malta (+188% males, +228% females), and Slovakia (+169% males, +151% females). The largest decrease was seen</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pStyle w:val="Heading2"/>
      </w:pPr>
      <w:r>
        <w:t>740.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2026:</w:t>
      </w:r>
      <w:r>
        <w:t xml:space="preserve"> “Fairness” in Agrifood Systems as Marketing Strategy to Reduce Food Waste by 2027 — https://doi.org/10.54663/2182-9306.2026.specialissuecmth.56-77</w:t>
      </w:r>
    </w:p>
    <w:p>
      <w:pPr/>
      <w:r>
        <w:rPr>
          <w:b/>
        </w:rPr>
        <w:t>Shared claim-specific concepts:</w:t>
      </w:r>
      <w:r>
        <w:t xml:space="preserve"> agrifood, implications, thereby; EU scope visible. This is a provisional connection, not an outcome finding.</w:t>
      </w:r>
    </w:p>
    <w:p>
      <w:pPr>
        <w:pStyle w:val="SourceNote"/>
      </w:pPr>
      <w:r>
        <w:rPr>
          <w:b/>
        </w:rPr>
        <w:t>Available abstract (not full text):</w:t>
      </w:r>
      <w:r>
        <w:t xml:space="preserve"> The complexity of modern agri-food systems, characterized by globalized supply chains and diverse stakeholders, amplifies the risk of waste and increasingly shapes market perceptions and value creation dynamics. Food loss and waste remain a critical challenge, impacting environmental sustainability, economic efficiency, and social equity, as well as consumer trust and brand legitimacy. This study explores the strategic role of fairness in supply chain management (SCM) within the Portuguese agrifood sector, focusing on its potential as a governance and value-signalling factor to achieve ambitious food waste reduction goals by 2027. Fairness could be seeing as a mechanism that enhances transparency, fosters equitable relationships, and mitigates opportunistic behaviours across the supply chain, thereby reinforcing reputational capital and shared value. To address the complexity and future orientation inherent in this topic, and its implications for long-term market positioning, the Delphi method was selected, supported in 24 experts, from Academic, Public and Private sectors. Through successive rounds of structured questionnaires, expert opinions were solicited, evaluated, and refined to forecast two interrelated trajectories for Portugal by 2027: i) local procurement for institutional settings, specifically that all public and private schools will be predominantly supplied by lo</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2025:</w:t>
      </w:r>
      <w:r>
        <w:t xml:space="preserve"> Agrifood policy after Brexit: The growing role of agroecology in Wales — https://doi.org/10.1016/j.jrurstud.2024.103559</w:t>
      </w:r>
    </w:p>
    <w:p>
      <w:pPr/>
      <w:r>
        <w:rPr>
          <w:b/>
        </w:rPr>
        <w:t>Shared claim-specific concepts:</w:t>
      </w:r>
      <w:r>
        <w:t xml:space="preserve"> trade, agrifood, general, implications; EU scope not established. This is a provisional connection, not an outcome finding.</w:t>
      </w:r>
    </w:p>
    <w:p>
      <w:pPr>
        <w:pStyle w:val="SourceNote"/>
      </w:pPr>
      <w:r>
        <w:rPr>
          <w:b/>
        </w:rPr>
        <w:t>Available abstract (not full text):</w:t>
      </w:r>
      <w:r>
        <w:t xml:space="preserve"> The UK's exit from the Common Agricultural Policy has created an opportunity for significant agrifood policy change. In Wales, plans to implement a ‘Community Food Strategy’ promise to lend more support to domestic, community-based, and ecologically sustainable food provision, echoing policy demands made by agroecological organisations. However, The Welsh agrifood system's specialisation around meat production and trade stand in direct opposition to these ambitions. This paper analyses the Welsh government's reforms in light of these tensions to explain what achievements and challenges a small, trade-dependent nation faces when attempting to change its agrifood system. It examines policy claims and advocacy activities by agroecological organisations, assesses to what extent the government addresses those claims, and discusses the overall trajectory of Welsh agrifood policy. The paper draws on ‘Foundational Economy’ scholarship to conceptualise agroecology as a socio-ecological innovation capable of informing large-scale sustainability transitions through active citizenship and policy change. Empirical data is drawn from qualitative analyses of policy documents and interviews with agroecological organisations. The paper finds that agroecological organisations provide the Welsh Government with arguments, data, and best practices, but struggle to see their more ambitious claims im</w:t>
      </w:r>
    </w:p>
    <w:p>
      <w:pPr/>
      <w:r>
        <w:rPr>
          <w:b/>
        </w:rPr>
        <w:t>POSSIBLE 2025:</w:t>
      </w:r>
      <w:r>
        <w:t xml:space="preserve"> AGRIFOOD SUPPLY CHAIN SUSTAINABILITY FOR PERISHABLE GOODS SHIPMENT — https://doi.org/10.70382/tijasdr.v10i2.066</w:t>
      </w:r>
    </w:p>
    <w:p>
      <w:pPr/>
      <w:r>
        <w:rPr>
          <w:b/>
        </w:rPr>
        <w:t>Shared claim-specific concepts:</w:t>
      </w:r>
      <w:r>
        <w:t xml:space="preserve"> agrifood, different, independent; EU scope not established. This is a provisional connection, not an outcome finding.</w:t>
      </w:r>
    </w:p>
    <w:p>
      <w:pPr>
        <w:pStyle w:val="SourceNote"/>
      </w:pPr>
      <w:r>
        <w:rPr>
          <w:b/>
        </w:rPr>
        <w:t>Available abstract (not full text):</w:t>
      </w:r>
      <w:r>
        <w:t xml:space="preserve"> The management of transportation, warehousing, and distribution of perishable goods from the farm to consumers zone has been major concern in the agri-food industry, considering decay of products and effect of methane gas to the environment from this decayed product. A multi-period, strategic and tactical planning model was developed to take care of shipment route for these perishable goods from the farm gate to the consumer’s zone with different cold-hubs via different routes options. The S-T model addressed sensitivity and ambiguity associated with seasonal demand and product loss due to delay in shipment, to ensure timely and efficient delivery of products. Five contradicting objectives (Profit, Power Rating, Credit Performance, Response time and Distributors Reputation) were optimized, initially a single objective optimization was employed to attain a single best solution and then a multi-objective optimization to achieve a compromise solution using Chebyshev goal programming. The model bases its analysis on five objective factors: customer response time, power rating, credit performance, distributor reputation, and profit. Following the tactical and strategic requirements in the aforementioned S-T framework, only three distribution centers of mixed capacity were established for a mid-term planning. In addition to determining the location and capacity of each cold hub, the </w:t>
      </w:r>
    </w:p>
    <w:p>
      <w:pPr/>
      <w:r>
        <w:rPr>
          <w:b/>
        </w:rPr>
        <w:t>POSSIBLE 2025:</w:t>
      </w:r>
      <w:r>
        <w:t xml:space="preserve"> Spatial Imaginaries and the Geopolitics of Trade: A Constructivist Perspective — https://doi.org/10.1080/14650045.2025.2578629</w:t>
      </w:r>
    </w:p>
    <w:p>
      <w:pPr/>
      <w:r>
        <w:rPr>
          <w:b/>
        </w:rPr>
        <w:t>Shared claim-specific concepts:</w:t>
      </w:r>
      <w:r>
        <w:t xml:space="preserve"> trade, perspective, focus, relations; EU scope visible. This is a provisional connection, not an outcome finding.</w:t>
      </w:r>
    </w:p>
    <w:p>
      <w:pPr>
        <w:pStyle w:val="SourceNote"/>
      </w:pPr>
      <w:r>
        <w:rPr>
          <w:b/>
        </w:rPr>
        <w:t>Available abstract (not full text):</w:t>
      </w:r>
      <w:r>
        <w:t xml:space="preserve"> This Special Issue explores the spatial politics of trade through a constructivist lens. While recent debates in international trade policy have emphasised geostrategic concerns, we argue that space in trade governance is not merely a geopolitical backdrop, but a politically contested arena. The establishment, management, and contestation of trade relations are shaped by, and contribute to, social constructions of space, including the power structures that underpin them. Borrowing from political geography and the literature on spatial imaginaries, we set out the conceptual categories and guiding questions that structure this Special Issue. We examine how trade policies construct spatial imaginaries that reflect and reproduce geopolitical hierarchies, particularly between the Global South and North. With a focus on the trade politics of the European Union and the United Kingdom, we demonstrate why it is beneficial to analyse trade through a nuanced conceptualisation that understands space as contingently constructed, rather than as a neutral container.</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trade, perspective, focus, states;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Scientific and Political Narratives: Discursive Strategies in EU Agrifood Policies and Legislation — https://openalex.org/W7126729200</w:t>
      </w:r>
    </w:p>
    <w:p>
      <w:pPr/>
      <w:r>
        <w:rPr>
          <w:b/>
        </w:rPr>
        <w:t>Shared claim-specific concepts:</w:t>
      </w:r>
      <w:r>
        <w:t xml:space="preserve"> focus, agrifood, different; EU scope visible. This is a provisional connection, not an outcome finding.</w:t>
      </w:r>
    </w:p>
    <w:p>
      <w:pPr>
        <w:pStyle w:val="SourceNote"/>
      </w:pPr>
      <w:r>
        <w:rPr>
          <w:b/>
        </w:rPr>
        <w:t>Available abstract (not full text):</w:t>
      </w:r>
      <w:r>
        <w:t xml:space="preserve"> This article analyzes the European Commission’s justification of legislation through a modern dualistic framework, contrasting scientific (objective) and political (subjective) narratives: the political narrative, reflecting the will of the people, and the scientific narrative, grounded in technical harmonization, evidence, and data. The research focuses on the uses and strategic shifts in the Commission’s justifications, particularly the transition from scientific to political narratives. Despite claims of a "more political" Commission, as articulated in Juncker’s State of the Union addresses, we hypothesize that the Commission effectively operates within both narratives and strategically shifts its narrative register to enhance legitimacy. Our approach is interdisciplinary, combining EU law in context, legal philosophy, political science, and formal legislative motivation, alongside discursive analysis methods (Narrative Policy Framework). By analyzing various agrifood cases in which the Commission communicates across different forums (COFE, EC-Biotech and EC-Hormone litigation), with a particular focus on the proposal for a regulation on new genomic techniques (NGT), this article concludes that the Commission strategically utilizes both scientific and political narratives in a complementary manner, depending on the subject matter and the institutions involved.</w:t>
      </w:r>
    </w:p>
    <w:p>
      <w:pPr>
        <w:pStyle w:val="Heading2"/>
      </w:pPr>
      <w:r>
        <w:t>741.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2026:</w:t>
      </w:r>
      <w:r>
        <w:t xml:space="preserve"> Prediction of Retired EV Batteries’ Usable Capacity for Repurposing in Second-Life Applications — https://doi.org/10.3390/technologies14020124</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Increasing electric vehicle (EV) adoption raises concerns about EV waste management and the impact on the environment. To improve energy efficiency and exploit their remaining usable capacity, the retired batteries may be repurposed in second-life applications. This paper predicts the usable second-life capacity of retired EV batteries, considering the European Union (EU) regulation regarding the mandatory recycled critical material quotas in newly manufactured batteries from 2031 onwards. Based on political influences and the market’s capacity to return to pre-pandemic values, four scenarios are proposed regarding future EV sales in the EU market. The algorithm implemented in Matlab R2025a indicates the batteries that must be recycled to meet the mandatory targets and the ones that can be repurposed as battery energy storage systems. Historical data and future predictions are used to determine the number of EV batteries sold, lifetime, the market’s chemistry share and the usable capacity for second life. The annual mandatory recycled critical material content is compared to the available recyclable mass from both retired batteries in the current year and those that are already active in their second life. The economic analysis reveals the scenario with the highest total revenue, including the cascade benefits and recycling value.</w:t>
      </w:r>
    </w:p>
    <w:p>
      <w:pPr/>
      <w:r>
        <w:rPr>
          <w:b/>
        </w:rPr>
        <w:t>POSSIBLE 2026:</w:t>
      </w:r>
      <w:r>
        <w:t xml:space="preserve"> Household Economic Status and Migration: Evidence from Central and Eastern European Countries — https://doi.org/10.54694/dem.0377</w:t>
      </w:r>
    </w:p>
    <w:p>
      <w:pPr/>
      <w:r>
        <w:rPr>
          <w:b/>
        </w:rPr>
        <w:t>Shared claim-specific concepts:</w:t>
      </w:r>
      <w:r>
        <w:t xml:space="preserve"> data, migration, between, countries; EU scope visible. This is a provisional connection, not an outcome finding.</w:t>
      </w:r>
    </w:p>
    <w:p>
      <w:pPr>
        <w:pStyle w:val="SourceNote"/>
      </w:pPr>
      <w:r>
        <w:rPr>
          <w:b/>
        </w:rPr>
        <w:t>Available abstract (not full text):</w:t>
      </w:r>
      <w:r>
        <w:t xml:space="preserve"> Migration has been a defining phenomenon in Eastern Europe since the fall of the Iron Curtain and has intensified with the free movement of people within the European Union. This paper examines the relationship between migration and household economic conditions, an area that has received limited empirical attention. Using panel data for 11 Central and Eastern European EU member states from 2013 to 2023, the study analyses how household financial indicators influence net migration balances. The empirical analysis applies panel regression techniques, including pooled OLS, random effects, and fixed effects models. The results show that household net financial assets and household investment rates are significant predictors of migration outcomes, while household savings and debt exhibit weaker or insignificant effects. These findings suggest that household-level economic resources and investment capacity play an important role in shaping migration dynamics in Eastern Europe. By connecting standardized household economic indicators to migration patterns, the paper provides new comparative evidence with relevant implications for migration and economic policy in the region.</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pStyle w:val="Heading2"/>
      </w:pPr>
      <w:r>
        <w:t>742.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2026:</w:t>
      </w:r>
      <w:r>
        <w:t xml:space="preserve"> Battlelines of Accountability: The Discursive Production of Digital Responsibility — https://doi.org/10.1007/s10551-026-06308-6</w:t>
      </w:r>
    </w:p>
    <w:p>
      <w:pPr/>
      <w:r>
        <w:rPr>
          <w:b/>
        </w:rPr>
        <w:t>Shared claim-specific concepts:</w:t>
      </w:r>
      <w:r>
        <w:t xml:space="preserve"> discursive, about, constructed; EU scope not established. This is a provisional connection, not an outcome finding.</w:t>
      </w:r>
    </w:p>
    <w:p>
      <w:pPr>
        <w:pStyle w:val="SourceNote"/>
      </w:pPr>
      <w:r>
        <w:rPr>
          <w:b/>
        </w:rPr>
        <w:t>Available abstract (not full text):</w:t>
      </w:r>
      <w:r>
        <w:t xml:space="preserve"> Abstract Public inquiries have become pivotal arenas in which the ethical responsibilities of digital platforms are publicly constructed and contested. Yet scholarship has paid limited attention to the linguistic mechanisms through which these contests unfold. This paper examines the 2024 Australian Joint Select Committee on Social Media and Australian Society as a high-stakes moral forum in which technology firms, regulators, and civil society actors engage in discursive struggles over adolescent harm and platform responsibility. Drawing on a qualitative analysis of more than 3000 pages of submissions and hearing transcripts, we show that accountability in this setting is not simply revealed but actively produced through language. Extending prior research on dialogic accountability, we incorporate Searle’s speech act theory to identify how presuppositions and indirect speech acts function as micro-level tools for shaping epistemic contests about what harms occur and responsibility contests about who ought to be held to account. Our findings demonstrate that corporate actors often deploy these linguistic devices to maintain ambiguity, diffuse blame, or perform symbolic responsibility, while legislators and advocates use them to assert duties, establish harms, and press for substantive accountability. We argue that “digital responsibility” emerges as a contingent discursive acco</w:t>
      </w:r>
    </w:p>
    <w:p>
      <w:pPr/>
      <w:r>
        <w:rPr>
          <w:b/>
        </w:rPr>
        <w:t>POSSIBLE 2026:</w:t>
      </w:r>
      <w:r>
        <w:t xml:space="preserve"> Learning as Governance: Discursive Constructions of Learning in the Postdigital Knowledge Economy — https://doi.org/10.1007/978-3-032-21956-5_2</w:t>
      </w:r>
    </w:p>
    <w:p>
      <w:pPr/>
      <w:r>
        <w:rPr>
          <w:b/>
        </w:rPr>
        <w:t>Shared claim-specific concepts:</w:t>
      </w:r>
      <w:r>
        <w:t xml:space="preserve"> logics, discursive, constructed; EU scope visible. This is a provisional connection, not an outcome finding.</w:t>
      </w:r>
    </w:p>
    <w:p>
      <w:pPr>
        <w:pStyle w:val="SourceNote"/>
      </w:pPr>
      <w:r>
        <w:rPr>
          <w:b/>
        </w:rPr>
        <w:t>Available abstract (not full text):</w:t>
      </w:r>
      <w:r>
        <w:t xml:space="preserve"> This chapter traces the reconfiguration of education from the ideal of the knowledge society to the imperatives of the knowledge economy, showing how human and social capital have become central categories of neoliberal governance. It argues that learning is increasingly constructed as an individualized project of adaptability, responsibilization, and self-optimization, mediated by digital infrastructures that intensify surveillance and inequality. Grounded in the post-socialist transformations of Central and Eastern Europe, and Poland in particular, the analysis reveals a hybrid landscape in which neoliberal, nationalist, and technocratic logics intersect. The chapter highlights how the postdigital condition redefines both the purposes of schooling and what it means to be a learner, turning education into a contested arena where the promise of emancipation is undercut by regulation and stratification.</w:t>
      </w:r>
    </w:p>
    <w:p>
      <w:pPr/>
      <w:r>
        <w:rPr>
          <w:b/>
        </w:rPr>
        <w:t>POSSIBLE 2026:</w:t>
      </w:r>
      <w:r>
        <w:t xml:space="preserve"> Inclusive leadership as a discursive-rhetorical practice: A conceptual framework of discourse, identity and power — https://doi.org/10.29107/rr2026.3.7</w:t>
      </w:r>
    </w:p>
    <w:p>
      <w:pPr/>
      <w:r>
        <w:rPr>
          <w:b/>
        </w:rPr>
        <w:t>Shared claim-specific concepts:</w:t>
      </w:r>
      <w:r>
        <w:t xml:space="preserve"> proposes, discursive, construction, conditions, climate; EU scope not established. This is a provisional connection, not an outcome finding.</w:t>
      </w:r>
    </w:p>
    <w:p>
      <w:pPr>
        <w:pStyle w:val="SourceNote"/>
      </w:pPr>
      <w:r>
        <w:rPr>
          <w:b/>
        </w:rPr>
        <w:t>Available abstract (not full text):</w:t>
      </w:r>
      <w:r>
        <w:t xml:space="preserve"> Inclusive leadership is most commonly conceptualized as a behavioral style, psychological climate or managerial practice that promotes participation, belongingness and recognition. While these approaches have generated important insights, they provide only limited explanation of how inclusion is communicatively sustained within organizations. This article develops a conceptual framework for understanding inclusive leadership as a discursive-rhetorical practice of power. Drawing on a critical narrative synthesis of rhetorical theory, discourse studies and leadership scholarship, the article argues that inclusion is not a stable organizational condition, but a communicative accomplishment. The study proposes a three-dimensional framework composed of discursive construction, identity formation and power mediation that explains how rhetorical mechanisms (particularly logos, ethos and pathos) shape the meanings of inclusion, legitimize organizational identities and regulate participation under different institutional conditions. By integrating classical rhetoric and contemporary leadership theory, the article contributes a more precise account of how inclusion is rhetorically enabled, constrained and contested.</w:t>
      </w:r>
    </w:p>
    <w:p>
      <w:pPr/>
      <w:r>
        <w:rPr>
          <w:b/>
        </w:rPr>
        <w:t>POSSIBLE 2026:</w:t>
      </w:r>
      <w:r>
        <w:t xml:space="preserve"> Expert knowledge dissemination online: Discursive choices, roles enacted and authorial voice constructed — https://doi.org/10.1177/14614456261477531</w:t>
      </w:r>
    </w:p>
    <w:p>
      <w:pPr/>
      <w:r>
        <w:rPr>
          <w:b/>
        </w:rPr>
        <w:t>Shared claim-specific concepts:</w:t>
      </w:r>
      <w:r>
        <w:t xml:space="preserve"> proposes, discursive, construction, constructed; EU scope not established. This is a provisional connection, not an outcome finding.</w:t>
      </w:r>
    </w:p>
    <w:p>
      <w:pPr>
        <w:pStyle w:val="SourceNote"/>
      </w:pPr>
      <w:r>
        <w:rPr>
          <w:b/>
        </w:rPr>
        <w:t>Available abstract (not full text):</w:t>
      </w:r>
      <w:r>
        <w:t xml:space="preserve"> A wide range of digital practices are currently employed to disseminate specialised knowledge beyond expert communities. Expert knowledge needs to be recontextualised so that it becomes accessible, understood an acceptable to diversified audiences with varying levels of expertise. How knowledge brokers construct and project their authorial voice plays a key role in this endeavour. This paper proposes a framework for analysing the construction of authorial voice in digital practices that recontextualise expert knowledge, based on the discursive choices made by knowledge brokers and the discursive roles enacted through them. The framework is applied to a corpus of 40 digital dissemination texts: 20 author-generated texts published in The Conversation and 20 writer-mediated research digests in two disciplines: Economy and Natural Sciences. Overall results show that Stance-taking and Comprehensibility roles are more prominent than Credibility and especially Engagement roles. Differences are observed in the Credibility roles enacted by knowledge producers versus mediators, and in Stance-taking across disciplines. The results offer insights into how expert knowledge is disseminated in trustworthy digital sources and can inform more critical consumption and production of such practices.</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2025:</w:t>
      </w:r>
      <w:r>
        <w:t xml:space="preserve"> A Reconceptualization of Schooling and Teaching: A Renewed Interest in Bildung‐Oriented Didaktik and Transactional Realism — https://doi.org/10.1111/edth.12687</w:t>
      </w:r>
    </w:p>
    <w:p>
      <w:pPr/>
      <w:r>
        <w:rPr>
          <w:b/>
        </w:rPr>
        <w:t>Shared claim-specific concepts:</w:t>
      </w:r>
      <w:r>
        <w:t xml:space="preserve"> reconceptualization, about, outcomes; EU scope not established. This is a provisional connection, not an outcome finding.</w:t>
      </w:r>
    </w:p>
    <w:p>
      <w:pPr>
        <w:pStyle w:val="SourceNote"/>
      </w:pPr>
      <w:r>
        <w:rPr>
          <w:b/>
        </w:rPr>
        <w:t>Available abstract (not full text):</w:t>
      </w:r>
      <w:r>
        <w:t xml:space="preserve"> Abstract This study aims to contribute to the ongoing scholarly conversation about education through the lenses of the German philosophy of Bildung and the American philosophy of pragmatism. More concretely, in this article, the two philosophies are represented by the traditions of critical‐constructive Didaktik, based on Wolfgang Klafki's work, and transactional realism, based on John Dewey's. Against the background of the widespread outcomes‐based modes of education today, the authors seek to shed light on the necessary reconceptualization of schooling and teaching and to explore the possibilities for constructive routes forward for curriculum theorizing. They outline the aspects of knowledge and the learning concepts that the two philosophies share and those about which they differ. The authors also analyze the consequences that these similarities and differences have for the educational approaches of critical‐constructive Didaktik and transactional realism. Finally, the authors present an empirical example from a Swedish year‐eight classroom, drawing conclusions based on their findings and considering corresponding implications about the two traditions' potential to contribute to an understanding of teaching as a pedagogical responsibility.</w:t>
      </w:r>
    </w:p>
    <w:p>
      <w:pPr/>
      <w:r>
        <w:rPr>
          <w:b/>
        </w:rPr>
        <w:t>POSSIBLE 2025:</w:t>
      </w:r>
      <w:r>
        <w:t xml:space="preserve"> Migration and Racialization in Times of “Crisis” — https://doi.org/10.1353/book.136296</w:t>
      </w:r>
    </w:p>
    <w:p>
      <w:pPr/>
      <w:r>
        <w:rPr>
          <w:b/>
        </w:rPr>
        <w:t>Shared claim-specific concepts:</w:t>
      </w:r>
      <w:r>
        <w:t xml:space="preserve"> racial, logics, face; EU scope not established. This is a provisional connection, not an outcome finding.</w:t>
      </w:r>
    </w:p>
    <w:p>
      <w:pPr>
        <w:pStyle w:val="SourceNote"/>
      </w:pPr>
      <w:r>
        <w:rPr>
          <w:b/>
        </w:rPr>
        <w:t>Available abstract (not full text):</w:t>
      </w:r>
      <w:r>
        <w:t xml:space="preserve"> List of Figures and Tablesthis work are inscribed in the racial, gendered, and capitalist logics of this system we critique.Although we, as editors, do not all share the same racial positions, nor do we face the same oppressions or privileges, we are critically engaged through our profession in the neoliberal university.As much as the university constitutes a propitious space for the critique of racial capitalism, patriarchy, heteronormativity, and other systemic violence, we are aware that it also participates in such violence (Chatterjee &amp; Maira, 2014) and mobilizes the notion of crisis specific to neoliberal logic (see Pasipanodya &amp; Chowdhury, this volume) and academic capitalism (Boggs &amp; Mitchell</w:t>
      </w:r>
    </w:p>
    <w:p>
      <w:pPr/>
      <w:r>
        <w:rPr>
          <w:b/>
        </w:rPr>
        <w:t>POSSIBLE 2025:</w:t>
      </w:r>
      <w:r>
        <w:t xml:space="preserve"> Negotiating Opera : Discursive Representations, Democratic Accessibility and Social Media Branding — https://openalex.org/W7111780263</w:t>
      </w:r>
    </w:p>
    <w:p>
      <w:pPr/>
      <w:r>
        <w:rPr>
          <w:b/>
        </w:rPr>
        <w:t>Shared claim-specific concepts:</w:t>
      </w:r>
      <w:r>
        <w:t xml:space="preserve"> proposes, form, discursive, about, constructed; EU scope not established. This is a provisional connection, not an outcome finding.</w:t>
      </w:r>
    </w:p>
    <w:p>
      <w:pPr>
        <w:pStyle w:val="SourceNote"/>
      </w:pPr>
      <w:r>
        <w:rPr>
          <w:b/>
        </w:rPr>
        <w:t>Available abstract (not full text):</w:t>
      </w:r>
      <w:r>
        <w:t xml:space="preserve"> This thesis examines opera as a discursive cultural and social phenomenon, constructed not only within theatrical spaces but also in production practices and public discussions that extend beyond a music-theatrical performance. Focusing on discussions of opera in the media landscape of the early 21st century as related to the democratization challenges around an art form traditionally understood as high and elitist, this approach brings novel perspectives to the relationship between opera and society. More specifically, negotiating opera encompasses the idea that opera is a discursive construct that is subject to continuous negotiations in which meanings and values are produced and reproduced. The aim of this thesis is to (i) identify and examine perceptions of opera in contemporary society and (ii) understand how these perceptions are formed and how they relate to wider cultural trends. This aim leads to two main research questions: “What kind of perceptions of opera as a cultural phenomenon are construed on public discussion arenas, such as newspapers and social media, and in official public communications of opera institutions, in Nordic welfare societies?”, and “How do digitalization and changes in cultural production, including the media landscape, influence the perceived meaning and value of opera in contemporary society?”. These processes are studied in three sub-studies</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pStyle w:val="Heading2"/>
      </w:pPr>
      <w:r>
        <w:t>743.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2026:</w:t>
      </w:r>
      <w:r>
        <w:t xml:space="preserve"> Emerging typologies for sustainable urbanism in the 21st century: the case of high-density housing blocks with shared courtyards in Central and Northern Europe — https://openalex.org/W7217440646</w:t>
      </w:r>
    </w:p>
    <w:p>
      <w:pPr/>
      <w:r>
        <w:rPr>
          <w:b/>
        </w:rPr>
        <w:t>Shared claim-specific concepts:</w:t>
      </w:r>
      <w:r>
        <w:t xml:space="preserve"> case, northern, used, open, after; EU scope visible. This is a provisional connection, not an outcome finding.</w:t>
      </w:r>
    </w:p>
    <w:p>
      <w:pPr>
        <w:pStyle w:val="SourceNote"/>
      </w:pPr>
      <w:r>
        <w:rPr>
          <w:b/>
        </w:rPr>
        <w:t>Available abstract (not full text):</w:t>
      </w:r>
      <w:r>
        <w:t xml:space="preserve"> This doctoral thesis investigates high-density shared-courtyard housing as an emerging typology in Central and Northern Europe (2005–2025) and asks how evidence-based precedent analysis can inform sustainable urbanism. The aim is to convert built precedents into comparable design intelligence using a tri-lens framework—physical form, operational functioning, and environmental performance—so that early decisions balance density, daylight, and social sustainability. A sample of 46 delivered blocks is analysed with form, operational and performance metrics to: floor area ratio (FAR), courtyard share (CR), footprint coverage, height; access orientation, residents per entrance, and communal area per resident; configurational legibility and visual choice via Visibility Graph Analysis; and a conservative winter-solstice noon daylight screen. Cases are grouped by intensity bands (Open ≤200% Adaptive 200–270%, Compact ≥270% and by epochs (E1–E3). Quality controls include unit standardisation, cross-source triangulation, non-parametric statistics, and pre-specified robustness checks; a Courtyard Load Index is used diagnostically. Findings show a predictable enclosure gradient: as intensity rises, courtyard share declines while coverage and storeys increase; wing depth remains mid-range. Operationally, street-facing access and legibility persist, but visual choice and communal m² per resi</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Wood exploitation in northern Europe during the Early Neolithic: The case study of the Funnel Beaker site of Frydenlund, ca. 3600 BCE — https://doi.org/10.1016/j.jasrep.2025.105255</w:t>
      </w:r>
    </w:p>
    <w:p>
      <w:pPr/>
      <w:r>
        <w:rPr>
          <w:b/>
        </w:rPr>
        <w:t>Shared claim-specific concepts:</w:t>
      </w:r>
      <w:r>
        <w:t xml:space="preserve"> case, northern, different, possible; EU scope visible. This is a provisional connection, not an outcome finding.</w:t>
      </w:r>
    </w:p>
    <w:p>
      <w:pPr>
        <w:pStyle w:val="SourceNote"/>
      </w:pPr>
      <w:r>
        <w:rPr>
          <w:b/>
        </w:rPr>
        <w:t>Available abstract (not full text):</w:t>
      </w:r>
      <w:r>
        <w:t xml:space="preserve"> Understanding the interaction between people and their environment during the neolithization process in northern Europe requires detailed knowledge of wood exploitation by Funnel Beaker societies (4000–2800 BCE). However, although many sites from this culture are known, wood and/or charcoal analyses from such sites are scarcely available. Moreover, the focus of such analyses is often on the reconstruction of the former vegetation, while the possible selective use of wood for specific purposes is rarely investigated. Here, we present the results of a detailed charcoal analysis from the well-dated Early Neolithic site of Frydenlund in present-day Denmark. The charcoal assemblage from Frydenlund, complementing the available archaeobotanical and palynological data, indicates the presence and exploitation of deciduous woodland. Comparisons of the various samples and contexts indicate that the charcoal from all different types of archaeological contexts primarily represents secondarily deposited material. While the site only offers limited information about the possible selective use of wood, the outcomes offer a new, detailed insight into the site deposition processes at Frydenlund, highlighting the potential of archaeobotany, including wood analysis, that is of methodological relevance for the understanding of archaeological sites in any region and dating to any period. The assembl</w:t>
      </w:r>
    </w:p>
    <w:p>
      <w:pPr/>
      <w:r>
        <w:rPr>
          <w:b/>
        </w:rPr>
        <w:t>POSSIBLE 2025:</w:t>
      </w:r>
      <w:r>
        <w:t xml:space="preserve"> Suspected Sources of Infection and Transmission Factors Associated With Campylobacteriosis in Northern Portugal — https://doi.org/10.1111/zph.70015</w:t>
      </w:r>
    </w:p>
    <w:p>
      <w:pPr/>
      <w:r>
        <w:rPr>
          <w:b/>
        </w:rPr>
        <w:t>Shared claim-specific concepts:</w:t>
      </w:r>
      <w:r>
        <w:t xml:space="preserve"> northern, portugal, local, possible; EU scope visible. This is a provisional connection, not an outcome finding.</w:t>
      </w:r>
    </w:p>
    <w:p>
      <w:pPr>
        <w:pStyle w:val="SourceNote"/>
      </w:pPr>
      <w:r>
        <w:rPr>
          <w:b/>
        </w:rPr>
        <w:t>Available abstract (not full text):</w:t>
      </w:r>
      <w:r>
        <w:t xml:space="preserve"> INTRODUCTION: Campylobacteriosis is considered the most common bacterial cause of human gastroenteritis worldwide, with food being one of the main sources of infection. The occurrence of human campylobacteriosis, however, may differ between geographical areas and other factors. Our study aims to identify possible sources of Campylobacter infection in the Northern region of Portugal. METHODS: A cross-sectional study was conducted, including all laboratory-confirmed campylobacteriosis cases notified through the Portuguese epidemiological surveillance system (SINAVE) between 2015 and 2017. We analysed socio-demographic and exposure variables, including contact with other ill individuals, contact with animals, consumption of suspect food items, consumption of non-controlled water and travelling. RESULTS: A total of 683 confirmed campylobacteriosis cases were reported between 2015 and 2017 in the Northern region of Portugal, corresponding to a notification rate of 6.3 per 100,000 population. The median age was 2 years old (IQR 0.96-4.6); 58.3% were male. Close contact with animals was the most common exposure (50.2%), followed by consumption of non-controlled water (26.1%), suspect food consumption (13.8%) and contact with ill individuals (8.8%). Campylobacteriosis cases from the Tâmega e Sousa subregion were more frequently exposed to non-controlled water (46.0% vs. 26.1%) than in </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pStyle w:val="Heading2"/>
      </w:pPr>
      <w:r>
        <w:t>744.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2026:</w:t>
      </w:r>
      <w:r>
        <w:t xml:space="preserve"> Fluorescence testing of European beech in the Northern Podillia National Nature Park — https://doi.org/10.33730/2310-4678.1.2026.359979</w:t>
      </w:r>
    </w:p>
    <w:p>
      <w:pPr/>
      <w:r>
        <w:rPr>
          <w:b/>
        </w:rPr>
        <w:t>Shared claim-specific concepts:</w:t>
      </w:r>
      <w:r>
        <w:t xml:space="preserve"> test, potential, method; EU scope visible. This is a provisional connection, not an outcome finding.</w:t>
      </w:r>
    </w:p>
    <w:p>
      <w:pPr>
        <w:pStyle w:val="SourceNote"/>
      </w:pPr>
      <w:r>
        <w:rPr>
          <w:b/>
        </w:rPr>
        <w:t>Available abstract (not full text):</w:t>
      </w:r>
      <w:r>
        <w:t xml:space="preserve"> The fluorescent parameters of European beech (Fagus sylvatica L.) were investigated in forest communities of the Northern Podillia National Nature Park. The scientific and practical significance of analyzing fluorescent parameters for integrated monitoring of forest ecosystem condition is substantiated. The relevance of monitoring studies of dendroflora lies in establishing a baseline of environmental data to assess the state and dynamics of the park’s ecosystems. Reconnaissance surveys of forest stands were conducted, and fluorescence intensity was measured in trees of different age classes growing under diverse forest ecological conditions. Based on the numerical characteristics of fluorescence intensity dynamics, a tree vitality index and indicator parameters reflecting the influence of exogenous and endogenous factors were calculated. The highest vitality index values were recorded for old-growth trees, attributed to optimal light conditions and site characteristics. In contrast, understory saplings exhibited reduced vitality index values due to decreased light availability, reflecting a decline in the potential activity of the photosynthetic apparatus. Variations in the tree vitality index were observed across different site conditions. The observed decrease in vitality index values is associated with relatively lower soil fertility and water availability, reflecting stres</w:t>
      </w:r>
    </w:p>
    <w:p>
      <w:pPr/>
      <w:r>
        <w:rPr>
          <w:b/>
        </w:rPr>
        <w:t>POSSIBLE 2025:</w:t>
      </w:r>
      <w:r>
        <w:t xml:space="preserve"> Selenium in cancer management: exploring the therapeutic potential — https://doi.org/10.3389/fonc.2024.1490740</w:t>
      </w:r>
    </w:p>
    <w:p>
      <w:pPr/>
      <w:r>
        <w:rPr>
          <w:b/>
        </w:rPr>
        <w:t>Shared claim-specific concepts:</w:t>
      </w:r>
      <w:r>
        <w:t xml:space="preserve"> potential, exploring; EU scope not established. This is a provisional connection, not an outcome finding.</w:t>
      </w:r>
    </w:p>
    <w:p>
      <w:pPr>
        <w:pStyle w:val="SourceNote"/>
      </w:pPr>
      <w:r>
        <w:rPr>
          <w:b/>
        </w:rPr>
        <w:t>Available abstract (not full text):</w:t>
      </w:r>
      <w:r>
        <w:t xml:space="preserve"> Selenium (Se) is important and plays significant roles in many biological processes or physiological activities. Prolonged selenium deficiency has been conclusively linked to an elevated risk of various diseases, including but not limited to cancer, cardiovascular disease, inflammatory bowel disease, Keshan disease, and acquired immunodeficiency syndrome. The intricate relationship between selenium status and health outcomes is believed to be characterized by a non-linear U-shaped dose-response curve. This review delves into the significance of maintaining optimal selenium levels and the detrimental effects that can arise from selenium deficiency. Of particular interest is the important role that selenium plays in both prevention and treatment of cancer. Finally, this review also explores the diverse classes of selenium entities, encompassing selenoproteins, selenium compounds and selenium nanoparticles, while examining the mechanisms and molecular targets of their anticancer efficacy.</w:t>
      </w:r>
    </w:p>
    <w:p>
      <w:pPr/>
      <w:r>
        <w:rPr>
          <w:b/>
        </w:rPr>
        <w:t>POSSIBLE 2025:</w:t>
      </w:r>
      <w:r>
        <w:t xml:space="preserve"> Exploring the potential of computer simulation models in drug testing and biomedical research: a systematic review — https://doi.org/10.3389/fphar.2025.1644907</w:t>
      </w:r>
    </w:p>
    <w:p>
      <w:pPr/>
      <w:r>
        <w:rPr>
          <w:b/>
        </w:rPr>
        <w:t>Shared claim-specific concepts:</w:t>
      </w:r>
      <w:r>
        <w:t xml:space="preserve"> potential, exploring, capacity; EU scope not established. This is a provisional connection, not an outcome finding.</w:t>
      </w:r>
    </w:p>
    <w:p>
      <w:pPr>
        <w:pStyle w:val="SourceNote"/>
      </w:pPr>
      <w:r>
        <w:rPr>
          <w:b/>
        </w:rPr>
        <w:t>Available abstract (not full text):</w:t>
      </w:r>
      <w:r>
        <w:t xml:space="preserve"> Introduction: The growing limitations of animal models in drug testing and biomedical research, including ethical concerns, high costs, and poor translational relevance to human biology, have driven increasing interest in computational simulation models. These models encompass in silico approaches, pharmacokinetic/pharmacodynamic frameworks, molecular simulations, and organ-on-chip technologies, offering greater precision in replicating human physiological and pathological processes. Methods: A systematic review was conducted to examine the role of computational simulation models as alternatives to traditional animal-based research. Relevant literature on their applications, predictive accuracy, translational value, and alignment with ethical research practices was analyzed. Results: Computational models were found to bridge critical gaps in predictive accuracy and translational relevance, supporting drug development pipelines, reducing late-stage failures, and enhancing opportunities for personalized medicine. Additionally, their capacity to reduce reliance on animal models aligns with global ethical initiatives promoting humane and sustainable research practices. Discussion: Simulation-based approaches represent a transformative opportunity for biomedical research. While their potential to reshape drug development and improve health outcomes is evident, challenges such as sta</w:t>
      </w:r>
    </w:p>
    <w:p>
      <w:pPr/>
      <w:r>
        <w:rPr>
          <w:b/>
        </w:rPr>
        <w:t>POSSIBLE 2025:</w:t>
      </w:r>
      <w:r>
        <w:t xml:space="preserve"> Awareness of genomic testing among patients with breast cancer in Europe — https://doi.org/10.1016/j.breast.2025.104436</w:t>
      </w:r>
    </w:p>
    <w:p>
      <w:pPr/>
      <w:r>
        <w:rPr>
          <w:b/>
        </w:rPr>
        <w:t>Shared claim-specific concepts:</w:t>
      </w:r>
      <w:r>
        <w:t xml:space="preserve"> test, access, find; EU scope visible. This is a provisional connection, not an outcome finding.</w:t>
      </w:r>
    </w:p>
    <w:p>
      <w:pPr>
        <w:pStyle w:val="SourceNote"/>
      </w:pPr>
      <w:r>
        <w:rPr>
          <w:b/>
        </w:rPr>
        <w:t>Available abstract (not full text):</w:t>
      </w:r>
      <w:r>
        <w:t xml:space="preserve"> PURPOSE: Genomic testing, involving expression profiling of tumour tissue, is a powerful tool for determining appropriate treatments for certain cancer patients. This study aimed to evaluate awareness of genomic testing in breast cancer patients in five European countries. METHODS: The survey was initiated by Cancer Patients Europe and developed with patient associations, oncologists, and a psycho-oncologist. Participants were recruited via email and social media and completed a 42-question internet survey. RESULTS: Of 1383 participants in eligible countries completing the survey, 566 women with current or previous HR+/HER2- breast cancer, potentially eligible for genomic testing, were analysed. 245 (43.3 %) were aged 50-59 years and 381 (67.3 %) had received higher education. 238 participants (42.1 %) had heard about genomic testing; 122 (21.6 %) were informed of their eligibility for testing, and 104 (18.4 %) were given reasons for the test. The majority (N = 479; 84.6 %) felt they lacked sufficient information to decide, and only 139 (24.6 %) opted for testing. Overall, 246 (43.5 %) wanted more information on additional testing and 234 (41.3 %) wanted more information on treatment options. The main information sources were medical professionals (N = 363; 64.1 %) and the internet (N = 351; 62.0 %). However, 398 participants (70.3 %) indicated that their healthcare professiona</w:t>
      </w:r>
    </w:p>
    <w:p>
      <w:pPr/>
      <w:r>
        <w:rPr>
          <w:b/>
        </w:rPr>
        <w:t>POSSIBLE 2025:</w:t>
      </w:r>
      <w:r>
        <w:t xml:space="preserve"> Evaluation of the unregulated online kratom market in two east-central European countries: test purchase and analysis of potential toxicological consequences — https://doi.org/10.1186/s12954-025-01363-0</w:t>
      </w:r>
    </w:p>
    <w:p>
      <w:pPr/>
      <w:r>
        <w:rPr>
          <w:b/>
        </w:rPr>
        <w:t>Shared claim-specific concepts:</w:t>
      </w:r>
      <w:r>
        <w:t xml:space="preserve"> test, potential; EU scope visible. This is a provisional connection, not an outcome finding.</w:t>
      </w:r>
    </w:p>
    <w:p>
      <w:pPr>
        <w:pStyle w:val="SourceNote"/>
      </w:pPr>
      <w:r>
        <w:rPr>
          <w:b/>
        </w:rPr>
        <w:t>Available abstract (not full text):</w:t>
      </w:r>
      <w:r>
        <w:t xml:space="preserve"> BACKGROUND: As interest in human enhancement continues to rise in Europe, kratom (Mitragyna speciosa) products have raised significant public health concerns. Kratom, which is used for its dose-dependent stimulant and sedative effects, has grown in popularity to enhance mood and self-manage pain or opioid withdrawal symptoms. This study aimed to assess the East-Central European online kratom market, evaluate product quality, and analyze potential toxicological risks to inform evidence-based harm reduction strategies. METHODS: A comprehensive approach was employed, including online market surveillance, detailed content analysis of vendor websites, test purchase of products, followed by chemical analysis. Google search engine results were used to identify vendors shipping to Hungary. A total of 59 web shops were identified, and 25 distributors were selected for further analysis. Eight online sellers were included in test purchases. Mitragynine content was analyzed using supercritical fluid chromatography coupled with tandem mass spectrometry (SFC-MS/MS) and high-performance liquid chromatography with diode-array detection (HPLC-DAD). Toxicovigilance data were extracted from the United States Food and Drug Administration Adverse Event Reporting System (FAERS) and the Center for Food Safety and Applied Nutrition Adverse Event Reporting System (CAERS). RESULTS: The online kratom mar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pStyle w:val="Heading2"/>
      </w:pPr>
      <w:r>
        <w:t>745.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2026:</w:t>
      </w:r>
      <w:r>
        <w:t xml:space="preserve"> A support vector regression-based prediction model for offshore broadcasting signal propagation — https://doi.org/10.3389/fmars.2026.1791191</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Broadcasting plays an important role in offshore information transmission because of its stability and long-distance propagation characteristics. To improve propagation prediction in the offshore environment of the South China Sea, this study proposes a path loss prediction model based on Support Vector Regression and verifies the performance with measurement data. Compared with ITU-R P.1546, the proposed model achieves an improvement in prediction accuracy of up to 55.50%. The findings of this research can help to give a clearer understanding of the path loss characteristics of the Frequency Modulation broadcasting signal in the offshore environment, which provides a more reliable foundation for radio wave transmission in offshore environments.</w:t>
      </w:r>
    </w:p>
    <w:p>
      <w:pPr/>
      <w:r>
        <w:rPr>
          <w:b/>
        </w:rPr>
        <w:t>POSSIBLE 2026:</w:t>
      </w:r>
      <w:r>
        <w:t xml:space="preserve"> Hybrid Machine Learning Approach for Diabetes Prediction and Healthcare Decision Support — https://doi.org/10.25258/ijddt.16.37s.58</w:t>
      </w:r>
    </w:p>
    <w:p>
      <w:pPr/>
      <w:r>
        <w:rPr>
          <w:b/>
        </w:rPr>
        <w:t>Shared claim-specific concepts:</w:t>
      </w:r>
      <w:r>
        <w:t xml:space="preserve"> prediction, findings, support, but; EU scope not established. This is a provisional connection, not an outcome finding.</w:t>
      </w:r>
    </w:p>
    <w:p>
      <w:pPr>
        <w:pStyle w:val="SourceNote"/>
      </w:pPr>
      <w:r>
        <w:rPr>
          <w:b/>
        </w:rPr>
        <w:t>Available abstract (not full text):</w:t>
      </w:r>
      <w:r>
        <w:t xml:space="preserve"> Elevated glucose levels in the blood can lead to diabetes, a condition characterized by symptoms such as frequent urination, excessive thirst, and increased hunger. Timely management of diabetes is essential to prevent serious complications affecting vital organs including the heart, kidneys, blood vessels, and eyes.Predictive analytics using large healthcare datasets presents challenges but offers valuable support for medical Predictive analytics using large healthcare datasets presents challenges but offers valuable support for medical informed and timely decisions about patient care. This study evaluates various machine learning classification techniques— such as Support Vector Machine (SVM), K-Nearest Neighbors (KNN), Logistic Regression, and Random Forest—for diabetes prediction. Key performance indicators, including Recall, F1Score, Precision, and Accuracy, were measured based on the confusion matrix. Experimental findings indicate that SVM and ontology-based classifiers achieve superior accuracy in predicting diabetes compared to other methods.</w:t>
      </w:r>
    </w:p>
    <w:p>
      <w:pPr/>
      <w:r>
        <w:rPr>
          <w:b/>
        </w:rPr>
        <w:t>POSSIBLE 2026:</w:t>
      </w:r>
      <w:r>
        <w:t xml:space="preserve"> Generative Artificial Intelligence for Diabetes Mellitus Prediction and Intelligent Clinical Decision Support — https://doi.org/10.47957/ijpda.v14i3.751</w:t>
      </w:r>
    </w:p>
    <w:p>
      <w:pPr/>
      <w:r>
        <w:rPr>
          <w:b/>
        </w:rPr>
        <w:t>Shared claim-specific concepts:</w:t>
      </w:r>
      <w:r>
        <w:t xml:space="preserve"> prediction, findings, support, only, but; EU scope not established. This is a provisional connection, not an outcome finding.</w:t>
      </w:r>
    </w:p>
    <w:p>
      <w:pPr>
        <w:pStyle w:val="SourceNote"/>
      </w:pPr>
      <w:r>
        <w:rPr>
          <w:b/>
        </w:rPr>
        <w:t>Available abstract (not full text):</w:t>
      </w:r>
      <w:r>
        <w:t xml:space="preserve"> Diabetes mellitus is a major chronic metabolic disorder characterized by persistent dysregulation of blood glucose and progressive cardiovascular, renal, neurological, and ophthalmic complications. The global prevalence of diabetes has increased substantially, reaching approximately 14% among adults in 2022, with nearly 830 million people living with the disease. The rapid expansion of electronic health records, continuous glucose monitoring, laboratory databases, medical imaging, wearable technologies, and patient-generated health data has created opportunities for artificial intelligence (AI)-based diabetes prediction and clinical decision support. Conventional machine learning models demonstrate potential for diabetes detection and complication prediction; however, challenges remain regarding heterogeneous datasets, external validation, calibration, dataset shift, interpretability, and clinical implementation. This study proposes a systematic framework integrating generative AI, particularly large language models (LLMs), with validated predictive models for diabetes risk assessment and intelligent clinical decision support. A secondary evidence-synthesis approach was used, integrating findings from systematic reviews, clinical trials, diabetes technology research, and recent LLM literature. Evidence indicates that only 36% of evaluated machine learning models for diabetes co</w:t>
      </w:r>
    </w:p>
    <w:p>
      <w:pPr/>
      <w:r>
        <w:rPr>
          <w:b/>
        </w:rPr>
        <w:t>POSSIBLE 2026:</w:t>
      </w:r>
      <w:r>
        <w:t xml:space="preserve"> Prediction Facilitates Perception Through Efficient Use of Predictable Information — https://doi.org/10.57760/sciencedb.014pv</w:t>
      </w:r>
    </w:p>
    <w:p>
      <w:pPr/>
      <w:r>
        <w:rPr>
          <w:b/>
        </w:rPr>
        <w:t>Shared claim-specific concepts:</w:t>
      </w:r>
      <w:r>
        <w:t xml:space="preserve"> prediction, findings, use, also; EU scope not established. This is a provisional connection, not an outcome finding.</w:t>
      </w:r>
    </w:p>
    <w:p>
      <w:pPr>
        <w:pStyle w:val="SourceNote"/>
      </w:pPr>
      <w:r>
        <w:rPr>
          <w:b/>
        </w:rPr>
        <w:t>Available abstract (not full text):</w:t>
      </w:r>
      <w:r>
        <w:t xml:space="preserve"> This repository contains the behavioral data and analysis code supporting the findings reported in the manuscript “Prediction Facilitates Perception Through Efficient Use of Predictable Information.” The dataset includes behavioral data from two preregistered experiments examining the effects of predictive category cues on orientation categorization, orientation reconstruction, and orientation discrimination. The repository also includes the code used to preprocess and analyze the behavioral data and generate the reported statistical results and figures.</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pStyle w:val="Heading2"/>
      </w:pPr>
      <w:r>
        <w:t>746.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2026:</w:t>
      </w:r>
      <w:r>
        <w:t xml:space="preserve"> Case Study: The BBC's Recommendations Team — https://doi.org/10.6084/m9.figshare.31869499</w:t>
      </w:r>
    </w:p>
    <w:p>
      <w:pPr/>
      <w:r>
        <w:rPr>
          <w:b/>
        </w:rPr>
        <w:t>Shared claim-specific concepts:</w:t>
      </w:r>
      <w:r>
        <w:t xml:space="preserve"> case, recommendations, work; EU scope not established. This is a provisional connection, not an outcome finding.</w:t>
      </w:r>
    </w:p>
    <w:p>
      <w:pPr>
        <w:pStyle w:val="SourceNote"/>
      </w:pPr>
      <w:r>
        <w:rPr>
          <w:b/>
        </w:rPr>
        <w:t>Available abstract (not full text):</w:t>
      </w:r>
      <w:r>
        <w:t xml:space="preserve"> This dataset pertains to research data collected at the BBC with the Recommendations Team from September 2023 to February 2024. The data includes fieldnotes from observations during the daily work of developing recommender systems, interviews (audio files and transcriptions) with members of the team, and notes from two workshops conducted with the team.</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pStyle w:val="Heading2"/>
      </w:pPr>
      <w:r>
        <w:t>747.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2026:</w:t>
      </w:r>
      <w:r>
        <w:t xml:space="preserve"> Manifestos and manifestations: The role of a solar designer — https://doi.org/10.1016/j.yjoc.2026.100131</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What does it mean to be a solar designer? The article builds upon earlier work encompassing a 4-year study on the role of a solar designer, and offers further artistic and methodological explorations to re-define what it means to be a solar designer today. I autoethnographically explore what it means to be a solar designer through artistic material making at the world’s first Solar Biennale, conduct 10 micro-phenomenological interviews with solar experts from different fields of expertise, as well as conduct a workshop with 15 high school students as part of an Agenda 2030 exhibition at [anonymised]. These designerly explorations, synthesised through an overarching framework of Relational Design, offer an updated perspective on what it means to be a solar designer – a necessary endeavour as part of an ongoing and evolving sustainable societal transformation. The updated visual taxonomy is offered as a guide to future solar designers and solar design researchers who are interested in a design-as-relationship-building approach, consisting of three key layers: The Embodied Self, Space &amp; Technology, and Embedded &amp; Ecological Relations . The article culminates in a discussion that expands and challenges these three key layers vis-à-vis discourses on sustainability, ethics, and relationality.</w:t>
      </w:r>
    </w:p>
    <w:p>
      <w:pPr/>
      <w:r>
        <w:rPr>
          <w:b/>
        </w:rPr>
        <w:t>POSSIBLE 2024:</w:t>
      </w:r>
      <w:r>
        <w:t xml:space="preserve"> The Designers’ Perspective on Autonomous Mining Systems and Sociotechnology — https://doi.org/10.1007/s42461-024-00952-0</w:t>
      </w:r>
    </w:p>
    <w:p>
      <w:pPr/>
      <w:r>
        <w:rPr>
          <w:b/>
        </w:rPr>
        <w:t>Shared claim-specific concepts:</w:t>
      </w:r>
      <w:r>
        <w:t xml:space="preserve"> increase, designers, work; EU scope visible. This is a provisional connection, not an outcome finding.</w:t>
      </w:r>
    </w:p>
    <w:p>
      <w:pPr>
        <w:pStyle w:val="SourceNote"/>
      </w:pPr>
      <w:r>
        <w:rPr>
          <w:b/>
        </w:rPr>
        <w:t>Available abstract (not full text):</w:t>
      </w:r>
      <w:r>
        <w:t xml:space="preserve"> Abstract Digitalization and automation technology offer new possibilities to increase productivity and obtain higher levels of autonomy in mining operations. Introducing autonomous systems into mining is not only a technical problem in terms of effectiveness and efficiency, nor a problem of safety in human-automation interactions. The systems also need to be designed and developed so that they foster healthy and attractive working environments. The design and development phase of new mining technology has not been extensively studied previously. To fill this knowledge gap, we investigated technology developers’ basic assumptions about humans and their interactions with the technology they develop. We conducted five semi-structured workshops within an EU funded project concerned with developing digitalization and automation solutions for the mining industry. The data suggests that many critical functions will still be under human control in future mining systems. The results also indicate increased complexity in the interaction between autonomous systems and humans as the technology becomes more advanced. As a result, we suggest that a human perspective, based on sociotechnical principles, should not only be considered in implementing the technology at mines but also in the early conceptual phases of developing and designing the technology. This will ensure healthy and attractiv</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2023:</w:t>
      </w:r>
      <w:r>
        <w:t xml:space="preserve"> DIFFERENCES IN ANALOGICAL SOURCE SELECTIONS BETWEEN DESIGNERS AND NON-DESIGNERS DURING THE COLLABORATIVE ANALOGICAL DESIGN PROCESS — https://doi.org/10.1017/pds.2023.149</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The selection of an analogical source is a critical step in the design-by-analogy process. Previous researchers have explored the reasons and preferences of individual designers or design teams in selecting analogical sources. Non-designers, who instead have more knowledge of other fields, may offer new possibilities for retrieving novel analogical sources. This study focuses on differences in the selection of analogical sources between collaborative design teams composed of designers and nondesigners. There are indeed significant differences in the selection of the source type, the reasons for selecting the source, the level of abstraction in inspiration stimuli, and the novelty of design ideas between designers and non-designers. This work may provide theoretical guidance for the development of collaborative design tools and methods for teams composed of designers and non-designers with different knowledge bases.</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2022:</w:t>
      </w:r>
      <w:r>
        <w:t xml:space="preserve"> Older adults as designers of behavior change strategies to increase physical activity—Report of a participatory design process — https://doi.org/10.3389/fpubh.2022.988470</w:t>
      </w:r>
    </w:p>
    <w:p>
      <w:pPr/>
      <w:r>
        <w:rPr>
          <w:b/>
        </w:rPr>
        <w:t>Shared claim-specific concepts:</w:t>
      </w:r>
      <w:r>
        <w:t xml:space="preserve"> increase, designers, different; EU scope not established. This is a provisional connection, not an outcome finding.</w:t>
      </w:r>
    </w:p>
    <w:p>
      <w:pPr>
        <w:pStyle w:val="SourceNote"/>
      </w:pPr>
      <w:r>
        <w:rPr>
          <w:b/>
        </w:rPr>
        <w:t>Available abstract (not full text):</w:t>
      </w:r>
      <w:r>
        <w:t xml:space="preserve"> Background: Despite the significant value of physical activity for the health of older adults, this population often fails to achieve recommended activity levels. Digital interventions show promise in providing support for self-managed physical activity. However, more information is needed about older adults' preferences for digital support to change physical activity behaviors as well as the process of designing them. The aim of this paper was to describe the participatory design process in which older adults were involved in the co-creation of digitally supported behavioral change strategies to support self-managed physical activity, and how the results were integrated in a prototype. Methods: The participatory design process involved with nine older adults and two researchers. The participants were divided in two groups, and each group participated in three workshops and completed home tasks in between workshops. Following an iterative design process influenced by theories of behavior change, the workshops and home tasks were continuously analyzed, and the content and process were developed between groups and the next set of workshops. Prototypes of a mobile health (mHealth) solution for fall preventive exercise for older adults were developed in which the conceptualized strategies were integrated. To support coherence in reporting and evaluation, the developed techniques we</w:t>
      </w:r>
    </w:p>
    <w:p>
      <w:pPr>
        <w:pStyle w:val="Heading2"/>
      </w:pPr>
      <w:r>
        <w:t>748.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Diversity-in-a-dish: A practical framework for hiPSC model development — https://doi.org/10.1016/j.stemcr.2026.102858</w:t>
      </w:r>
    </w:p>
    <w:p>
      <w:pPr/>
      <w:r>
        <w:rPr>
          <w:b/>
        </w:rPr>
        <w:t>Shared claim-specific concepts:</w:t>
      </w:r>
      <w:r>
        <w:t xml:space="preserve"> practical, implications, framework, basis; EU scope not established. This is a provisional connection, not an outcome finding.</w:t>
      </w:r>
    </w:p>
    <w:p>
      <w:pPr>
        <w:pStyle w:val="SourceNote"/>
      </w:pPr>
      <w:r>
        <w:rPr>
          <w:b/>
        </w:rPr>
        <w:t>Available abstract (not full text):</w:t>
      </w:r>
      <w:r>
        <w:t xml:space="preserve"> Human induced pluripotent stem cell (hiPSC) models inherit genetic and phenotypic variation from their donors that can influence differentiation, function, and disease phenotypes, with implications for model validity and generalizability. While diversity is widely discussed in biomedical research and extensively theorized in fields like genomics, comparable guidance remains limited in hiPSC research. Effectively, diversity-related decisions are often made implicitly without clear criteria for when inclusion is methodologically warranted. We address this by (1) analyzing how diversity is defined and operationalized in (pre)clinical research, (2) extending genomics frameworks to outline stem cell-specific recommendations for describing and reporting diversity, and (3) introducing a decision framework based on four criteria (experimental purpose, biological plausibility, platform readiness, and statistical power) to determine when and how diversity should be incorporated. The overall goal is to establish a shared basis for transparent and reproducible diversity-related design and reporting.</w:t>
      </w:r>
    </w:p>
    <w:p>
      <w:pPr/>
      <w:r>
        <w:rPr>
          <w:b/>
        </w:rPr>
        <w:t>POSSIBLE 2026:</w:t>
      </w:r>
      <w:r>
        <w:t xml:space="preserve"> Cyprus’ Approach to the Digital Services Act: Harmonisation, Enforcement, and Practical Implications — https://doi.org/10.3390/laws15020030</w:t>
      </w:r>
    </w:p>
    <w:p>
      <w:pPr/>
      <w:r>
        <w:rPr>
          <w:b/>
        </w:rPr>
        <w:t>Shared claim-specific concepts:</w:t>
      </w:r>
      <w:r>
        <w:t xml:space="preserve"> practical, implications, framework; EU scope visible. This is a provisional connection, not an outcome finding.</w:t>
      </w:r>
    </w:p>
    <w:p>
      <w:pPr>
        <w:pStyle w:val="SourceNote"/>
      </w:pPr>
      <w:r>
        <w:rPr>
          <w:b/>
        </w:rPr>
        <w:t>Available abstract (not full text):</w:t>
      </w:r>
      <w:r>
        <w:t xml:space="preserve"> The Digital Services Act (DSA) represents a landmark regulatory context aiming to secure a safer, trusted and more transparent digital environment. While the DSA establishes a harmonised regulatory framework for intermediary services across the EU, it significantly relies on national regulatory authorities for effective implementation. This article examines the implementation of the DSA in Cyprus and discusses the national legal framework adopted through primary and secondary legislation. It analyses the powers, legally mandated tasks, rights, and obligations of the digital services coordinator in Cyprus including its supervisory, investigatory, and enforcement competences as well as the sanctioning mechanisms. This article provides a comprehensive legal analysis of the coordinator’s operation and contributes to the academic debate on the national implementation of the DSA as a horizontal legal tool of intermediary services and digital platforms accessed by European citizens.</w:t>
      </w:r>
    </w:p>
    <w:p>
      <w:pPr/>
      <w:r>
        <w:rPr>
          <w:b/>
        </w:rPr>
        <w:t>POSSIBLE 2026:</w:t>
      </w:r>
      <w:r>
        <w:t xml:space="preserve"> A regulatory framework for art trade in the European union — https://openalex.org/W7161219836</w:t>
      </w:r>
    </w:p>
    <w:p>
      <w:pPr/>
      <w:r>
        <w:rPr>
          <w:b/>
        </w:rPr>
        <w:t>Shared claim-specific concepts:</w:t>
      </w:r>
      <w:r>
        <w:t xml:space="preserve"> adequate, framework; EU scope visible. This is a provisional connection, not an outcome finding.</w:t>
      </w:r>
    </w:p>
    <w:p>
      <w:pPr>
        <w:pStyle w:val="SourceNote"/>
      </w:pPr>
      <w:r>
        <w:rPr>
          <w:b/>
        </w:rPr>
        <w:t>Available abstract (not full text):</w:t>
      </w:r>
      <w:r>
        <w:t xml:space="preserve"> This thesis examines the regulatory framework applied to sales and acquisitions of cultural goods, especially artworks, within the European Union. The study is motivated by the growing economic significance of the art market and its increasing exposure to criminal misuse, including money laundering, illicit trafficking and terrorist financing. Special emphasis is placed on recently adopted EU legislation, the Fifth Anti-Money Laundering Directive and Regulation 2019/880 on the import of cultural goods, which mark a transition to a more coherent and preventative regulatory regime. The research addresses four central questions: how the art market is regulated in the EU, to which crimes it is particularly vulnerable, whether the current regulatory framework is effective, and how it could be further developed. Using a non-doctrinal approach, the thesis systemises the applicable EU legislative framework and demonstrates that the art market’s structural characteristics, including the portability of artworks, ambiguous valuation practices and historically fragmented oversight, create vulnerabilities to criminal exploitation. The thesis concludes that while the Union framework is now more comprehensive and better suited to identify risks, the regulatory effectiveness remains dependent on consistent implementation across Member States, adequate enforcement capacity and meaningful cooper</w:t>
      </w:r>
    </w:p>
    <w:p>
      <w:pPr/>
      <w:r>
        <w:rPr>
          <w:b/>
        </w:rPr>
        <w:t>POSSIBLE 2026:</w:t>
      </w:r>
      <w:r>
        <w:t xml:space="preserve"> On prenatal attachment – theory, empirical verification and practical implications — https://doi.org/10.71358/pw.1834</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Pregnancy is a complex and special time in the life of a woman and parents-to-be. The changes that occur in a woman's body are evident not only at the biological level, but also affect her social life and have important psychological implications. The process of adapting the attachment theory pioneered by John Bowlby to the framework of prenatal psychology has been underway for many years, resulting in the development of theories on prenatal attachment. Prenatal attachment is described as an emotional bond between a prospective parent and the developing fetus, which is formed during pregnancy and can find its manifestations in a wide range of behavior on the part of the parents. Prenatal attachment theory takes into account both affective and behavioral aspects and can thus play a key role in preparing future parents for their role. Studies have shown that the level of prenatal attachment can be influenced by factors such as the quality of the parental relationship, previous experiences and social support. The purpose of this article is to systematize the current state of scientific knowledge on the construct of prenatal attachment in terms of both theoretical context, empirical verification, its practical implications and the prospects for future research, which can thus provide a starting point for further research, as well as planning appropriate interventions that can stren</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pStyle w:val="Heading2"/>
      </w:pPr>
      <w:r>
        <w:t>749.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750.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2026:</w:t>
      </w:r>
      <w:r>
        <w:t xml:space="preserve"> Carbon emissions of a public engagement event: The case of Sharper European researchers' night — https://doi.org/10.1016/j.cesys.2026.100429</w:t>
      </w:r>
    </w:p>
    <w:p>
      <w:pPr/>
      <w:r>
        <w:rPr>
          <w:b/>
        </w:rPr>
        <w:t>Shared claim-specific concepts:</w:t>
      </w:r>
      <w:r>
        <w:t xml:space="preserve"> reduce, greenhouse, gas, emissions, compared, energy; EU scope visible. This is a provisional connection, not an outcome finding.</w:t>
      </w:r>
    </w:p>
    <w:p>
      <w:pPr>
        <w:pStyle w:val="SourceNote"/>
      </w:pPr>
      <w:r>
        <w:rPr>
          <w:b/>
        </w:rPr>
        <w:t>Available abstract (not full text):</w:t>
      </w:r>
      <w:r>
        <w:t xml:space="preserve"> Aiming to set sustainability benchmarks for university events, this research assesses the carbon footprint of an annual academic initiative in Italy, quantifying the impact of connecting science and society through Life Cycle Assessment. Primary data were collected on organization management, participant travel, and waste from the "European Researchers’ Night - Sharper" in Perugia. Transportation accounted for 85% of total greenhouse gas emissions, primarily due to individual displacement, while energy and materials contributed minimally. The Sharper has a low-carbon-emissions profile compared to events explored in literature. Findings highlight the importance of travel management in a context where infrastructure and cultural habits impacts on local mobility, possible benefits of centralized or hybrid formats, although energy use for large-scale digital participation remains a consideration. Recommendations include integrating better policies for public transportation and sharing mobility to reduce impacts and using energy-efficient digital tools. This work contributes to sustainable event management and encourages academic institutions to adopt green practices in their public engagement activities, advancing beyond sustainable campus initiatives, supporting a transition towards low-carbon events.</w:t>
      </w:r>
    </w:p>
    <w:p>
      <w:pPr/>
      <w:r>
        <w:rPr>
          <w:b/>
        </w:rPr>
        <w:t>POSSIBLE 2026:</w:t>
      </w:r>
      <w:r>
        <w:t xml:space="preserve"> The Determinants of Greenhouse Gas Emissions (GHE) in European Economies — https://doi.org/10.2478/picbe-2026-0132</w:t>
      </w:r>
    </w:p>
    <w:p>
      <w:pPr/>
      <w:r>
        <w:rPr>
          <w:b/>
        </w:rPr>
        <w:t>Shared claim-specific concepts:</w:t>
      </w:r>
      <w:r>
        <w:t xml:space="preserve"> aims, greenhouse, gas, emissions, reduction, increase;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pStyle w:val="Heading2"/>
      </w:pPr>
      <w:r>
        <w:t>751.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industry, especially, chain;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2025:</w:t>
      </w:r>
      <w:r>
        <w:t xml:space="preserve"> Drivers and Preferences of European Farmers for Agri-Environmental Public Goods Schemes: A Two-Stage Analysis — https://doi.org/10.1016/j.jnc.2025.126912</w:t>
      </w:r>
    </w:p>
    <w:p>
      <w:pPr/>
      <w:r>
        <w:rPr>
          <w:b/>
        </w:rPr>
        <w:t>Shared claim-specific concepts:</w:t>
      </w:r>
      <w:r>
        <w:t xml:space="preserve"> farmers, different, climate; EU scope visible. This is a provisional connection, not an outcome finding.</w:t>
      </w:r>
    </w:p>
    <w:p>
      <w:pPr>
        <w:pStyle w:val="SourceNote"/>
      </w:pPr>
      <w:r>
        <w:rPr>
          <w:b/>
        </w:rPr>
        <w:t>Available abstract (not full text):</w:t>
      </w:r>
      <w:r>
        <w:t xml:space="preserve"> • Shorter AES contracts are preferred, with aversion to long-term commitments. • High administrative burdens reduce land enrolled in agri-environment schemes. • Farmers with a successor commit more land to AES, reducing enrolment uncertainty. • Past AES experience affects contract choice and land allocation decisions. • Position ordering weakly influences preferences for contract duration and admin burden. The new Common Agriculture Policy (CAP) intends to give more freedom to countries to manage their budget while increasing funding for income support and provisioning of climate public goods from agriculture and farming. For the past 20 years this has been operationalised through incentivising farmers’ contract participation in agri-environmental schemes (AES). In this paper we examine through a two-stage approach, farmer preferences for contract characteristics in a multi-European country Discrete Choice Experiment (DCE) and the determinants of land enrolment in contracts. Overall, we find that longer contracts and high administrative burden decrease the probability of enrolling in a contract over the base levels while shorter contract length and provisioning of advisory support are desirable. Amongst all available contract options, converting arable to grassland options was by far the one that participants asked the most compensation for, across countries. We also find that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pStyle w:val="Heading2"/>
      </w:pPr>
      <w:r>
        <w:t>752.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2025:</w:t>
      </w:r>
      <w:r>
        <w:t xml:space="preserve"> History of sustainable finance regulation: the European Odyssey — https://doi.org/10.1108/jfrc-11-2024-0226</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Purpose This paper provides a comprehensive overview of the concept of sustainable finance in the European framework to contribute to the clarification of the term, to promote the understanding of the evolution of the phenomenon by presenting the main milestones in chronological sense and to present a matrix of regulatory interrelation to locate patterns of convergence, regulatory gaps and show feedback between actors. Although the origins of the concept date back to the 1960s, the term has become topical with the emergence of environmental, social and governance (ESG) responsibilities in the business world. Design/methodology/approach This study is framed in the field of legal historiography to understand the contemporary phenomenon of sustainability. To this end, in line with the approach of authors such as Paradisi (1973) or de Diego (1974), the evolution of European regulations and their documentation in the field of sustainable finance regulation since the 1960s is studied, to know the influence of standards in corporate contexts and vice versa, and to contribute to the promotion of reflective criticism of legal thought. Findings The complexity of the concept of financial sustainability is highlighted from a legal point of view with the growing and complex regulations issued by different European bodies and commissions. This paper aims to clarify the concept, for its prope</w:t>
      </w:r>
    </w:p>
    <w:p>
      <w:pPr/>
      <w:r>
        <w:rPr>
          <w:b/>
        </w:rPr>
        <w:t>POSSIBLE 2024:</w:t>
      </w:r>
      <w:r>
        <w:t xml:space="preserve"> The Path to a Sustainable Energy Europe: An Analysis of the Transition from Fossil Fuels to Renewable Energy — https://doi.org/10.37075/bjiep.2023.2.01</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study is to investigate the application of predictive analytics techniques in the energy field and to identify strategies to stimulate renewable energy production. The analysis begins by examining four key indicators: renewable energy, gas price, gas consumption and renewable energy consumption through a detailed descriptive analysis. Visual graphs are built to get an overview of the evolution of the energy sector in the period 2011-2020 with the help of Tableau software. The analysis is supported by the use of the Random Forest algorithm as a prediction model, considering critical indicators such as gas price, gas consumption and renewable energy consumption. The prediction results provide insight into anticipating changes in renewable energy production in the European countries studied. At the same time, the study highlights the current situation of renewable energy in Europe and identifies the necessary measures for its sustainable development through the analysis of specialized literature. It also examines the way in which big data management, facilitated by technologies such as smart meters and drone sensors, can help improve the energy sector. This research offers valuable results, providing insights into the evolution of renewable and fossil energy, as well as a detailed comparison of renewable energy, gas prices, gas consumption and trends in re</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2023:</w:t>
      </w:r>
      <w:r>
        <w:t xml:space="preserve"> Anticipating food price crises by reservoir computing — https://doi.org/10.1016/j.chaos.2023.113854</w:t>
      </w:r>
    </w:p>
    <w:p>
      <w:pPr/>
      <w:r>
        <w:rPr>
          <w:b/>
        </w:rPr>
        <w:t>Shared claim-specific concepts:</w:t>
      </w:r>
      <w:r>
        <w:t xml:space="preserve"> purpose, anticipate, trends; EU scope not established. This is a provisional connection, not an outcome finding.</w:t>
      </w:r>
    </w:p>
    <w:p>
      <w:pPr>
        <w:pStyle w:val="SourceNote"/>
      </w:pPr>
      <w:r>
        <w:rPr>
          <w:b/>
        </w:rPr>
        <w:t>Available abstract (not full text):</w:t>
      </w:r>
      <w:r>
        <w:t xml:space="preserve"> Anticipating price crises in the market of agri-commodities is critical to guarantee both the sustainability of the food system and to ensure food security. However, this is not an easy task, since the problem implies analyzing small and very volatile time series, which are highly influenced by external factors. In this paper, we show that suitable reservoir computing algorithms can be developed that outperform traditional approaches, by reducing the Mean Absolute Error and, more importantly, increasing the Market Direction Accuracy. For this purpose, the applicability of five variants of such method to forecast this market is explored, and their performance evaluated by comparing the results with those obtained with the standard LSTM and SARIMA benchmarks. We conclude that decomposing the time series and modeling each component with a separate RCis essential to successfully anticipate price trends, and that this method works even in the complex changing temporal scenario of the Covid-19 pandemic, when part of the data were collected.</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2022:</w:t>
      </w:r>
      <w:r>
        <w:t xml:space="preserve"> Potential impact of four invasive alien plants on the provision of ecosystem services in Europe under present and future climatic scenarios — https://doi.org/10.1016/j.ecoser.2022.101459</w:t>
      </w:r>
    </w:p>
    <w:p>
      <w:pPr/>
      <w:r>
        <w:rPr>
          <w:b/>
        </w:rPr>
        <w:t>Shared claim-specific concepts:</w:t>
      </w:r>
      <w:r>
        <w:t xml:space="preserve"> anticipate, main, trends; EU scope visible. This is a provisional connection, not an outcome finding.</w:t>
      </w:r>
    </w:p>
    <w:p>
      <w:pPr>
        <w:pStyle w:val="SourceNote"/>
      </w:pPr>
      <w:r>
        <w:rPr>
          <w:b/>
        </w:rPr>
        <w:t>Available abstract (not full text):</w:t>
      </w:r>
      <w:r>
        <w:t xml:space="preserve"> Invasive alien species (IAS) are one of the main threats to biodiversity conservation, with significant socio-economic and ecological impacts as they disrupt ecosystem services and compromise human well-being. Global change may exacerbate the impacts of IAS, since rising temperatures and human activities favour their introduction and range expansion. Therefore, anticipating the impacts of biological invasions is crucial to support decision-making for their management. In this work, the potential impacts of four invasive alien plant species: Ailanthus altissima, Baccharis halimifolia, Impatiens glandulifera and Pueraria montana, on the provision of three ecosystem services in Europe were evaluated under current and future climate change scenarios. Using a risk analysis protocol, we determined that the most affected services are food provisioning, soil erosion regulation and the maintenance of biological diversity. To evaluate future impacts, species distribution models were calibrated using bioclimatic, environmental and human impact variables. We found that most of continental Europe is suitable for the establishment of A. altissima, B. halimifolia and I. glandulifera, while the potential distribution of P. montana is more limited. Models anticipate a shift in the distribution range for the species towards the north and east of Europe under future scenarios. Bivariate analysis </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r>
        <w:rPr>
          <w:b/>
        </w:rPr>
        <w:t>POSSIBLE 2019:</w:t>
      </w:r>
      <w:r>
        <w:t xml:space="preserve"> Welfare-aligned Sentience: Enhanced Capacities to Experience, Interact, Anticipate, Choose and Survive — https://doi.org/10.3390/ani9070440</w:t>
      </w:r>
    </w:p>
    <w:p>
      <w:pPr/>
      <w:r>
        <w:rPr>
          <w:b/>
        </w:rPr>
        <w:t>Shared claim-specific concepts:</w:t>
      </w:r>
      <w:r>
        <w:t xml:space="preserve"> purpose, anticipate, enable; EU scope not established. This is a provisional connection, not an outcome finding.</w:t>
      </w:r>
    </w:p>
    <w:p>
      <w:pPr>
        <w:pStyle w:val="SourceNote"/>
      </w:pPr>
      <w:r>
        <w:rPr>
          <w:b/>
        </w:rPr>
        <w:t>Available abstract (not full text):</w:t>
      </w:r>
      <w:r>
        <w:t xml:space="preserve"> The focus of this opinion is on the key features of sentience in animals which can experience different states of welfare, encapsulated by the new term 'welfare-aligned sentience'. This term is intended to exclude potential forms of sentience that do not enable animals in some taxa to have the subjective experiences which underlie different welfare states. As the scientific understanding of key features of sentience has increased markedly during the last 10 to 15 years, a major purpose here is to provide up-to-date information regarding those features. Eleven interconnected statements about sentience-associated body functions and behaviour are therefore presented and explained briefly. These statements are sequenced to provide progressively more information about key scientifically-supported attributes of welfare-aligned sentience, leading, in their entirety, to a more comprehensive understanding of those attributes. They are as follows: (1) Internal structure-function interactions and integration are the foundations of sentience; (2) animals posess a capacity to respond behaviourally to a range of sensory inputs; (3) the more sophisticated nervous systems can generate subjective experiences, that is, affects; (4) sentience means that animals perceive or experience different affects consciously; (5) within a species, the stage of neurobiological development is significant; (6) </w:t>
      </w:r>
    </w:p>
    <w:p>
      <w:pPr>
        <w:pStyle w:val="Heading2"/>
      </w:pPr>
      <w:r>
        <w:t>753.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health;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beyond;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 NIHR Public Health Research Review Programme (2019–2025) — https://doi.org/10.3310/gdjr8546</w:t>
      </w:r>
    </w:p>
    <w:p>
      <w:pPr/>
      <w:r>
        <w:rPr>
          <w:b/>
        </w:rPr>
        <w:t>Shared claim-specific concepts:</w:t>
      </w:r>
      <w:r>
        <w:t xml:space="preserve"> project, health, stakeholders, care; EU scope not established. This is a provisional connection, not an outcome finding.</w:t>
      </w:r>
    </w:p>
    <w:p>
      <w:pPr>
        <w:pStyle w:val="SourceNote"/>
      </w:pPr>
      <w:r>
        <w:rPr>
          <w:b/>
        </w:rPr>
        <w:t>Available abstract (not full text):</w:t>
      </w:r>
      <w:r>
        <w:t xml:space="preserve"> Background: The Public Health Review Team, University of Sheffield, was commissioned to deliver a programme of public health evidence synthesis projects. The review programme (2019-25) provided a unique opportunity to develop effective and efficient processes to maximise the value and impact of evidence synthesis for public health practitioners, policy-makers, commissioners and research funders. Objectives: The overall purpose of the programme was to deliver evidence reviews that could inform the commissioning of further primary research and directly inform public health policy and practice. This synopsis summarises the programme content and reflects on lessons learnt. Methods: Diverse appropriate methods were used for individual reviews to ensure the timely and efficient production of evidence synthesis products that were as useful as possible to the relevant stakeholders and decision-makers. These included an umbrella review (review of reviews), mapping reviews, systematic reviews, rapid reviews and evidence briefings. The majority of reviews were informed by both public and practitioner involvement, from defining the review questions and identification of relevant evidence to interpreting and disseminating the findings. Both established public panels and topic-specific groups with relevant lived experience recruited for individual projects were involved in the review process</w:t>
      </w:r>
    </w:p>
    <w:p>
      <w:pPr/>
      <w:r>
        <w:rPr>
          <w:b/>
        </w:rPr>
        <w:t>POSSIBLE 2025:</w:t>
      </w:r>
      <w:r>
        <w:t xml:space="preserve"> The Importance Foresight Internet of Things, Virtual Reality and Telemedicine in Health Care — https://doi.org/10.11648/j.ijdst.20251101.12</w:t>
      </w:r>
    </w:p>
    <w:p>
      <w:pPr/>
      <w:r>
        <w:rPr>
          <w:b/>
        </w:rPr>
        <w:t>Shared claim-specific concepts:</w:t>
      </w:r>
      <w:r>
        <w:t xml:space="preserve"> foresight, health, care, patient, successful, trends; EU scope not established. This is a provisional connection, not an outcome finding.</w:t>
      </w:r>
    </w:p>
    <w:p>
      <w:pPr>
        <w:pStyle w:val="SourceNote"/>
      </w:pPr>
      <w:r>
        <w:rPr>
          <w:b/>
        </w:rPr>
        <w:t>Available abstract (not full text):</w:t>
      </w:r>
      <w:r>
        <w:t xml:space="preserve"> Background: Future studies are the science of shaping the future, in a conscious, scientific, and future-thinking way that protects people from surprises from a storm of dramatic changes and developments. Foresight is a systematic way of looking at the long-term future and making appropriate decisions. This knowledge is a type of study method that strives to unite and integrate the talents and abilities of individuals to create a desirable and ideal future for themselves. Researchers with different research methods emphasize the study of various technological solutions to increase the quantity and quality of healthcare delivery. We need deeper research to get a good understanding of these technologies. The development of health technologies can improve health levels, living standards, and economic growth, and some of these technologies such as telemedicine, the Internet of things, the 3D virtual world, etc. Have reduced medical costs and medical malpractice. Nevertheless, new technologies related to diagnosis, prevention, and rehabilitation will lead to changes in the methods of healthcare delivery. So various technologies create new and different demands and due to widespread changes in health technologies, foresight, and future thinking in health technologies are of great importance. Objective: These studies provide valuable insights into the future trends and potential impac</w:t>
      </w:r>
    </w:p>
    <w:p>
      <w:pPr>
        <w:pStyle w:val="Heading2"/>
      </w:pPr>
      <w:r>
        <w:t>754.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M$^2$Weather: A Benchmark for Joint Multi-Station and Multi-Variable Weather Forecasting — https://doi.org/10.48550/arxiv.2610.00370</w:t>
      </w:r>
    </w:p>
    <w:p>
      <w:pPr/>
      <w:r>
        <w:rPr>
          <w:b/>
        </w:rPr>
        <w:t>Shared claim-specific concepts:</w:t>
      </w:r>
      <w:r>
        <w:t xml:space="preserve"> weather, information; EU scope visible. This is a provisional connection, not an outcome finding.</w:t>
      </w:r>
    </w:p>
    <w:p>
      <w:pPr>
        <w:pStyle w:val="SourceNote"/>
      </w:pPr>
      <w:r>
        <w:rPr>
          <w:b/>
        </w:rPr>
        <w:t>Available abstract (not full text):</w:t>
      </w:r>
      <w:r>
        <w:t xml:space="preserve"> Station weather forecasting is fundamentally shaped by both complex spatial dependencies across stations and strong physical coupling among weather variables. However, existing studies often consider these relationships separately and use different datasets and experimental settings, hindering systematic assessment of their individual and joint contributions. In this paper, we introduce $M^2$Weather, a benchmark for joint multi-station and multi-variable weather forecasting. Through multi-criteria quality control and station stratification, we collect 2,809 high-quality stations with 5 physically coupled weather variables across three spatial scales: France, Europe, and Global. This multi-scale design lets us examine whether conclusions persist from national to global station networks. We also introduce unified training and evaluation protocols to enable fair comparison of different station-variable modeling paradigms. To further examine the benefits of modeling station-variable relationships, we design a lightweight, plug-and-play adapter. With a trained weather forecasting model, this adapter can introduce missing station or variable relationships without retraining the model. This enables fair and efficient investigation of station-variable relationships. Systematic evaluation of 16 representative models shows the benefits of jointly modeling station and variable relationshi</w:t>
      </w:r>
    </w:p>
    <w:p>
      <w:pPr/>
      <w:r>
        <w:rPr>
          <w:b/>
        </w:rPr>
        <w:t>POSSIBLE 2026:</w:t>
      </w:r>
      <w:r>
        <w:t xml:space="preserve"> Fourier Geometric Wind Power Forecasting with Numerical Weather Prediction — https://openalex.org/W7170111850</w:t>
      </w:r>
    </w:p>
    <w:p>
      <w:pPr/>
      <w:r>
        <w:rPr>
          <w:b/>
        </w:rPr>
        <w:t>Shared claim-specific concepts:</w:t>
      </w:r>
      <w:r>
        <w:t xml:space="preserve"> implementation, first, weather, capture; EU scope not established. This is a provisional connection, not an outcome finding.</w:t>
      </w:r>
    </w:p>
    <w:p>
      <w:pPr>
        <w:pStyle w:val="SourceNote"/>
      </w:pPr>
      <w:r>
        <w:rPr>
          <w:b/>
        </w:rPr>
        <w:t>Available abstract (not full text):</w:t>
      </w:r>
      <w:r>
        <w:t xml:space="preserve"> Accurate short-term wind power forecasting is essential for grid stability and operational planning, yet remains challenging due to the complex interactions between atmospheric conditions and turbine dynamics. However, existing methods fail to effectively incorporate weather forecasting with wind turbine data (i.e., SCADA), leading to suboptimal solutions. To address this, we introduce a multimodal framework that integrates historical point-based SCADA data with grid-based Numerical Weather Prediction (NWP) forecasts, which is challenging due to heterogeneous input and the complex physical wind-turbine interactions. Our approach first explicitly decomposes inputs into scalar and vector features to better capture both site-specific and geometric dependencies and then incorporates a geometric encoder to extract rotation-invariant features from wind vectors. We further leverages a Fourier Neural Operator (FNO) architecture, which performs global convolutions in the frequency domain to efficiently model long-range spatiotemporal relationships. Extensive experiments on three real-world wind farms, with weather forecasting data, demonstrate that our model consistently outperforms state-of-the-art baselines, highlighting the effectiveness of its physically-informed design. The core implementation of our method is publicly available at: https://github.com/shawn-sypiao/GWPF.</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2025:</w:t>
      </w:r>
      <w:r>
        <w:t xml:space="preserve"> Arctic Weather Satellite, A Microsatellite Constellation for Improved Weather Forecasting in Arctic and Globally — https://doi.org/10.26077/hjh7-ax68</w:t>
      </w:r>
    </w:p>
    <w:p>
      <w:pPr/>
      <w:r>
        <w:rPr>
          <w:b/>
        </w:rPr>
        <w:t>Shared claim-specific concepts:</w:t>
      </w:r>
      <w:r>
        <w:t xml:space="preserve"> implementation, weather, information, highly; EU scope visible. This is a provisional connection, not an outcome finding.</w:t>
      </w:r>
    </w:p>
    <w:p>
      <w:pPr>
        <w:pStyle w:val="SourceNote"/>
      </w:pPr>
      <w:r>
        <w:rPr>
          <w:b/>
        </w:rPr>
        <w:t>Available abstract (not full text):</w:t>
      </w:r>
      <w:r>
        <w:t xml:space="preserve"> A consortium led by OHB Sweden has started the implementation of a prototype satellite for a possible constellation mission called Arctic Weather Satellite (AWS). This constellation of small satellites in low polar orbits would provide frequent coverage of the polar regions to support improved nowcasting and Numerical Weather Prediction (NWP) of the Arctic and Antarctic regions. The AWS mission is designed to be complementary to the existing polar-orbiting, meteorological satellites (e.g. MetOp and MetOp Second Generation (SG)), providing additional atmospheric sounding information to improve NWP on a global scale. The 120 kg AWS prototype satellite will fly in a ~600km sun-synchronous orbit and is based on OHB Sweden’s InnoSat platform. The payload is across-track scanning, passive microwave radiometer from Omnisys Instruments with 4 frequency bands to provide atmospheric sounding information complementary to the microwave radiometers on MetOp-SG. Global data will be stored onboard the satellite for data dumps over specific regions as well as broadcasted worldwide in real time. The ground segment contains a highly innovative Digital Beam Forming Network (DBFN) ground station from Thales allowing tracking of multiple satellites simultaneously. The final constellation is foreseen to provide data with less than 30-minute latency over the entire Arctic region.</w:t>
      </w:r>
    </w:p>
    <w:p>
      <w:pPr/>
      <w:r>
        <w:rPr>
          <w:b/>
        </w:rPr>
        <w:t>POSSIBLE 2025:</w:t>
      </w:r>
      <w:r>
        <w:t xml:space="preserve"> CLLMate: A Multimodal Benchmark for Weather and Climate Events Forecasting — https://doi.org/10.18653/v1/2025.emnlp-main.886</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Forecasting weather and climate events is crucial for making appropriate measures to mitigate environmental hazards and minimize losses.However, existing environmental forecasting research focuses narrowly on predicting numerical meteorological variables (e.g., temperature), neglecting the translation of these variables into actionable textual narratives of events and their consequences.To bridge this gap, we proposed Weather and Climate Event Forecasting (WCEF), a new task that leverages numerical meteorological raster data and textual event data to predict weather and climate events.This task is challenging to accomplish due to difficulties in aligning multimodal data and the lack of supervised datasets.To address these challenges, we present CLLMate, the first multimodal dataset for WCEF, using 26,156 environmental news articles aligned with ERA5 reanalysis data.We systematically benchmark 32 existing models on CLLMate, including closed-source, open-source, and our fine-tuned models.Our experiments reveal the advantages and limitations of existing MLLMs and the value of CLLMate for the training and benchmarking of the WCEF task.The dataset is available at https://github.com/hobolee/ CLLMate.</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first, space, weather;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pStyle w:val="Heading2"/>
      </w:pPr>
      <w:r>
        <w:t>755.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share, renewable, energy, consumption, increasing;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Econometric Analysis and Forecasts on Exports of Emerging Economies from Central and Eastern Europe — https://doi.org/10.3390/econometrics14010009</w:t>
      </w:r>
    </w:p>
    <w:p>
      <w:pPr/>
      <w:r>
        <w:rPr>
          <w:b/>
        </w:rPr>
        <w:t>Shared claim-specific concepts:</w:t>
      </w:r>
      <w:r>
        <w:t xml:space="preserve"> forecasts, share, all, trend; EU scope visible. This is a provisional connection, not an outcome finding.</w:t>
      </w:r>
    </w:p>
    <w:p>
      <w:pPr>
        <w:pStyle w:val="SourceNote"/>
      </w:pPr>
      <w:r>
        <w:rPr>
          <w:b/>
        </w:rPr>
        <w:t>Available abstract (not full text):</w:t>
      </w:r>
      <w:r>
        <w:t xml:space="preserve"> This study examines the evolution, heterogeneity, and short-term prospects of export performance in seven Central and Eastern European (CEE) economies—Croatia, Czech Republic, Hungary, Poland, Romania, Bulgaria, and Slovakia—over the period 1995–2024. Using annual World Bank data, exports are modeled as a share of GDP to ensure cross-country comparability and to capture differences in trade dependence. The analysis combines descriptive and inferential statistics with Augmented Dickey–Fuller tests, non-parametric comparisons, Granger causality analysis, and country-specific ARIMA models to investigate export dynamics, the role of foreign direct investment (FDI), and future export trajectories. The results reveal a common long-term upward trend in export intensity across all countries, driven by European integration and structural transformation, but with pronounced cross-country differences in export dependence and volatility. Highly open economies such as Slovakia, Hungary, and the Czech Republic exhibit strong export performance alongside greater exposure to external shocks, while larger domestic markets such as Poland and Romania display lower export intensity and greater stabilization. Granger causality tests indicate that FDI contributes to export growth in several economies, often with multi-year lags, highlighting the importance of absorptive capacity and institutional qu</w:t>
      </w:r>
    </w:p>
    <w:p>
      <w:pPr>
        <w:pStyle w:val="Heading2"/>
      </w:pPr>
      <w:r>
        <w:t>756.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2026:</w:t>
      </w:r>
      <w:r>
        <w:t xml:space="preserve"> A Dataset on Legislative Decision‐Making in the European Parliament: The DEU‐IV Dataset — https://doi.org/10.1002/epa2.70054</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This article introduces the DEU IV dataset , the latest iteration of the Decision‐making in the European Union project. While previous versions focused on the Council of the EU, DEU IV systematically applies the framework to the European Parliament (EP) for the 2019–2024 term. The dataset employs the spatial model of politics to map the latent preferences of political groups, the Commission, and the Council across 113 controversial policy issues. The dataset is constructed using triangulated semi‐structured interviews with 119 policy experts, supplemented by document coding and amendment analysis. By capturing the pre‐negotiation ideal points and the final legislative outcomes, DEU IV reveals the internal mechanics of supranational bargaining and the influence of legislative committees. This paper details the selection criteria for the 31 legislative dossiers analysed, demonstrates the dataset's empirical robustness, and discusses its potential to advance our understanding of how preferences transform into policy within the world's most complex transnational parliament.</w:t>
      </w:r>
    </w:p>
    <w:p>
      <w:pPr/>
      <w:r>
        <w:rPr>
          <w:b/>
        </w:rPr>
        <w:t>POSSIBLE 2026:</w:t>
      </w:r>
      <w:r>
        <w:t xml:space="preserve"> European integration and transformed parliamentary opposition: Evidence from five decades of legislative politics — https://doi.org/10.1017/s1475676526100711</w:t>
      </w:r>
    </w:p>
    <w:p>
      <w:pPr/>
      <w:r>
        <w:rPr>
          <w:b/>
        </w:rPr>
        <w:t>Shared claim-specific concepts:</w:t>
      </w:r>
      <w:r>
        <w:t xml:space="preserve"> legislative, proposals, reducing, union, show; EU scope visible. This is a provisional connection, not an outcome finding.</w:t>
      </w:r>
    </w:p>
    <w:p>
      <w:pPr>
        <w:pStyle w:val="SourceNote"/>
      </w:pPr>
      <w:r>
        <w:rPr>
          <w:b/>
        </w:rPr>
        <w:t>Available abstract (not full text):</w:t>
      </w:r>
      <w:r>
        <w:t xml:space="preserve"> Abstract While European integration has transformed national parliaments, its long-term impact on conflicts between governments and opposition parties remains insufficiently understood. This study addresses that gap by analysing how Sweden’s accession to the European Union (EU) in 1995 altered the patterns of parliamentary opposition. Using longitudinal data on government proposals in the Swedish parliament, 1970–2022, we apply a difference-in-differences design to compare opposition intensity before and after accession. Our findings reveal two major transformations. First, we identify a sustained decline in opposition in internationally embedded economic and tax policies, supporting the view that the EU political system structurally depoliticises economic governance. Second, we observe a gradual but pronounced politicisation in policy areas tied to national identity and social welfare, where EU competences are limited and domestic discretion remains. We thus find that European integration reshapes parliamentary conflict by dampening opposition in economic policymaking while intensifying contestation in policy areas related to national identity and social protection. Rather than reducing opposition overall, EU membership redirects it across issue areas. Taken together, the results show that the distribution of national and supranational competences conditions parliamentary oppo</w:t>
      </w:r>
    </w:p>
    <w:p>
      <w:pPr/>
      <w:r>
        <w:rPr>
          <w:b/>
        </w:rPr>
        <w:t>POSSIBLE 2026:</w:t>
      </w:r>
      <w:r>
        <w:t xml:space="preserve"> Do Legislative Agenda-Setters Constrain Judicial Decision-Making? Evidence from the European Union — https://doi.org/10.1017/jlc.2026.10032</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Judicial review allows courts to serve as a powerful check on policymakers. Nonetheless, courts face the possibility of the legislature overriding unwanted decisions when adjudicating cases in which legislators have an interest. I argue that this threat heightens when courts’ decisions affect legislative agenda-setters that can prioritize bills favoring override, prompting courts to act strategically in response. Leveraging exogenous variation in agenda-setting power from the six-month rotating terms of the Presidency of the Council of the European Union, I provide evidence that the Court of Justice of the European Union strategically delays deciding a case when the member state holding the Presidency expresses interest in the case’s outcome. A difference-in-differences design demonstrates that this effect disappears with the introduction of the Trio Presidency in 2007, which reduced each individual Presidency’s agenda-setting power.</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pStyle w:val="Heading2"/>
      </w:pPr>
      <w:r>
        <w:t>757.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2026:</w:t>
      </w:r>
      <w:r>
        <w:t xml:space="preserve"> The European Security System after the End of the Russian–Ukrainian War in the Political Conceptions of Law and Justice and Civic Platform — https://doi.org/10.17951/we.2025.11.2.11-37</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aim of this article is to present the political conceptions of Law and Justice (PiS) and Civic Platform (PO) regarding ways to bring the Russian–Ukrainian war to an end as quickly as possible and to outline a new European security system following the cessation of hostilities. Two research hypotheses are formulated: 1) both parties agree on the need to defeat Russia as swiftly as possible and to establish an international security system capable of protecting European states from further armed aggression; 2) the parties differ in certain respects regarding specific solutions related to the structure of this system. The following research questions are posed: 1) How do the two parties assess the armed conflict? 2) What options do they propose for ending it as quickly as possible? 3) What measures should be taken to prevent further aggression in Europe? 4) What role should Poland play in the future security system? The study employs the analysis of political thought as the primary research method, complemented by sys temic analysis, which reconstructs the European security system proposed by both parties, and compa rative analysis, which identifies similarities and differences between the political concepts of PiS and PO. According to both Law and Justice and Civic Platform, the new European security system established after the end of the Russian–Ukrainian war should guarant</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2022:</w:t>
      </w:r>
      <w:r>
        <w:t xml:space="preserve"> Tenses of the Present — https://doi.org/10.1080/14409917.2022.2081413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David Roberts’ History of the Present asks what comes after the grand narratives of European modernity. Progress is over, but without a past and with no assured future, the present remains in conceptual limbo. For Roberts, we are entering a new stage of a global cultural modernity marked by the end of European modernism. Taking a fresh look at the contested endings of the modern, Roberts suggests that an extended concept of contemporaneity might replace the problematic dualism of past and present, modernity and post-modernity at the end of the twentieth century. This review article discusses Roberts’ argument with reference to the work of Budapest School members, Ágnes Heller and György Markus, with reference more broadly to seminal theorists such as Georg Lukács, Walter Benjamin, Theodor Adorno, Alain Touraine and Guy Debord, and to writers including Marcel Proust, Heinrich Mann, Aldous Huxley and Michel Houellebecq, in relation to the questions of cultural modernity.</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pStyle w:val="Heading2"/>
      </w:pPr>
      <w:r>
        <w:t>758.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759.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2026:</w:t>
      </w:r>
      <w:r>
        <w:t xml:space="preserve"> Surveys in clinical research: methodological aspects and practical guidance — https://doi.org/10.62675/2965-2774.20260322</w:t>
      </w:r>
    </w:p>
    <w:p>
      <w:pPr/>
      <w:r>
        <w:rPr>
          <w:b/>
        </w:rPr>
        <w:t>Shared claim-specific concepts:</w:t>
      </w:r>
      <w:r>
        <w:t xml:space="preserve"> practical, administration, decisions, must, knowledge; EU scope not established. This is a provisional connection, not an outcome finding.</w:t>
      </w:r>
    </w:p>
    <w:p>
      <w:pPr>
        <w:pStyle w:val="SourceNote"/>
      </w:pPr>
      <w:r>
        <w:rPr>
          <w:b/>
        </w:rPr>
        <w:t>Available abstract (not full text):</w:t>
      </w:r>
      <w:r>
        <w:t xml:space="preserve"> Use of surveys in clinical research allows investigators to explore stakeholders' perspectives, measure implementation of interventions, and inform future decision-making. Surveys are versatile and accessible, but they require methodological rigor to yield adequate results. Their development involves a sequence of decisions that influence both data quality and interpretability - from defining objectives and selecting a sample to designing the questionnaire and choosing the method of administration. Questionnaires must balance clarity with precision, capturing relevant constructs without overburdening respondents. In many cases, frameworks such as Knowledge, Attitude, and Practice questionnaires are employed to structure questions and explore relationships between what individuals know, believe, and do. Online platforms increase the ability to disseminate surveys to a broader, more diverse target population and to improve data-collection workflows. Beyond the technical aspects, using surveys for clinical research faces practical challenges, such as low response rates and variability in engagement across formats. Addressing these issues requires planning and the use of strategies to encourage participation without compromising data quality. This review offers a practical overview intended to guide researchers in designing and conducting survey studies in clinical research.</w:t>
      </w:r>
    </w:p>
    <w:p>
      <w:pPr/>
      <w:r>
        <w:rPr>
          <w:b/>
        </w:rPr>
        <w:t>POSSIBLE 2026:</w:t>
      </w:r>
      <w:r>
        <w:t xml:space="preserve"> Grounded theory methodology and practical application in environmental sustainability research: A methodological review — https://doi.org/10.51867/aqssr.3.3.96</w:t>
      </w:r>
    </w:p>
    <w:p>
      <w:pPr/>
      <w:r>
        <w:rPr>
          <w:b/>
        </w:rPr>
        <w:t>Shared claim-specific concepts:</w:t>
      </w:r>
      <w:r>
        <w:t xml:space="preserve"> practical, application, methodology, must; EU scope not established. This is a provisional connection, not an outcome finding.</w:t>
      </w:r>
    </w:p>
    <w:p>
      <w:pPr>
        <w:pStyle w:val="SourceNote"/>
      </w:pPr>
      <w:r>
        <w:rPr>
          <w:b/>
        </w:rPr>
        <w:t>Available abstract (not full text):</w:t>
      </w:r>
      <w:r>
        <w:t xml:space="preserve"> Grounded Theory (GT) remains one of the most influential qualitative research methodologies for generating theory from empirical data. Since its introduction by Glaser and Strauss in 1967, Grounded Theory has undergone significant philosophical and methodological developments resulting in multiple variants of schools of thoughts including Classical Grounded Theory, Straussian Grounded Theory, and Constructivist Grounded Theory. Despite its widespread application across various disciplines such as health, education and business, Grounded Theory is often misunderstood and inconsistently applied, especially in the areas of theoretical sampling, data collection, constant comparative analysis, coding procedures, and memo writing. This paper reviews the historical evolution, fundamental principles, data collection procedures, analytical processes, and contributions of Grounded Theory to qualitative research. Using a methodological literature review of scholarly publications discussing Grounded Theory from 1967 to 2025 were examined. The review demonstrates that while Grounded Theory has evolved from a largely positivist orientation to more interpretive and constructivist perspectives, its core objective of generating theory grounded in empirical data remains unchanged. The paper further highlights the relevance of Grounded Theory in contemporary research and provides guidance for res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pStyle w:val="Heading2"/>
      </w:pPr>
      <w:r>
        <w:t>760.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2026:</w:t>
      </w:r>
      <w:r>
        <w:t xml:space="preserve"> Constructing extreme heatwave storylines with differentiable climate models — https://doi.org/10.5194/wcd-7-393-2026</w:t>
      </w:r>
    </w:p>
    <w:p>
      <w:pPr/>
      <w:r>
        <w:rPr>
          <w:b/>
        </w:rPr>
        <w:t>Shared claim-specific concepts:</w:t>
      </w:r>
      <w:r>
        <w:t xml:space="preserve"> based, storylines, explore, here, large; EU scope not established. This is a provisional connection, not an outcome finding.</w:t>
      </w:r>
    </w:p>
    <w:p>
      <w:pPr>
        <w:pStyle w:val="SourceNote"/>
      </w:pPr>
      <w:r>
        <w:rPr>
          <w:b/>
        </w:rPr>
        <w:t>Available abstract (not full text):</w:t>
      </w:r>
      <w:r>
        <w:t xml:space="preserve"> Understanding the plausible upper bounds of extreme weather events is essential for risk assessment in a warming climate. Existing methods, based on large ensembles of physics-based models, are often computationally expensive or lack the fidelity needed to simulate rare, high-impact extremes. Here, we present a novel framework that leverages a differentiable hybrid climate model, NeuralGCM, to optimize initial conditions and generate physically consistent worst-case heatwave trajectories. Applied to the 2021 Pacific Northwest heatwave, our method produces heatwave intensity up to 3.7 °C above the most extreme member of a 75-member ensemble. These trajectories feature intensified atmospheric blocking and amplified Rossby wave patterns—hallmarks of severe heat events. Our results demonstrate that differentiable climate models can efficiently explore the upper tails of event likelihoods, providing a powerful new approach for constructing targeted storylines of extreme weather under climate change.</w:t>
      </w:r>
    </w:p>
    <w:p>
      <w:pPr/>
      <w:r>
        <w:rPr>
          <w:b/>
        </w:rPr>
        <w:t>POSSIBLE 2026:</w:t>
      </w:r>
      <w:r>
        <w:t xml:space="preserve"> Storylines of extreme summer temperatures in southern South America — https://doi.org/10.5194/wcd-7-149-2026</w:t>
      </w:r>
    </w:p>
    <w:p>
      <w:pPr/>
      <w:r>
        <w:rPr>
          <w:b/>
        </w:rPr>
        <w:t>Shared claim-specific concepts:</w:t>
      </w:r>
      <w:r>
        <w:t xml:space="preserve"> based, storylines, explore, different, characteristics; EU scope not established. This is a provisional connection, not an outcome finding.</w:t>
      </w:r>
    </w:p>
    <w:p>
      <w:pPr>
        <w:pStyle w:val="SourceNote"/>
      </w:pPr>
      <w:r>
        <w:rPr>
          <w:b/>
        </w:rPr>
        <w:t>Available abstract (not full text):</w:t>
      </w:r>
      <w:r>
        <w:t xml:space="preserve"> Abstract. Understanding the sources of uncertainty in future climate extremes is crucial for developing effective regional adaptation strategies. This study examines projections of summer absolute maximum temperature (TXx) over four regions of southern South America: northern, central-eastern, central Argentina, and southern areas. We analyse simulations from 26 global climate models and apply a storyline approach to explore how different climate drivers combine to shape future changes in TXx for the late 21st century (2070–2099). The storylines are based on changes in key physical drivers, including mid-tropospheric circulation, regional soil moisture, sea surface temperature in Niño 3.4 region, and the intensity of the South Atlantic Convergence Zone. A multi-linear regression framework reveals that the dominant drivers of the projected warming in TXx vary substantially across regions. In northern areas, warming is primarily influenced by remote drivers such as tropical sea surface temperatures and changes in the South Atlantic Convergence Zone. Central-eastern and central Argentina exhibit mixed local and remote influences, while southern regions are predominantly affected by local drivers (soil drying and atmospheric circulation changes). Together, these drivers explain up to 56 % of the inter-model spread in future projections of TXx. However, their ability to account for </w:t>
      </w:r>
    </w:p>
    <w:p>
      <w:pPr/>
      <w:r>
        <w:rPr>
          <w:b/>
        </w:rPr>
        <w:t>POSSIBLE 2026:</w:t>
      </w:r>
      <w:r>
        <w:t xml:space="preserve"> Development of a digital numeracy assessment instrument based on Articulate Storyline for pre-service elementary teachers — https://doi.org/10.30762/f_m.v9i1.8206</w:t>
      </w:r>
    </w:p>
    <w:p>
      <w:pPr/>
      <w:r>
        <w:rPr>
          <w:b/>
        </w:rPr>
        <w:t>Shared claim-specific concepts:</w:t>
      </w:r>
      <w:r>
        <w:t xml:space="preserve"> based, tool, develop; EU scope not established. This is a provisional connection, not an outcome finding.</w:t>
      </w:r>
    </w:p>
    <w:p>
      <w:pPr>
        <w:pStyle w:val="SourceNote"/>
      </w:pPr>
      <w:r>
        <w:rPr>
          <w:b/>
        </w:rPr>
        <w:t>Available abstract (not full text):</w:t>
      </w:r>
      <w:r>
        <w:t xml:space="preserve"> Digital numeracy literacy is an essential competence for prospective elementary school teachers because it supports contextual problem-solving, data interpretation, and mathematical reasoning in 21st-century learning. However, contextual and technology-based assessment instruments capable of authentically measuring these competencies remain limited in teacher education. This study aimed to develop an interactive digital numeracy assessment instrument using Articulate Storyline, which supports multimedia-based and contextual assessment activities for prospective teachers in Madrasah Ibtidaiyah Teacher Education (PGMI) and Primary School Teacher Education (PGSD) programs. This research adopted a 4D Research and Development framework that included the stages of defining, designing, developing, and disseminating the instrument. The instrument was developed through needs analysis, expert validation, pilot, and field testing involving prospective teachers from three universities. The instrument contained contextual numeracy tasks of varying difficulty, covering geometry, measurement, equations, functions, ratios, and data representation. It was based on three digital numeracy indicators: mathematical symbol use, information analysis, and interpretation for decision-making. Validity was assessed through expert judgment, practicality through lecturer and student questionnaires, and eff</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pStyle w:val="Heading2"/>
      </w:pPr>
      <w:r>
        <w:t>761.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2026:</w:t>
      </w:r>
      <w:r>
        <w:t xml:space="preserve"> Intra-EU Trade Share Dynamics under Sequential Shocks: Evidence from Eurostat Data — https://doi.org/10.2478/picbe-2026-0290</w:t>
      </w:r>
    </w:p>
    <w:p>
      <w:pPr/>
      <w:r>
        <w:rPr>
          <w:b/>
        </w:rPr>
        <w:t>Shared claim-specific concepts:</w:t>
      </w:r>
      <w:r>
        <w:t xml:space="preserve"> data, eurostat, share, energy; EU scope visible. This is a provisional connection, not an outcome finding.</w:t>
      </w:r>
    </w:p>
    <w:p>
      <w:pPr>
        <w:pStyle w:val="SourceNote"/>
      </w:pPr>
      <w:r>
        <w:rPr>
          <w:b/>
        </w:rPr>
        <w:t>Available abstract (not full text):</w:t>
      </w:r>
      <w:r>
        <w:t xml:space="preserve"> Abstract Countries in the European Union (EU) trade with each other constantly, but big crises can cause financial trouble to spread easily across borders. This study looked at EU trade data from 2013 to 2024 to see how the system handled the COVID-19 pandemic and the war/energy crisis. Surprisingly, these major events didn’t break the trading system or cause sudden disruptions. Instead, trade slowly became more spread out among different countries over time rather than just being controlled by a few wealthy ones. Most countries kept their usual trading positions—with Romania showing great resilience by keeping steady exports and making minor import gains after 2022. Ultimately, the study shows that while the EU trade network is highly stable, sequential crises still slowly shift who relies on whom, meaning leaders must monitor these connections closely to manage future financial risks.</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Electricity market governance and the historical performance of electricity transitions in European countries: insights from retrospective modeling — https://doi.org/10.1016/j.esr.2025.101787</w:t>
      </w:r>
    </w:p>
    <w:p>
      <w:pPr/>
      <w:r>
        <w:rPr>
          <w:b/>
        </w:rPr>
        <w:t>Shared claim-specific concepts:</w:t>
      </w:r>
      <w:r>
        <w:t xml:space="preserve"> historical, work, share; EU scope visible. This is a provisional connection, not an outcome finding.</w:t>
      </w:r>
    </w:p>
    <w:p>
      <w:pPr>
        <w:pStyle w:val="SourceNote"/>
      </w:pPr>
      <w:r>
        <w:rPr>
          <w:b/>
        </w:rPr>
        <w:t>Available abstract (not full text):</w:t>
      </w:r>
      <w:r>
        <w:t xml:space="preserve"> In the last decades, the governance of national electricity systems in Europe has experienced several shifts between market liberalization and policy intervention. However, there remains a lack of consistent evidence about impacts of electricity market governance on the performance of electricity systems. This work uses retrospective bottom-up modeling to explore potential links between electricity market governance in 31 European countries and their electricity system transitions during 1990–2019. We identify historical governance regimes based on indicators of market regulation, renewable electricity policy support, and combined regulation and policy support. To assess performance of electricity systems, we quantify deviations between modeled historical and least-cost pathways using net present costs per unit of supplied electricity, emissions intensity, transformation of generation mix, and share of new renewable technologies. Countries with earlier liberalization of electricity markets on average had higher unit net present costs, lower emissions intensity, and higher share of new renewable generation relative to modeled least-cost pathways. Countries combining late liberalization with high support for renewable generation, which includes countries with higher public ownership of incumbent low-carbon generation, had the lowest relative values for unit net present costs and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pStyle w:val="Heading2"/>
      </w:pPr>
      <w:r>
        <w:t>762.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2026:</w:t>
      </w:r>
      <w:r>
        <w:t xml:space="preserve"> Next-Gen Monitoring: Technological Interventions for Climate-Adaptive Agriculture — https://doi.org/10.5281/zenodo.19417401</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Climate change poses a serious threat to global agriculture by altering temperature regimes, atmospheric CO₂ levels, and ecosystem dynamics, ultimately affecting crop productivity and food security. This paper highlights next-generation monitoring technologies designed to study crop responses under climate variability. Controlled environment systems such as Temperature Gradient Chambers (TGC), Temperature Gradient Greenhouses (TGG), and Soil-Plant-Atmosphere Research (SPARE) facilities provide precise regulation of environmental parameters, enabling detailed analysis of plant physiological responses. In contrast, field-based technologies including Infrared (IR) warming, Free Air Temperature Enrichment (FATE), and soil warming systems simulate realistic field conditions, allowing ecosystem-level assessment of climate impacts. Each approach offers distinct advantages: controlled systems ensure accuracy and repeatability, while field technologies enhance realism and scalability. However, limitations such as high cost, technical complexity, and challenges in maintaining natural environmental interactions persist. The integration of both approaches is essential for comprehensive understanding and reliable prediction of crop responses to climate change. These advanced technological interventions support the development of climate-resilient crop varieties, improved agronomic practices</w:t>
      </w:r>
    </w:p>
    <w:p>
      <w:pPr/>
      <w:r>
        <w:rPr>
          <w:b/>
        </w:rPr>
        <w:t>POSSIBLE 2026:</w:t>
      </w:r>
      <w:r>
        <w:t xml:space="preserve"> Unlocking Climate Mitigation in BRICS: The Role of Economic and Technological Drivers — https://doi.org/10.66529/jass.2026.1.2.55</w:t>
      </w:r>
    </w:p>
    <w:p>
      <w:pPr/>
      <w:r>
        <w:rPr>
          <w:b/>
        </w:rPr>
        <w:t>Shared claim-specific concepts:</w:t>
      </w:r>
      <w:r>
        <w:t xml:space="preserve"> climate, technological, used, but; EU scope not established. This is a provisional connection, not an outcome finding.</w:t>
      </w:r>
    </w:p>
    <w:p>
      <w:pPr>
        <w:pStyle w:val="SourceNote"/>
      </w:pPr>
      <w:r>
        <w:rPr>
          <w:b/>
        </w:rPr>
        <w:t>Available abstract (not full text):</w:t>
      </w:r>
      <w:r>
        <w:t xml:space="preserve"> The study uses Autoregressive Distributed Lag (ARDL) modeling to analyze the dynamic link between carbon emissions and economic and environmental factors. Agriculture, energy consumption, financial development, forestry, economic expansion, and ICT are used to assess short- and long-term environmental impacts. The Panel data set for the period of 1991-2022 for BRICS Economies was used for estimation. Strong emissions persistence and important short-term changes toward long-run equilibrium are shown empirically. Energy consumption is the main cause of environmental deterioration over both time periods, indicating structural dependency on energy-intensive manufacturing processes. Short-term findings show that agriculture and forestry reduce emissions, but financial development raises environmental strain. Economic development and ICT have little direct impact. Long-term projections show that agriculture and energy use raise emissions, while forestry conservation and technology enhance the environment. Long-term consequences of financial development and GDP are insignificant. The error correction process verifies convergence toward equilibrium, although adjustment is sluggish. Diagnostics confirm model stability despite heteroscedasticity and non-normal residuals. To reduce emissions and stabilize the climate, combined economic and environmental measures are needed.</w:t>
      </w:r>
    </w:p>
    <w:p>
      <w:pPr/>
      <w:r>
        <w:rPr>
          <w:b/>
        </w:rPr>
        <w:t>POSSIBLE 2026:</w:t>
      </w:r>
      <w:r>
        <w:t xml:space="preserve"> Integrating aviation’s non-CO2 effects into EU ETS: Impact of CO2e accounting on operational and technological climate mitigation measures — https://doi.org/10.1016/j.trpro.2026.02.025</w:t>
      </w:r>
    </w:p>
    <w:p>
      <w:pPr/>
      <w:r>
        <w:rPr>
          <w:b/>
        </w:rPr>
        <w:t>Shared claim-specific concepts:</w:t>
      </w:r>
      <w:r>
        <w:t xml:space="preserve"> climate, technological, increase; EU scope visible. This is a provisional connection, not an outcome finding.</w:t>
      </w:r>
    </w:p>
    <w:p>
      <w:pPr>
        <w:pStyle w:val="SourceNote"/>
      </w:pPr>
      <w:r>
        <w:rPr>
          <w:b/>
        </w:rPr>
        <w:t>Available abstract (not full text):</w:t>
      </w:r>
      <w:r>
        <w:t xml:space="preserve"> To comply with defined ambitious climate goals, technical and operational improvements are required to reduce the climate impact of aviation. Non-CO 2 emissions contribute to a majority of aviation’s total effect and a reduction of the associated climate impact is often associated with an increase in fuel consumption and CO 2 effects. These trade-offs typically result in higher operating costs, which create a lack of economic incentive to pursue such measures, ultimately slowing implementation. Therefore, this study investigates implications from a market-based policy scheme designed to support the implementation of climate mitigation strategies by internalizing non-CO 2 effects. An extension of the EU ETS to account for non-CO 2 effects in terms of CO 2 equivalents is modeled and resulting climate mitigation potentials and operating cost changes are analyzed. The results demonstrate the suitability of an extension of the existing accounting to non-CO 2 effects as this reduces cost in relation to the reference without measure implementation. Furthermore, benefits of operational climate mitigation measures are demonstrated in comparison to the use of sustainable fuels. Technical efficiency improvements can further help to increase mitigation potentials and reduce operating cost, while reduced accounting shares can help to limit cost and ticket price increase.</w:t>
      </w:r>
    </w:p>
    <w:p>
      <w:pPr/>
      <w:r>
        <w:rPr>
          <w:b/>
        </w:rPr>
        <w:t>POSSIBLE 2026:</w:t>
      </w:r>
      <w:r>
        <w:t xml:space="preserve"> Climate Change Mitigation Approaches — https://doi.org/10.1201/9781003674658-3</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With the continuously growing atmospheric CO 2 emissions that cause planetary warming; and threaten human communities and their economic activities, it is imperative that we study and implement some of the known and technologically feasible methods to reduce CO 2 emissions and mitigate the Global Climate Change (GCC). This chapter offers a succinct and critical survey on the key methods that have been proposed for the control and eventual reduction of the anthropogenic CO 2 emissions. Emphasis is given to energy efficiency, use of nuclear energy, and higher use of renewable energy – in particular wind and solar energy that are available everywhere on the planet – strategies that have been advocated in all the pathways and roadmaps to reduce CO 2 emissions. Detailed data on the conditions and requirements to decarbonize at three levels, a single home, a city, and an entire grid are also presented. The Chapter concludes with the effects electric vehicles may have on decarbonization efforts and the roadmaps presented by the agencies of the United Nations.</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pStyle w:val="Heading2"/>
      </w:pPr>
      <w:r>
        <w:t>763.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2026:</w:t>
      </w:r>
      <w:r>
        <w:t xml:space="preserve"> Climate matters: Differences in trends and drivers of summer humid heat in Europe and the Southeast United States — https://doi.org/10.5194/egusphere-egu26-1886</w:t>
      </w:r>
    </w:p>
    <w:p>
      <w:pPr/>
      <w:r>
        <w:rPr>
          <w:b/>
        </w:rPr>
        <w:t>Shared claim-specific concepts:</w:t>
      </w:r>
      <w:r>
        <w:t xml:space="preserve"> additional, example, climate; EU scope visible. This is a provisional connection, not an outcome finding.</w:t>
      </w:r>
    </w:p>
    <w:p>
      <w:pPr>
        <w:pStyle w:val="SourceNote"/>
      </w:pPr>
      <w:r>
        <w:rPr>
          <w:b/>
        </w:rPr>
        <w:t>Available abstract (not full text):</w:t>
      </w:r>
      <w:r>
        <w:t xml:space="preserve"> Humid heat has increased in intensity, frequency, and duration across the world, including in mid-latitude regions not acclimated to it. Wet bulb globe temperature (WBGT) is one of the most representative humid heat metrics in terms of impacts to human health. Here, an established WBGT estimation formula and the high-resolution (9-km) ERA5-Land reanalysis dataset are used to examine summer humid heat trends and drivers across Europe and the Southeast United States. In Europe, both daytime and nighttime WBGT are increasing significantly across nearly the entire domain. Daytime and nighttime trends are of similar magnitude in many areas, with daytime trends largest in western and northern Europe and nighttime trends greatest in eastern and southern Europe. In addition, there are statistically significant and large frequency and duration trends in extreme (90th percentile) WBGT, especially at night near the Mediterranean, where there are approximately three additional extreme nights per decade and extreme event duration is more than one day longer each decade. Unlike in Europe, nighttime WBGT trends in the Southeast United States are larger and more widely statistically significant than daytime trends across most of the region. Like in Europe, there are large increases in the frequency and duration of extremes, particularly at night. For example, regions near the Gulf and in Flori</w:t>
      </w:r>
    </w:p>
    <w:p>
      <w:pPr/>
      <w:r>
        <w:rPr>
          <w:b/>
        </w:rPr>
        <w:t>POSSIBLE 2026:</w:t>
      </w:r>
      <w:r>
        <w:t xml:space="preserve"> SDGs DISCLOSURE DEPENDENCY ON INFORMATION ASYMMETRY TO REDUCE FIRMS’ STOCK VOLATILITY — https://doi.org/10.23969/jrak.v18i1.36044</w:t>
      </w:r>
    </w:p>
    <w:p>
      <w:pPr/>
      <w:r>
        <w:rPr>
          <w:b/>
        </w:rPr>
        <w:t>Shared claim-specific concepts:</w:t>
      </w:r>
      <w:r>
        <w:t xml:space="preserve"> show, dependency, higher; EU scope not established. This is a provisional connection, not an outcome finding.</w:t>
      </w:r>
    </w:p>
    <w:p>
      <w:pPr>
        <w:pStyle w:val="SourceNote"/>
      </w:pPr>
      <w:r>
        <w:rPr>
          <w:b/>
        </w:rPr>
        <w:t>Available abstract (not full text):</w:t>
      </w:r>
      <w:r>
        <w:t xml:space="preserve"> Motivated by limited SDGs financing and largely symbolic corporate engagement in Indonesia, concerns arise regarding how SDGs disclosure relates to stock volatility. This study examines the effect of SDGs disclosure on stock volatility and the role of information asymmetry, with SDGs disclosure decomposed into depth, breadth, and concentration. This quantitative study uses firms in the ESGQ KEHATI Index over 2020–2024, resulting in 197 firm-year observations and analyzed using panel regression. The findings indicate that SDGs disclosure tends to reduce stock volatility, although this effect depends on information asymmetry. At the dimensional level, depth is associated with higher volatility, while breadth and concentration show an inverse relationship. These findings provide empirical insights into the role of SDGs disclosure in capital market dynamics and contribute to the limited literature in Indonesia.</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pStyle w:val="Heading2"/>
      </w:pPr>
      <w:r>
        <w:t>764.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climate, policies, three, warming;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climate, information;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2024:</w:t>
      </w:r>
      <w:r>
        <w:t xml:space="preserve"> Nature-Based Tourism in National and Natural Parks in Europe: A Systematic Review — https://doi.org/10.3390/f15040588</w:t>
      </w:r>
    </w:p>
    <w:p>
      <w:pPr/>
      <w:r>
        <w:rPr>
          <w:b/>
        </w:rPr>
        <w:t>Shared claim-specific concepts:</w:t>
      </w:r>
      <w:r>
        <w:t xml:space="preserve"> knowledge, natural, strategies;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r>
        <w:rPr>
          <w:b/>
        </w:rPr>
        <w:t>POSSIBLE 2024:</w:t>
      </w:r>
      <w:r>
        <w:t xml:space="preserve"> Knowledge Management in Parliament. A quantitative overview for Europe — https://doi.org/10.52514/sier.v2i1.39</w:t>
      </w:r>
    </w:p>
    <w:p>
      <w:pPr/>
      <w:r>
        <w:rPr>
          <w:b/>
        </w:rPr>
        <w:t>Shared claim-specific concepts:</w:t>
      </w:r>
      <w:r>
        <w:t xml:space="preserve"> knowledge, information, work, flood; EU scope visible. This is a provisional connection, not an outcome finding.</w:t>
      </w:r>
    </w:p>
    <w:p>
      <w:pPr>
        <w:pStyle w:val="SourceNote"/>
      </w:pPr>
      <w:r>
        <w:rPr>
          <w:b/>
        </w:rPr>
        <w:t>Available abstract (not full text):</w:t>
      </w:r>
      <w:r>
        <w:t xml:space="preserve"> Despite being the fundamental pillar of our democratic systems, there has been a notable scarcity of research on knowledge management within parliamentary settings. The few existing approaches fail to consider the unique structure of parliaments and the challenges newly elected members face. Previous research concluded that knowledge in parliaments still tends to be tacit, informal, and not recorded. In view of the multitude of highly knowledge-intensive crises in the last decade, the need for political knowledge management becomes apparent. This paper investigates how members of the national parliaments in Europe manage their knowledge relevant for policy-making, using original data collected in a quantitative online-survey in mid-2023. I was able to show that both organizational and cultural barriers hinder good knowledge work and that a systematic approach is still not being pursued. I come to the conclusion that modern politics lacks sufficient resources and know-how to adequately evaluate and apply the flood of information in everyday business. This deficiency is especially detrimental to inexperienced MPs and members of the opposition. Building on these findings, a proposed model for political knowledge management is presented. The central pillars are, on the one hand, the creation of awareness, the formulation of a knowledge strategy, the more intensive integration of ex</w:t>
      </w:r>
    </w:p>
    <w:p>
      <w:pPr>
        <w:pStyle w:val="Heading2"/>
      </w:pPr>
      <w:r>
        <w:t>765.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2026:</w:t>
      </w:r>
      <w:r>
        <w:t xml:space="preserve"> Retrospective pig welfare assessment at rendering plants – a useful tool for monitoring and inspection — https://doi.org/10.1186/s40813-026-00504-6</w:t>
      </w:r>
    </w:p>
    <w:p>
      <w:pPr/>
      <w:r>
        <w:rPr>
          <w:b/>
        </w:rPr>
        <w:t>Shared claim-specific concepts:</w:t>
      </w:r>
      <w:r>
        <w:t xml:space="preserve"> useful, tool, number, present, until; EU scope visible. This is a provisional connection, not an outcome finding.</w:t>
      </w:r>
    </w:p>
    <w:p>
      <w:pPr>
        <w:pStyle w:val="SourceNote"/>
      </w:pPr>
      <w:r>
        <w:rPr>
          <w:b/>
        </w:rPr>
        <w:t>Available abstract (not full text):</w:t>
      </w:r>
      <w:r>
        <w:t xml:space="preserve"> BACKGROUND: The COUNCIL DIRECTIVE 98/58/EC (1) states that animal owners and care takers must ensure that animals under their care are not subjected to unnecessary pain, suffering and injury. Until now, rendering plants as a potential ‘exit’ in animal production have been largely ignored as a potential assessment site for animal welfare monitoring. The aim of the present work was to provide an overview of welfare-related lesions commonly found in pigs at rendering plants. Data collection was carried out in Austrian and German rendering plants and focussed on lesions that were expected to be recognizable for any pig farmer. RESULTS: In the Austrian study, 20.8% of all pigs delivered to a rendering plant showed lesions potentially associated with substantial pain and/or suffering. In Germany, 16.0% of examined pigs (sample A) may have been exposed to substantial pain and/or suffering. Most common lesions were biting wounds, ulcerative skin lesions and swellings. CONCLUSIONS: Based on the results it must be assumed that a considerable number of pigs experienced substantial pain and/or suffering prior to death. External examinations focusing on potentially welfare-relevant lesions carried out at rendering plants could be helpful in identifying farms at high risk of non-compliance with the Animal Welfare Act.</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Spirulina in the 21st century: Five reasons for success in Europe — https://doi.org/10.1007/s10811-025-03536-7</w:t>
      </w:r>
    </w:p>
    <w:p>
      <w:pPr/>
      <w:r>
        <w:rPr>
          <w:b/>
        </w:rPr>
        <w:t>Shared claim-specific concepts:</w:t>
      </w:r>
      <w:r>
        <w:t xml:space="preserve"> recognised, number, existing; EU scope visible. This is a provisional connection, not an outcome finding.</w:t>
      </w:r>
    </w:p>
    <w:p>
      <w:pPr>
        <w:pStyle w:val="SourceNote"/>
      </w:pPr>
      <w:r>
        <w:rPr>
          <w:b/>
        </w:rPr>
        <w:t>Available abstract (not full text):</w:t>
      </w:r>
      <w:r>
        <w:t xml:space="preserve"> The commercialised Spirulina (scientific name, Limnospira spp.), a filamentous multicellular blue-green cyanobacterium, is increasingly cultivated and utilised worldwide, including in Europe, as food and feed, due to its high nutritional value and health benefits. Its global usage has surged nearly tenfold over the past two decades, with annual production levels reaching around 30,000 tonnes of biomass according to FAO. The growing popularity of Spirulina stems from a rising demand but also from general acceptance as a protein alternative and a healthier and more sustainable source of food, thereby underlining the nutritional limitations and environmental impacts of conventional agricultural systems. Recognised as a healthy and safe food product, Spirulina is listed in the EU Food Catalog and, since 2017, has been officially categorised under the existing "Marine Algae" EU category and hence incorporated into the RCE 889/2008 EU regulation of organic products. The evolution of Spirulina research topics, on the number of large-scale cultivation sites and use of safe industrial processing technologies have brought Spirulina biomass to a global international scale providing safe products now able to be marketed under official EU regulation. Looking ahead, Spirulina's application has extended beyond the sole nutritional supplement benefit to become an ingredient in mainstream foods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pStyle w:val="Heading2"/>
      </w:pPr>
      <w:r>
        <w:t>766.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2026:</w:t>
      </w:r>
      <w:r>
        <w:t xml:space="preserve"> Regionally Stratified Analysis of Technology Adoption Curves for Aluminum Production (2023–2050) — https://doi.org/10.1201/9781003672807-9</w:t>
      </w:r>
    </w:p>
    <w:p>
      <w:pPr/>
      <w:r>
        <w:rPr>
          <w:b/>
        </w:rPr>
        <w:t>Shared claim-specific concepts:</w:t>
      </w:r>
      <w:r>
        <w:t xml:space="preserve"> business-as-usual, bau, union, compared; EU scope visible. This is a provisional connection, not an outcome finding.</w:t>
      </w:r>
    </w:p>
    <w:p>
      <w:pPr>
        <w:pStyle w:val="SourceNote"/>
      </w:pPr>
      <w:r>
        <w:rPr>
          <w:b/>
        </w:rPr>
        <w:t>Available abstract (not full text):</w:t>
      </w:r>
      <w:r>
        <w:t xml:space="preserve"> This study presents a groundbreaking regionally stratified analysis of technology adoption curves for aluminum production from 2023 to 2050, focusing on the transformative potential of hydrogen smelting, inert anode technology, and artificial intelligence (AI)-driven scrap sorting to decarbonize the sector. By evaluating four scenarios—Business-as-Usual (BAU), Assisted, Greater Support, and Smarter—the research reveals stark regional disparities in adoption rates, driven by policy frameworks, infrastructure readiness, and economic incentives. For instance, under the Smarter scenario, hydrogen smelting adoption soars to 90% in China and 100% in the European Union (EU) by 2050, while inert anode penetration reaches 75% in China and 95% in Japan, highlighting the catalytic role of state-backed initiatives and carbon pricing mechanisms. The study underscores how AI-based scrap sorting can achieve efficiency gains of up to 50% in advanced economies, transforming recycling into a high-precision, circular economy pillar. These findings illuminate the critical interplay between technological innovation, policy ambition, and regional resource endowments in shaping the aluminum industry’s low-carbon future. This study further integrates a sensitivity analysis of hydrogen price volatility, revealing its profound impact on regional adoption risks, with Africa facing critical challenges (ra</w:t>
      </w:r>
    </w:p>
    <w:p>
      <w:pPr/>
      <w:r>
        <w:rPr>
          <w:b/>
        </w:rPr>
        <w:t>POSSIBLE 2026:</w:t>
      </w:r>
      <w:r>
        <w:t xml:space="preserve"> Deliverable D5.2 (D10) Stakeholder validated baselines — https://doi.org/10.5281/zenodo.20410868</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Executive summary This deliverable presents the development of stakeholder-validated baseline scenarios within the BrightSpace project, structured as an iterative process combining modelling activities, database development, and structured stakeholder engagement. The baseline work builds on Deliverable D5.1 and integrates feedback from two stakeholder retreats held in Leuven (June 2024 and September 2025), which informed successive refinements of both a “business-as-usual” (BAU) baseline and a more exploratory “challenging” baseline. The resulting revised BAU baseline is provided as an electronic annex to this deliverable, while the challenging baseline is presented alongside its motivation and key differences. The baseline development process is embedded in a broader modelling framework linking major integrated assessment and partial equilibrium models (e.g. IMAGE, GLOBIOM, MAGNET, AGMEMOD, CAPRI, FarmDyn), ensuring consistency, complementarity, and uncertainty assessment across spatial scales and thematic domains. Stakeholder engagement played a central role in validating assumptions, identifying gaps, and refining model interpretations, particularly regarding macroeconomic drivers, demand-side developments, and structural uncertainties affecting EU food systems. The BAU baseline reflects updated projections of key socio-economic and biophysical drivers under continuation of </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2025:</w:t>
      </w:r>
      <w:r>
        <w:t xml:space="preserve"> Assessing material requirements, supply and circularity potentials for photovoltaic systems – the case of Cyprus — https://doi.org/10.1016/j.renene.2025.124357</w:t>
      </w:r>
    </w:p>
    <w:p>
      <w:pPr/>
      <w:r>
        <w:rPr>
          <w:b/>
        </w:rPr>
        <w:t>Shared claim-specific concepts:</w:t>
      </w:r>
      <w:r>
        <w:t xml:space="preserve"> business-as-usual, bau, union, increase; EU scope visible. This is a provisional connection, not an outcome finding.</w:t>
      </w:r>
    </w:p>
    <w:p>
      <w:pPr>
        <w:pStyle w:val="SourceNote"/>
      </w:pPr>
      <w:r>
        <w:rPr>
          <w:b/>
        </w:rPr>
        <w:t>Available abstract (not full text):</w:t>
      </w:r>
      <w:r>
        <w:t xml:space="preserve"> Solar photovoltaic (PV) systems play a crucial role in the global green energy transition, but their material requirements present challenges in terms of supply chain resilience. The required materials include concrete, steel, silver, cadmium, tellurium, indium, and selenium, as well as a range of other materials (aluminium, copper, silicon, germanium and gallium) that are considered either critical or strategically important due to their supply risks and economic importance. Although the challenges for PV systems are addressed in the ambitious European Green Deal of the European Union (EU) through circular economy strategies, implementation at the national level faces obstacles. To analyse the material implications of a green energy transition dominated by solar PVs, this paper focuses on Cyprus, an island country with a high solar energy potential and ambitious PV deployment targets. We use Material Flow Analysis to examine the retrospective and prospective material accumulations and trends under three scenarios: Business-As-Usual (BAU) that reflects a continuation of historical trends; With Existing Measures (WEM) which incorporates currently adopted and legislated policies; and Net-Zero Scenario (NZS) that targets full climate neutrality by 2050. The results show a substantial increase in material stocks across all scenarios, with the NZS projecting the most-significant gro</w:t>
      </w:r>
    </w:p>
    <w:p>
      <w:pPr/>
      <w:r>
        <w:rPr>
          <w:b/>
        </w:rPr>
        <w:t>POSSIBLE 2025:</w:t>
      </w:r>
      <w:r>
        <w:t xml:space="preserve"> Is geothermal and biomass energy a better alternative for seven renewable energy courteous countries: Evidence from Fourier ARDL , Fourier B ootstrap T oda‐ Y amamoto and wavelet coherence — https://doi.org/10.1002/ep.70090</w:t>
      </w:r>
    </w:p>
    <w:p>
      <w:pPr/>
      <w:r>
        <w:rPr>
          <w:b/>
        </w:rPr>
        <w:t>Shared claim-specific concepts:</w:t>
      </w:r>
      <w:r>
        <w:t xml:space="preserve"> seven, compared; EU scope visible. This is a provisional connection, not an outcome finding.</w:t>
      </w:r>
    </w:p>
    <w:p>
      <w:pPr>
        <w:pStyle w:val="SourceNote"/>
      </w:pPr>
      <w:r>
        <w:rPr>
          <w:b/>
        </w:rPr>
        <w:t>Available abstract (not full text):</w:t>
      </w:r>
      <w:r>
        <w:t xml:space="preserve"> Abstract This study examines geothermal and biomass energy as cleaner alternatives in seven renewable‐focused countries in the context of sustainable development and global carbon‐neutrality objectives. Geothermal power provides significant emission reductions, with facilities around 99% less CO 2 and 97% less SO 2 compared to equivalent fossil‐fuel plants. Biomass energy is regarded as carbon‐neutral in CO 2 assessments; however, it still emits SO 2 and NO x . We utilize a Fourier‐augmented bootstrap ARDL model to examine long‐term energy‐emissions relationships, a Fourier‐augmented Toda‐Yamamoto causality test, and wavelet coherence for time‐frequency co‐movements. Research indicates validation of the Environmental Kuznets Curve in certain economies (USA, Italy), but not in others (France, Portugal, New Zealand, Turkey, Australia). France has no Environmental Kuznets Curve impact. Data from the EEA for Italy indicate the possible advantages; geothermal expansion from 2005 to 2018 averted approximately 2 Mt of CO 2 and reduced around 0.9 kt of NO x and 0.7 kt of SO 2 . Current business‐as‐usual predictions significantly exceed net‐zero objectives, with existing commitments anticipated to result in around 22 Gt CO 2 emissions by 2050. Conversely, IEA models anticipate over 90% renewable electricity by 2050, emphasizing the benefits of geothermal and biomass optimization. Essent</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2024:</w:t>
      </w:r>
      <w:r>
        <w:t xml:space="preserve"> Evaluation of a Peer-to-Peer Smart Grid Using Digital Twins: A Case Study of a Remote European Island — https://doi.org/10.3390/en17225541</w:t>
      </w:r>
    </w:p>
    <w:p>
      <w:pPr/>
      <w:r>
        <w:rPr>
          <w:b/>
        </w:rPr>
        <w:t>Shared claim-specific concepts:</w:t>
      </w:r>
      <w:r>
        <w:t xml:space="preserve"> increase; EU scope visible. This is a provisional connection, not an outcome finding.</w:t>
      </w:r>
    </w:p>
    <w:p>
      <w:pPr>
        <w:pStyle w:val="SourceNote"/>
      </w:pPr>
      <w:r>
        <w:rPr>
          <w:b/>
        </w:rPr>
        <w:t>Available abstract (not full text):</w:t>
      </w:r>
      <w:r>
        <w:t xml:space="preserve"> Decarbonization of the built environment by electrifying energy systems and decarbonizing the electrical grid coupled with the digitization of these systems is a central strategy implemented by the European Commission (EC) to meet carbon reduction policies. The proliferation of technologies such as renewable energy sources (RES) and demand-side management (DSM) systems can be improved by using digital twins to predict and optimize their integration with existing systems. Digital twins in the built environment have been used for multiple purposes, such as predicting the performance of a system before its inception or optimizing its operation during use. To this end, a novel application of a combination of these technologies towards optimized DSM is peer-to-peer (P2P) energy trading, which can improve the local use of RES in the built environment. This paper investigates the potential of P2P energy trading in optimizing local RES of a remote island, Inishmore, Republic of Ireland, using a combination of data-driven and predictive digital twins towards the island’s journey to net zero. Data-driven digital twins are used to evaluate the current energy use at the pilot site. Predictive digital twins are applied to estimate the impact of applying P2P in the future and its influence on RES consumption at the pilot site. The findings show that in scenarios with limited RES coverage, P2</w:t>
      </w:r>
    </w:p>
    <w:p>
      <w:pPr>
        <w:pStyle w:val="Heading2"/>
      </w:pPr>
      <w:r>
        <w:t>767.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2026:</w:t>
      </w:r>
      <w:r>
        <w:t xml:space="preserve"> THE CONTENT OF GEOECOLOGICAL EDUCATION IN THE GENERAL SYSTEM OF SECONDARY EDUCATION: THE STATE OF SCIENTIFIC RESEARCH AND STUDIES — https://openalex.org/W7216943096</w:t>
      </w:r>
    </w:p>
    <w:p>
      <w:pPr/>
      <w:r>
        <w:rPr>
          <w:b/>
        </w:rPr>
        <w:t>Shared claim-specific concepts:</w:t>
      </w:r>
      <w:r>
        <w:t xml:space="preserve"> article, presented, system, general, secondary, education; EU scope not established. This is a provisional connection, not an outcome finding.</w:t>
      </w:r>
    </w:p>
    <w:p>
      <w:pPr>
        <w:pStyle w:val="SourceNote"/>
      </w:pPr>
      <w:r>
        <w:rPr>
          <w:b/>
        </w:rPr>
        <w:t>Available abstract (not full text):</w:t>
      </w:r>
      <w:r>
        <w:t xml:space="preserve"> The article is devoted to the analysis of the state of geoecological education in the general system of Secondary Education, the study of the content within the framework of scientific research, the popularization of existing experience and research. In it, the authors presented important scientific hypotheses, noting that the content of geoecological education aimed at the formation of a geoecological culture of schoolchildren, which is necessary to provide scientific, methodological and practical recommendations, has not become the subject of scientific research.</w:t>
      </w:r>
    </w:p>
    <w:p>
      <w:pPr/>
      <w:r>
        <w:rPr>
          <w:b/>
        </w:rPr>
        <w:t>POSSIBLE 2026:</w:t>
      </w:r>
      <w:r>
        <w:t xml:space="preserve"> The Role of the Article in Patterns of Modification in Greek — https://doi.org/10.3390/encyclopedia6060122</w:t>
      </w:r>
    </w:p>
    <w:p>
      <w:pPr/>
      <w:r>
        <w:rPr>
          <w:b/>
        </w:rPr>
        <w:t>Shared claim-specific concepts:</w:t>
      </w:r>
      <w:r>
        <w:t xml:space="preserve"> article, four, first, second; EU scope not established. This is a provisional connection, not an outcome finding.</w:t>
      </w:r>
    </w:p>
    <w:p>
      <w:pPr>
        <w:pStyle w:val="SourceNote"/>
      </w:pPr>
      <w:r>
        <w:rPr>
          <w:b/>
        </w:rPr>
        <w:t>Available abstract (not full text):</w:t>
      </w:r>
      <w:r>
        <w:t xml:space="preserve"> The present entry focuses on definiteness agreement patterns in Modern Greek by exploring the function of the definite article in structures that involve a head noun and a modifier—typically an adjective, but not only—that is also accompanied by the definite article. Such structures have been variously dubbed polydefinite noun phrases/Determiner Phrases (or, simply, polydefinites), appositions, (pseudo)partitives, and evaluative appositives in the numerous studies that have been put forward to account for them over the past four decades or so. The peculiarity of these structures is the very presence of the second definite article that shows up whenever the modified noun itself is definite; at first sight, this ‘second’ article seems redundant, or expletive. Polydefiniteness has earned a privileged position in the literature, as has been discussed extensively and in depth over the past thirty years or so. The aim of this entry is to provide i. a description of the patterns that involve a noun and a modifier accompanied by its own definite article, and ii. a comprehensive survey of the relevant literature by highlighting commonalities and differences across the basic studies that have been written about polydefiniteness.</w:t>
      </w:r>
    </w:p>
    <w:p>
      <w:pPr/>
      <w:r>
        <w:rPr>
          <w:b/>
        </w:rPr>
        <w:t>POSSIBLE 2026:</w:t>
      </w:r>
      <w:r>
        <w:t xml:space="preserve"> Pedagogical technology for designing a developing system of in-house training for teachers in a general education organization — https://doi.org/10.24923/2222-243x.2026-60.48</w:t>
      </w:r>
    </w:p>
    <w:p>
      <w:pPr/>
      <w:r>
        <w:rPr>
          <w:b/>
        </w:rPr>
        <w:t>Shared claim-specific concepts:</w:t>
      </w:r>
      <w:r>
        <w:t xml:space="preserve"> article, presented, system, general, education, characteristics; EU scope not established. This is a provisional connection, not an outcome finding.</w:t>
      </w:r>
    </w:p>
    <w:p>
      <w:pPr>
        <w:pStyle w:val="SourceNote"/>
      </w:pPr>
      <w:r>
        <w:rPr>
          <w:b/>
        </w:rPr>
        <w:t>Available abstract (not full text):</w:t>
      </w:r>
      <w:r>
        <w:t xml:space="preserve"> The article addresses the problem of improving the content and methods of informal professional development of specialists in the general education system. The results of the study are presented, the purpose of which is to substantiate and characterize the pedagogical technology of designing a developing system of intra-corporate education for teachers of a general education organization. The work is supported by a systematic methodology, the principle of regulated evolution, the idea of a self-learning organization, and a technological approach to creating educational systems. This expands the theoretical understanding of the design of informal learning processes for teachers. The scientific novelty of the obtained results is the characteristic of the bases, signs, stages and content of the technology of designing the developing system of intra-corporate education. During its design, the emphasis is placed on ensuring the developing potential of the system being created, its compliance with the characteristics of in-house training. The practical significance of the solution obtained lies in the possibility of using the proposed technology in the activities of specialists of educational institutions interested in improving the processes of continuous professional development of teachers of the general education system.</w:t>
      </w:r>
    </w:p>
    <w:p>
      <w:pPr/>
      <w:r>
        <w:rPr>
          <w:b/>
        </w:rPr>
        <w:t>POSSIBLE 2026:</w:t>
      </w:r>
      <w:r>
        <w:t xml:space="preserve"> ORGANIZATIONAL AND MANAGERIAL FOUNDATIONS OF FUNDRAISING IN THE SYSTEM OF GENERAL SECONDARY EDUCATION OF UKRAINE — https://doi.org/10.33989/2075-146x.2026.37.361684</w:t>
      </w:r>
    </w:p>
    <w:p>
      <w:pPr/>
      <w:r>
        <w:rPr>
          <w:b/>
        </w:rPr>
        <w:t>Shared claim-specific concepts:</w:t>
      </w:r>
      <w:r>
        <w:t xml:space="preserve"> article, presented, ukraine, system, general, secondary; EU scope not established. This is a provisional connection, not an outcome finding.</w:t>
      </w:r>
    </w:p>
    <w:p>
      <w:pPr>
        <w:pStyle w:val="SourceNote"/>
      </w:pPr>
      <w:r>
        <w:rPr>
          <w:b/>
        </w:rPr>
        <w:t>Available abstract (not full text):</w:t>
      </w:r>
      <w:r>
        <w:t xml:space="preserve"> The article examines the organizational and managerial foundations of fundraising activities in the system of general secondary education in Ukraine. The relevance of implementing fundraising as a strategic development tool is substantiated. It is determined that modern educational fundraising is evolving into a systemic activity grounded in strategic planning, partnership engagement, reputation management, transparency, and effective communication with stakeholders. The multifaceted nature of the concept of "fundraising" is clarified as a specific managerial activity, a resource support tool, a mechanism of strategic development, and an art of communication. The main structural components of fundraising activities are identified: resource, technological, subject-object, communication, and ethical-value components. The stages of the managerial cycle of fundraising activities in general secondary education institutions are characterized. Special attention is paid to substantiating the diagnostic system for assessing an educational institution's readiness to implement fundraising activities as an important organizational and managerial aspect. The expediency of using SWOT and PEST analyses to evaluate the internal potential of an educational institution, human resources, partnership opportunities, and external environmental risks is emphasized. The results of a survey on the stat</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2025:</w:t>
      </w:r>
      <w:r>
        <w:t xml:space="preserve"> History Education in the General Education System: Scientific Foundations and Educational Practice — https://doi.org/10.54884/1815-7041-2025-82-1-92-102</w:t>
      </w:r>
    </w:p>
    <w:p>
      <w:pPr/>
      <w:r>
        <w:rPr>
          <w:b/>
        </w:rPr>
        <w:t>Shared claim-specific concepts:</w:t>
      </w:r>
      <w:r>
        <w:t xml:space="preserve"> article, presented, system, general, education; EU scope not established. This is a provisional connection, not an outcome finding.</w:t>
      </w:r>
    </w:p>
    <w:p>
      <w:pPr>
        <w:pStyle w:val="SourceNote"/>
      </w:pPr>
      <w:r>
        <w:rPr>
          <w:b/>
        </w:rPr>
        <w:t>Available abstract (not full text):</w:t>
      </w:r>
      <w:r>
        <w:t xml:space="preserve"> The article is devoted to the study of the socio-pedagogical phenomenon of "history education" as well as the analysis of the established practice of implementing history education in the general education system. The conduction of terminological analysis made it possible to trace the evolution of the meaning and use of the concept of "history education" and to clarify its features and properties. The author's definition of historical education reveals its pedagogical essence and semantic meaning. History education is presented as a specially organized pedagogical process aimed at creating conditions for increasing the level of history literacy of an individual, which is considered as the basis for the formation of an all-Russian civic identity, collective history memory and the preservation of traditional spiritual, moral, cultural and history values. The results of the study present the current state of regional practice of implementing history education in general education organizations. The reliability of the obtained results is confirmed by the selected research methodology built on the basis of the use of systemic, activity-based, socio-cultural approaches and a number of pedagogical search methods: questionnaires, interviews, analytical processing of the obtained data, representativeness of the sample and its criteria, a comprehensive assessment of the significance of t</w:t>
      </w:r>
    </w:p>
    <w:p>
      <w:pPr>
        <w:pStyle w:val="Heading2"/>
      </w:pPr>
      <w:r>
        <w:t>768.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2026:</w:t>
      </w:r>
      <w:r>
        <w:t xml:space="preserve"> A finite-order answer to a problem of Erdős on maximum modulus points — https://doi.org/10.48550/arxiv.2607.09462</w:t>
      </w:r>
    </w:p>
    <w:p>
      <w:pPr/>
      <w:r>
        <w:rPr>
          <w:b/>
        </w:rPr>
        <w:t>Shared claim-specific concepts:</w:t>
      </w:r>
      <w:r>
        <w:t xml:space="preserve"> set, order, answer, question; EU scope not established. This is a provisional connection, not an outcome finding.</w:t>
      </w:r>
    </w:p>
    <w:p>
      <w:pPr>
        <w:pStyle w:val="SourceNote"/>
      </w:pPr>
      <w:r>
        <w:rPr>
          <w:b/>
        </w:rPr>
        <w:t>Available abstract (not full text):</w:t>
      </w:r>
      <w:r>
        <w:t xml:space="preserve"> In 1964, Erdős asked whether, for a non-monomial entire function, the number of maximum modulus points on the circle \(|z|=r\) can become arbitrarily large as $r\to\infty$. In 1968, Herzog and Piranian answered this question affirmatively, but without quantitative control on the resulting function. We prove that such an example can be chosen to have finite order and, moreover, to belong to the Eremenko--Lyubich class \(\B\). We also prove an interpolation theorem for maximum modulus sets: prescribed points with pairwise distinct moduli can be forced to lie in the maximum modulus set of some function in \(\B\), with finite order under a geometric separation condition.</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pStyle w:val="Heading2"/>
      </w:pPr>
      <w:r>
        <w:t>769.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2026:</w:t>
      </w:r>
      <w:r>
        <w:t xml:space="preserve"> The Relationship between Organisational Life Cycle and the Use of Multiple Performance Measures: A Configuration Approach — https://doi.org/10.22452/ajap.vol18no2.4</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Abstract Research aim: This study investigates the relationship between organisational life cycle (OLC) stages and the use of multiple performance measures (MPMs) across Indonesian manufacturers. A configuration approach was used to categorise companies into different OLC stages using Miller and Friesen’s (1984) typology. Design/ Methodology/ Approach: A survey method was utilised, with the respondents comprising 96 managers of Indonesian manufacturing companies. A cluster analysis with hierarchical agglomeration and Ward’s minimum variance method was used to classify companies into OLC stages. Analysis of variance (ANOVA) and pairwise comparison analysis were used to examine the hypotheses. Research finding: Significant differences in the usage of each and all MPM perspectives was observable across OLC stages. A greater extent of the use of each and all MPM perspectives was also demonstrated by companies in the growth stage, compared to those in the maturity and birth OLC stages. A greater extent of the use of the customer perspective and all MPM perspectives was documented by companies in the revival stage. The learning and growth perspective was implemented to a marginally greater extent by revival-stage companies than birth- and maturity-stage companies. Theoretical contribution/Originality: This study contributes to contingency-based OLC and performance measurement systems</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2025:</w:t>
      </w:r>
      <w:r>
        <w:t xml:space="preserve"> The deep approach to learning as a measure of quality education in accreditation — https://doi.org/10.1108/qae-04-2025-0088</w:t>
      </w:r>
    </w:p>
    <w:p>
      <w:pPr/>
      <w:r>
        <w:rPr>
          <w:b/>
        </w:rPr>
        <w:t>Shared claim-specific concepts:</w:t>
      </w:r>
      <w:r>
        <w:t xml:space="preserve"> approach, aimed, processes; EU scope not established. This is a provisional connection, not an outcome finding.</w:t>
      </w:r>
    </w:p>
    <w:p>
      <w:pPr>
        <w:pStyle w:val="SourceNote"/>
      </w:pPr>
      <w:r>
        <w:rPr>
          <w:b/>
        </w:rPr>
        <w:t>Available abstract (not full text):</w:t>
      </w:r>
      <w:r>
        <w:t xml:space="preserve"> Purpose This paper aims to offer an alternative approach to traditional accreditation processes for measuring the quality of learning in higher education. The paper emphasizes identifying specific learning environment variables that foster deep learning and demonstrable learning outcomes. Design/methodology/approach A survey of 873 students from public and private colleges was conducted. The relationship between the antecedents and consequences of a deep approach to learning was hypothesized using a conceptual model. Findings Learning environment variables like motivation, self-efficacy, curriculum and assessment emerged as robust predictors of deep learning, which in turn led to improved learning outcomes. Practical implications The implications extend beyond the academic realm, informing policy and accreditation frameworks aimed at fostering an enriched and effective learning environment. This paper advocates for the integration of student learning to provide a more nuanced and accurate understanding of educational quality. Originality/value The originality lies in the critical evaluation of traditional accreditation as the primary means of measuring the quality of learning in higher education and its proposition of a complementary approach focused directly on assessing the depth of student learning. This focus on the antecedents and consequences of deep learning, as a comple</w:t>
      </w:r>
    </w:p>
    <w:p>
      <w:pPr/>
      <w:r>
        <w:rPr>
          <w:b/>
        </w:rPr>
        <w:t>POSSIBLE 2025:</w:t>
      </w:r>
      <w:r>
        <w:t xml:space="preserve"> Establishing International Cooperation In The Use Of Transboundary Water Resources In Uzbekistan: Historical Approach And Contemporary Measures — https://doi.org/10.37547/ijhps/volume05issue09-06</w:t>
      </w:r>
    </w:p>
    <w:p>
      <w:pPr/>
      <w:r>
        <w:rPr>
          <w:b/>
        </w:rPr>
        <w:t>Shared claim-specific concepts:</w:t>
      </w:r>
      <w:r>
        <w:t xml:space="preserve"> approach, establish, measures; EU scope not established. This is a provisional connection, not an outcome finding.</w:t>
      </w:r>
    </w:p>
    <w:p>
      <w:pPr>
        <w:pStyle w:val="SourceNote"/>
      </w:pPr>
      <w:r>
        <w:rPr>
          <w:b/>
        </w:rPr>
        <w:t>Available abstract (not full text):</w:t>
      </w:r>
      <w:r>
        <w:t xml:space="preserve"> This article provides a comprehensive analysis of the Republic of Uzbekistan’s efforts to establish international cooperation in the management of transboundary water resources, with particular attention to the Amu Darya and Syr Darya river basins. Situating the issue within a historical perspective, the study critically examines the evolution of regional water policies from the Soviet era to the post-independence period, highlighting Uzbekistan’s initiatives, collaboration with international organizations, and the conceptual development of water diplomacy. The analysis underscores how historical legacies and contemporary challenges have shaped both bilateral and multilateral approaches to water governance in Central Asia. The findings contribute to the broader discourse on hydro-political relations and the role of water diplomacy in fostering regional stability, ecological sustainability, and socio-economic development.</w:t>
      </w:r>
    </w:p>
    <w:p>
      <w:pPr/>
      <w:r>
        <w:rPr>
          <w:b/>
        </w:rPr>
        <w:t>POSSIBLE 2025:</w:t>
      </w:r>
      <w:r>
        <w:t xml:space="preserve"> Establishing next-generation reference intervals for pro-gastrin-releasing peptide using a dynamic modeling approach — https://doi.org/10.1186/s12967-025-07014-z</w:t>
      </w:r>
    </w:p>
    <w:p>
      <w:pPr/>
      <w:r>
        <w:rPr>
          <w:b/>
        </w:rPr>
        <w:t>Shared claim-specific concepts:</w:t>
      </w:r>
      <w:r>
        <w:t xml:space="preserve"> approach, used, continuous; EU scope not established. This is a provisional connection, not an outcome finding.</w:t>
      </w:r>
    </w:p>
    <w:p>
      <w:pPr>
        <w:pStyle w:val="SourceNote"/>
      </w:pPr>
      <w:r>
        <w:rPr>
          <w:b/>
        </w:rPr>
        <w:t>Available abstract (not full text):</w:t>
      </w:r>
      <w:r>
        <w:t xml:space="preserve"> BACKGROUND: Serum pro-gastrin-releasing peptide (ProGRP) levels significantly vary with age. However, conventional partitioned reference intervals (RIs) fail to reflect the continuous and subtle physiological changes associated with aging. To address this limitation, we investigated the age- and sex-specific dynamics of ProGRP levels and innovatively developed next-generation RIs for adults and elderly individuals in North China. METHODS: A total of 4136 rigorously screened individuals (aged 20-80 years) were analyzed. The effects of age and sex on ProGRP levels were assessed using Mann-Whitney U tests, Spearman's correlation, and Kruskal-Wallis tests. The Harris-Boyd method was used to evaluate the necessity of sex or age partitioning. Age-partitioned RIs were established using a nonparametric method. Next-generation RI models were developed using generalized additive models for location, scale, and shape, with age-related dynamics visualized. The clinical applicability of both RI types was evaluated by comparing upper reference limit flagging rates across age subgroups; rates closer to the theoretical 2.5% were considered indicative of superior RI accuracy. RESULTS: Sex had a minimal and clinically insignificant effect on ProGRP levels. In contrast, age had a significant effect: concentrations remained stable until approximately 40 years of age, followed by progressive increa</w:t>
      </w:r>
    </w:p>
    <w:p>
      <w:pPr/>
      <w:r>
        <w:rPr>
          <w:b/>
        </w:rPr>
        <w:t>POSSIBLE 2025:</w:t>
      </w:r>
      <w:r>
        <w:t xml:space="preserve"> Enhancing Academic Excellence Using a Data-Driven Approach for NIRF Ranking Improvement of Newly Established IITs — https://doi.org/10.1109/autocom64127.2025.10957633</w:t>
      </w:r>
    </w:p>
    <w:p>
      <w:pPr/>
      <w:r>
        <w:rPr>
          <w:b/>
        </w:rPr>
        <w:t>Shared claim-specific concepts:</w:t>
      </w:r>
      <w:r>
        <w:t xml:space="preserve"> approach, measures, improvement; EU scope not established. This is a provisional connection, not an outcome finding.</w:t>
      </w:r>
    </w:p>
    <w:p>
      <w:pPr>
        <w:pStyle w:val="SourceNote"/>
      </w:pPr>
      <w:r>
        <w:rPr>
          <w:b/>
        </w:rPr>
        <w:t>Available abstract (not full text):</w:t>
      </w:r>
      <w:r>
        <w:t xml:space="preserve"> In this paper, we discuss the urgent need for better evaluation techniques in educational institutions, concentrating about 10 recently founded Indian Institutes of Technology (IITs). We point out that conventional bibliometric measures fall short of adequately expressing the research influence and capacities of these universities. In order to improve the rankings of these IITs in the National Institutional Ranking Framework (NIRF), we suggest a novel method to evaluate their academic output and impact using data analytics and altmetrics. Here we compare Scopus publishing figures against NIRF rankings over many years. Furthermore, we advocate a thorough evaluation strategy including social media metrics and other kinds of scholarly influence outside conventional references. Here we introduce ResNet-PSO, a deep learning technique whereby Particle Swarm Optimisation (PSO) is coupled with Residual Neural Networks (ResNet) to improve the accuracy and efficiency of our research. By means of ResNet-PSO for data analytics, we can obtain significant insights from extensive academic datasets, so augmenting a more complete knowledge of research trends and impact variables. Our work intends to provide academic institutions and legislators important insights to promote research quality and competitiveness by bridging the gap between current metrics and developing altmetrics.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pStyle w:val="Heading2"/>
      </w:pPr>
      <w:r>
        <w:t>770.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771.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2026:</w:t>
      </w:r>
      <w:r>
        <w:t xml:space="preserve"> Navigating global health futures under the Shared Socioeconomic Pathways — https://doi.org/10.1016/j.lanplh.2026.101514</w:t>
      </w:r>
    </w:p>
    <w:p>
      <w:pPr/>
      <w:r>
        <w:rPr>
          <w:b/>
        </w:rPr>
        <w:t>Shared claim-specific concepts:</w:t>
      </w:r>
      <w:r>
        <w:t xml:space="preserve"> shared, socioeconomic, pathways, ssps, climate, potential; EU scope not established. This is a provisional connection, not an outcome finding.</w:t>
      </w:r>
    </w:p>
    <w:p>
      <w:pPr>
        <w:pStyle w:val="SourceNote"/>
      </w:pPr>
      <w:r>
        <w:rPr>
          <w:b/>
        </w:rPr>
        <w:t>Available abstract (not full text):</w:t>
      </w:r>
      <w:r>
        <w:t xml:space="preserve"> The Shared Socioeconomic Pathways (SSPs) provide valuable insights to understand how future socioeconomic changes could alter the magnitude and pattern of climate-related risks across sectors, which might facilitate or hinder adaptation and mitigation responses. Many sectors have created SSP narrative extensions to specify insights for their domains. In this Viewpoint, we created health narrative extensions for the SSPs, considering socioeconomic and demographic drivers and population health and health-system drivers. The projected health-relevant trajectories diverge substantially over the course of the 21st century. The SSP3 and SSP4 narratives detail changes that could contribute considerable risks to health, whereas the SSP1 and SSP5 narratives highlight the role of effective governance and adequate resourcing in reducing climate-sensitive population health outcomes and health-system drivers. Given that climate forcing is considered exogenous to these narrative extensions, SSP5's favourable health driver paths do not account for the potential adverse impacts of this high-emissions pathway. The narratives elaborate population health drivers that can improve the policy relevance of population health and health-system risk projections associated with climate change across a range of possible pathways, and link these drivers with relevant cross-sectoral issues (eg, water and en</w:t>
      </w:r>
    </w:p>
    <w:p>
      <w:pPr/>
      <w:r>
        <w:rPr>
          <w:b/>
        </w:rPr>
        <w:t>POSSIBLE 2026:</w:t>
      </w:r>
      <w:r>
        <w:t xml:space="preserve"> UK livestock futures: co-designing Shared Socioeconomic Pathways — https://doi.org/10.1007/s10113-026-02625-8</w:t>
      </w:r>
    </w:p>
    <w:p>
      <w:pPr/>
      <w:r>
        <w:rPr>
          <w:b/>
        </w:rPr>
        <w:t>Shared claim-specific concepts:</w:t>
      </w:r>
      <w:r>
        <w:t xml:space="preserve"> shared, socioeconomic, pathways, alternative, societal, inform; EU scope not established. This is a provisional connection, not an outcome finding.</w:t>
      </w:r>
    </w:p>
    <w:p>
      <w:pPr>
        <w:pStyle w:val="SourceNote"/>
      </w:pPr>
      <w:r>
        <w:rPr>
          <w:b/>
        </w:rPr>
        <w:t>Available abstract (not full text):</w:t>
      </w:r>
      <w:r>
        <w:t xml:space="preserve"> Abstract The UK livestock sector faces complex socio-economic, political, and environmental challenges, requiring approaches for exploring trade-offs and resilience across a range of plausible futures. To address these challenges, this study develops the UK Livestock Shared Socioeconomic Pathways (UK-Livestock-SSPs) through an iterative, stakeholder-driven co-design process that incorporates UK livestock sector realities. Engaging diverse actors from policy, industry, academia, and civil society, we co-produce narratives, visual summaries, and semi-quantitative trends that capture sector-specific dynamics while remaining consistent with the global and regional SSP frameworks. Visual and interactive methods supported the co-design process by helping stakeholders articulate and examine their values, trade-offs, and priorities. The resulting five scenarios highlight interactions between governance, societal, and production drivers, emphasising the diversity of plausible futures, uncertainties, and potential trade-offs facing the sector. The scenario outputs support the exploration of alternative futures, and have the potential to inform policy, research, and decision making to assess sector vulnerabilities, mitigation and adaptation options, and resilience building strategies.</w:t>
      </w:r>
    </w:p>
    <w:p>
      <w:pPr/>
      <w:r>
        <w:rPr>
          <w:b/>
        </w:rPr>
        <w:t>POSSIBLE 2026:</w:t>
      </w:r>
      <w:r>
        <w:t xml:space="preserve"> Projections for the future of electoral democracy across the Shared Socioeconomic Pathways — https://doi.org/10.2139/ssrn.6294020</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Projections for the future of electoral democracy across the Shared Socioeconomic Pathways — https://doi.org/10.7910/dvn/zsyocq</w:t>
      </w:r>
    </w:p>
    <w:p>
      <w:pPr/>
      <w:r>
        <w:rPr>
          <w:b/>
        </w:rPr>
        <w:t>Shared claim-specific concepts:</w:t>
      </w:r>
      <w:r>
        <w:t xml:space="preserve"> shared, socioeconomic, pathways, inform, climate; EU scope not established. This is a provisional connection, not an outcome finding.</w:t>
      </w:r>
    </w:p>
    <w:p>
      <w:pPr>
        <w:pStyle w:val="SourceNote"/>
      </w:pPr>
      <w:r>
        <w:rPr>
          <w:b/>
        </w:rPr>
        <w:t>Available abstract (not full text):</w:t>
      </w:r>
      <w:r>
        <w:t xml:space="preserve"> The future of climate change and sustainable development will be shaped by future patterns of, among other things, democratic governance. However, while an important factor determining future patterns of mitigation and adaptation, projections of democracy remain largely missing from long-term quantitative projections that are used to inform a wide range of integrated assessment modeling. We introduce projections of long-term levels of democracy across the Shared Socioeconomic Pathways (SSP) in the International Futures model by creating a historical model of electoral democracy from macro-level structural correlates of democracy and then adjusting to meet the SSP narratives. We find that, through the end of the century, worlds of few challenges to adaptation are associated with substantial growth in electoral democracy. Alternatively, worlds of high challenges to both adaptation and mitigation see reductions in the average country level of electoral democracy by the year 2100 to levels last seen in the 1980s.</w:t>
      </w:r>
    </w:p>
    <w:p>
      <w:pPr/>
      <w:r>
        <w:rPr>
          <w:b/>
        </w:rPr>
        <w:t>POSSIBLE 2026:</w:t>
      </w:r>
      <w:r>
        <w:t xml:space="preserve"> Data centre energy demand projections within shared socioeconomic pathways — https://doi.org/10.1016/j.egycc.2026.100253</w:t>
      </w:r>
    </w:p>
    <w:p>
      <w:pPr/>
      <w:r>
        <w:rPr>
          <w:b/>
        </w:rPr>
        <w:t>Shared claim-specific concepts:</w:t>
      </w:r>
      <w:r>
        <w:t xml:space="preserve"> shared, socioeconomic, pathways, climate, within; EU scope not established. This is a provisional connection, not an outcome finding.</w:t>
      </w:r>
    </w:p>
    <w:p>
      <w:pPr>
        <w:pStyle w:val="SourceNote"/>
      </w:pPr>
      <w:r>
        <w:rPr>
          <w:b/>
        </w:rPr>
        <w:t>Available abstract (not full text):</w:t>
      </w:r>
      <w:r>
        <w:t xml:space="preserve"> Widespread digital transformation and the rapid expansion of data centres for artificial intelligence (AI) pose growing challenges for electricity systems and global climate targets. Many studies project near-term data centre energy demand, but few extend beyond five years due to the high degree of uncertainty in technological trends and a lack of robust and widely accepted methodologies. This is a problem for climate mitigation research that covers plausible scenario envelopes over longer time horizons to assess carbon budgets and warming outcomes. In this study, we extend data centre energy demand projections to 2050 within the Shared Socioeconomic Pathways (SSP) framework, aligning with common approaches in climate scenario analysis. Our method draws on three main historical periods since 2010 marked by distinctive trends in data centre service demand growth or efficiency gains, combined with projected future trends in digital transformation levels. Across the five SSP scenarios, we find global data centre electricity demand ranges widely, reaching between 1,800 and 5,000 TWh by 2050. We also find that the average weighted carbon intensity of electricity consumed by data centres must fall to below 100 gCO₂/kWh from 2030 to remain compatible with 1.5°C climate targets. Unlike most SSP-based studies, we find that uncertainties in data centre energy demand growth as a result of</w:t>
      </w:r>
    </w:p>
    <w:p>
      <w:pPr/>
      <w:r>
        <w:rPr>
          <w:b/>
        </w:rPr>
        <w:t>POSSIBLE 2026:</w:t>
      </w:r>
      <w:r>
        <w:t xml:space="preserve"> TECHNOLOGY WAQF: A NEW PARADIGM FOR SUSTAINABLE SOCIOECONOMIC DEVELOPMENT — https://doi.org/10.35631/aijbes.829106</w:t>
      </w:r>
    </w:p>
    <w:p>
      <w:pPr/>
      <w:r>
        <w:rPr>
          <w:b/>
        </w:rPr>
        <w:t>Shared claim-specific concepts:</w:t>
      </w:r>
      <w:r>
        <w:t xml:space="preserve"> shared, socioeconomic; EU scope not established. This is a provisional connection, not an outcome finding.</w:t>
      </w:r>
    </w:p>
    <w:p>
      <w:pPr>
        <w:pStyle w:val="SourceNote"/>
      </w:pPr>
      <w:r>
        <w:rPr>
          <w:b/>
        </w:rPr>
        <w:t>Available abstract (not full text):</w:t>
      </w:r>
      <w:r>
        <w:t xml:space="preserve"> Technological advancements have transformed the world's socio-economic conditions by changing the way knowledge is created, used and shared. In Islamic Social Finance, technology is used to improve the governance and operational efficiency of waqf institutions through the use of digital platforms, financial technology and blockchain applications. Therefore, the objective of this paper is to conceptualize Technology Waqf as a new paradigm in Islamic Social Finance and assess its ability to achieve sustainable socioeconomic development using a qualitative conceptual research design through a comprehensive study and thematic synthesis of waqf, Islamic Social Finance, digital transformation, sustainable development and Islamic legal literature. The characteristics, dimensions, principles and possible uses of Technology Waqf are being developed using a broad conceptual framework by conducting a critical analysis of existing current theories and practices. This research develops the idea of Technology Waqf which means the waqf of technological assets, whether tangible or intangible, of a techno-economic nature for the ongoing public benefit in accordance with Sharia. Compared to previous studies. this paper proposes that technology resources including digital infrastructure, software, artificial intelligence applications, intellectual property, technological knowledge, research facil</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pStyle w:val="Heading2"/>
      </w:pPr>
      <w:r>
        <w:t>772.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2025:</w:t>
      </w:r>
      <w:r>
        <w:t xml:space="preserve"> A framework for scalable ambient air pollution concentration estimation — https://doi.org/10.1017/eds.2025.9</w:t>
      </w:r>
    </w:p>
    <w:p>
      <w:pPr/>
      <w:r>
        <w:rPr>
          <w:b/>
        </w:rPr>
        <w:t>Shared claim-specific concepts:</w:t>
      </w:r>
      <w:r>
        <w:t xml:space="preserve"> concentrations, pm2, used, range; EU scope not established. This is a provisional connection, not an outcome finding.</w:t>
      </w:r>
    </w:p>
    <w:p>
      <w:pPr>
        <w:pStyle w:val="SourceNote"/>
      </w:pPr>
      <w:r>
        <w:rPr>
          <w:b/>
        </w:rPr>
        <w:t>Available abstract (not full text):</w:t>
      </w:r>
      <w:r>
        <w:t xml:space="preserve"> Abstract Ambient air pollution remains a global challenge, with adverse impacts on health and the environment. Addressing air pollution requires reliable data on pollutant concentrations, which form the foundation for interventions aimed at improving air quality. However, in many regions, including the United Kingdom, air pollution monitoring networks are characterized by spatial sparsity, heterogeneous placement, and frequent temporal data gaps, often due to issues such as power outages. We introduce a scalable data-driven supervised machine learning model framework designed to address temporal and spatial data gaps by filling missing measurements within the United Kingdom. The machine learning framework used is LightGBM, a gradient boosting algorithm based on decision trees, for efficient and scalable modeling. This approach provides a comprehensive dataset for England throughout 2018 at a 1 km2 hourly resolution. Leveraging machine learning techniques and real-world data from the sparsely distributed monitoring stations, we generate 355,827 synthetic monitoring stations across the study area. Validation was conducted to assess the model’s performance in forecasting, estimating missing locations, and capturing peak concentrations. The resulting dataset is of particular interest to a diverse range of stakeholders engaged in downstream assessments supported by outdoor air pollu</w:t>
      </w:r>
    </w:p>
    <w:p>
      <w:pPr>
        <w:pStyle w:val="Heading2"/>
      </w:pPr>
      <w:r>
        <w:t>773.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2025:</w:t>
      </w:r>
      <w:r>
        <w:t xml:space="preserve"> Gender equality plans and institutional change: pathways for substantial and sustainable outcomes — https://openalex.org/W7132644943</w:t>
      </w:r>
    </w:p>
    <w:p>
      <w:pPr/>
      <w:r>
        <w:rPr>
          <w:b/>
        </w:rPr>
        <w:t>Shared claim-specific concepts:</w:t>
      </w:r>
      <w:r>
        <w:t xml:space="preserve"> outcomes, support, national, plans; EU scope visible. This is a provisional connection, not an outcome finding.</w:t>
      </w:r>
    </w:p>
    <w:p>
      <w:pPr>
        <w:pStyle w:val="SourceNote"/>
      </w:pPr>
      <w:r>
        <w:rPr>
          <w:b/>
        </w:rPr>
        <w:t>Available abstract (not full text):</w:t>
      </w:r>
      <w:r>
        <w:t xml:space="preserve"> In recent decades, the structural change approach has become central to addressing gender inequality in European Research and Innovation (R&amp;I) policies. Through FP7 and Horizon 2020, the European Commission funded Gender Equality Plans (GEPs) in Research Performing and Funding Organisations. More recently, under Horizon Europe (2021-2027), GEPs have become mandatory for institutions seeking funding. Despite these efforts, progress in achieving gender equality remains uneven and slow, as noted in reports such as She Figures 2021 and scholarly analyses. This thesis explores barriers and opportunities to progress by analysing institutional change as a process, examining whether there is a shared understanding of the goal among stakeholders, identifying facilitators and barriers to GEP implementation, and evaluating factors affecting the sustainability of institutional changes in the long haul. Grounded in gender studies, organisational studies, and political science theories, particularly Feminist Institutionalism (FI), it explores the interplay of formal and informal rules, structure and agency dynamics, and the role of power, resistance, and strategic actions in institutional transformation. The research centres on the GEARING-Roles project, a Horizon 2020-funded initiative implementing GEPs in six European academic institutions, and includes additional data from other FP7 and H</w:t>
      </w:r>
    </w:p>
    <w:p>
      <w:pPr/>
      <w:r>
        <w:rPr>
          <w:b/>
        </w:rPr>
        <w:t>POSSIBLE 2025:</w:t>
      </w:r>
      <w:r>
        <w:t xml:space="preserve"> Hippocampal-entorhinal cognitive maps and cortical motor system represent action plans and their outcomes — https://doi.org/10.1038/s41467-025-59153-y</w:t>
      </w:r>
    </w:p>
    <w:p>
      <w:pPr/>
      <w:r>
        <w:rPr>
          <w:b/>
        </w:rPr>
        <w:t>Shared claim-specific concepts:</w:t>
      </w:r>
      <w:r>
        <w:t xml:space="preserve"> outcomes, plans, showing, system; EU scope not established. This is a provisional connection, not an outcome finding.</w:t>
      </w:r>
    </w:p>
    <w:p>
      <w:pPr>
        <w:pStyle w:val="SourceNote"/>
      </w:pPr>
      <w:r>
        <w:rPr>
          <w:b/>
        </w:rPr>
        <w:t>Available abstract (not full text):</w:t>
      </w:r>
      <w:r>
        <w:t xml:space="preserve"> Efficiently interacting with the environment requires weighing and selecting among multiple alternative actions based on their associated outcomes. However, the neural mechanisms underlying these processes are still debated. We show that forming relations between arbitrary action-outcome associations involve building a cognitive map. Using an immersive virtual reality paradigm, participants learned 2D abstract motor action-outcome associations and later compared action combinations while their brain activity was monitored with fMRI. We observe a hexadirectional modulation of the activity in entorhinal cortex while participants compared different action plans. Furthermore, hippocampal activity scales with the 2D similarity between outcomes of these action plans. Conversely, the supplementary motor area represents individual actions, showing a stronger response to overlapping action plans. Crucially, the connectivity between hippocampus and supplementary motor area is modulated by the similarity between the action plans, suggesting their complementary roles in action evaluation. These findings provide evidence for the role of cognitive maps in action selection, challenging classical models of memory taxonomy and its neural bases.</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pStyle w:val="Heading2"/>
      </w:pPr>
      <w:r>
        <w:t>774.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2026:</w:t>
      </w:r>
      <w:r>
        <w:t xml:space="preserve"> Multi-objective supply chain optimization of renewable energy carrier imports for Europe — https://doi.org/10.1016/j.apenergy.2026.127884</w:t>
      </w:r>
    </w:p>
    <w:p>
      <w:pPr/>
      <w:r>
        <w:rPr>
          <w:b/>
        </w:rPr>
        <w:t>Shared claim-specific concepts:</w:t>
      </w:r>
      <w:r>
        <w:t xml:space="preserve"> present, renewable; EU scope visible. This is a provisional connection, not an outcome finding.</w:t>
      </w:r>
    </w:p>
    <w:p>
      <w:pPr>
        <w:pStyle w:val="SourceNote"/>
      </w:pPr>
      <w:r>
        <w:rPr>
          <w:b/>
        </w:rPr>
        <w:t>Available abstract (not full text):</w:t>
      </w:r>
      <w:r>
        <w:t xml:space="preserve"> The transition toward climate neutrality requires the adoption of renewable energy carriers (RECs). Spatial disconnects between renewable energy production in resource-rich regions and its utilization in resource-deficit regions create the need for supply chains that enable long-distance transport of RECs. To ensure sustainable REC supply chains, we must prioritize affordability, low environmental impact, and supply security. We propose a multi-period, multi-objective, mixed-integer quadratic programming model to design supply chains for importing RECs, including strategic decisions on exporting regions, resource allocation, and infrastructure for production and transportation. We evaluate economic, environmental, and supply-security aspects by minimizing net present cost, greenhouse gas (GHG) emissions, and a supply-security risk approximation measured as a political-risk-weighted Herfindahl–Hirschman index. A European case study shows that, compared with a cost-optimal solution, a supply risk-optimal approach reduces the supply-security risk index by 90% but increases cost by 190%, while a GHG-optimal solution reduces emissions by 12% at an additional cost of 232%. Hence, balancing cost, emissions, and supply-security remains essential for REC import planning. Our findings inform Europe's future REC imports, supporting decision-makers in shaping robust REC partnerships and fa</w:t>
      </w:r>
    </w:p>
    <w:p>
      <w:pPr/>
      <w:r>
        <w:rPr>
          <w:b/>
        </w:rPr>
        <w:t>POSSIBLE 2026:</w:t>
      </w:r>
      <w:r>
        <w:t xml:space="preserve"> Readiness Supply Chains for Scaled Manufacturing of Hydrogen Electrolyzers in Europe for Hydrogen Mobility Applications — https://doi.org/10.7862/tiam.2026.2.6</w:t>
      </w:r>
    </w:p>
    <w:p>
      <w:pPr/>
      <w:r>
        <w:rPr>
          <w:b/>
        </w:rPr>
        <w:t>Shared claim-specific concepts:</w:t>
      </w:r>
      <w:r>
        <w:t xml:space="preserve"> increase, technologies, developed, renewable, union, based; EU scope visible. This is a provisional connection, not an outcome finding.</w:t>
      </w:r>
    </w:p>
    <w:p>
      <w:pPr>
        <w:pStyle w:val="SourceNote"/>
      </w:pPr>
      <w:r>
        <w:rPr>
          <w:b/>
        </w:rPr>
        <w:t>Available abstract (not full text):</w:t>
      </w:r>
      <w:r>
        <w:t xml:space="preserve"> Hydrogen is increasingly recognised as an important energy carrier supporting the decarbonisation of industry, transport and energy systems. The development of hydrogen mobility may significantly increase the demand for electrolysers capable of producing high-purity hydrogen at a competitive cost. However, the transition from pilot projects to industrial production requires not only technological development, but also the preparation of assembly processes and supply chains. The aim of this article is to assess the readiness of the European supply chain for scaled electrolyser production and the assembly of hydrogen production systems, with particular attention to the needs of the hydrogen mobility sector. The analysis covers four electrolyser technologies developed in Europe: AEL, PEM, AEM and SOEC. PEM technology was analysed in detail due to its ability to produce high-purity hydrogen and its suitability for integration with renewable energy sources. The study was based on desk research, including the analysis of industry reports, manufacturers’ information, scientific publications and European Union documents. The main assemblies, subassemblies and components of a PEM system were identified, and selected elements were assessed in terms of sourcing model, supplier concentration, import dependence and quality requirements. The results indicate that Europe has significant techn</w:t>
      </w:r>
    </w:p>
    <w:p>
      <w:pPr/>
      <w:r>
        <w:rPr>
          <w:b/>
        </w:rPr>
        <w:t>POSSIBLE 2026:</w:t>
      </w:r>
      <w:r>
        <w:t xml:space="preserve"> Enabling the Circular Food Economy Through Industry 4.0: A Review of Applications, Challenges, and Policies in the European Union — https://doi.org/10.1111/1541-4337.70431</w:t>
      </w:r>
    </w:p>
    <w:p>
      <w:pPr/>
      <w:r>
        <w:rPr>
          <w:b/>
        </w:rPr>
        <w:t>Shared claim-specific concepts:</w:t>
      </w:r>
      <w:r>
        <w:t xml:space="preserve"> technologies, union; EU scope visible. This is a provisional connection, not an outcome finding.</w:t>
      </w:r>
    </w:p>
    <w:p>
      <w:pPr>
        <w:pStyle w:val="SourceNote"/>
      </w:pPr>
      <w:r>
        <w:rPr>
          <w:b/>
        </w:rPr>
        <w:t>Available abstract (not full text):</w:t>
      </w:r>
      <w:r>
        <w:t xml:space="preserve"> The transition to a circular economy (CE) is a critical strategy for improving the sustainability and resilience of the global food system. Industry 4.0 (I4.0) and its associated digital technologies offer a powerful means of accelerating this transformation. This systematic review provides a comprehensive analysis of the synergy between I4.0 and the CE within the European Union's food supply chain, integrating technological applications, implementation barriers, and policy frameworks. Key I4.0 applications are reviewed across the CE hierarchy, including artificial intelligence (AI)-driven demand forecasting and precision agriculture for waste prevention, machine learning-optimized bioprocessing for valorizing by-products into food-grade ingredients, and blockchain and the Internet of Things for enhancing traceability and transparency in circular flows. However, the transition faces significant barriers. Technological challenges include a lack of interoperability and data standards. Economic hurdles involve high initial investment costs and uncertain returns on investment, particularly for small- and medium-sized enterprises (SMEs). Furthermore, managerial and organizational inertia stems from a digital skills gap and resistance to change, while social concerns relate to consumer acceptance, data privacy, and digital equity. Synthesizing these findings, this review articulates </w:t>
      </w:r>
    </w:p>
    <w:p>
      <w:pPr/>
      <w:r>
        <w:rPr>
          <w:b/>
        </w:rPr>
        <w:t>POSSIBLE 2026:</w:t>
      </w:r>
      <w:r>
        <w:t xml:space="preserve"> Biofuels, green finance, and economic expansion: empirical evidence from the European Union — https://doi.org/10.1186/s40854-025-00825-5</w:t>
      </w:r>
    </w:p>
    <w:p>
      <w:pPr/>
      <w:r>
        <w:rPr>
          <w:b/>
        </w:rPr>
        <w:t>Shared claim-specific concepts:</w:t>
      </w:r>
      <w:r>
        <w:t xml:space="preserve"> biofuel, abstract, union; EU scope visible. This is a provisional connection, not an outcome finding.</w:t>
      </w:r>
    </w:p>
    <w:p>
      <w:pPr>
        <w:pStyle w:val="SourceNote"/>
      </w:pPr>
      <w:r>
        <w:rPr>
          <w:b/>
        </w:rPr>
        <w:t>Available abstract (not full text):</w:t>
      </w:r>
      <w:r>
        <w:t xml:space="preserve"> Abstract This study examines the role of biofuel production and consumption, alongside green finance, in driving economic expansion within the European Union (EU). Employing panel data from EU countries spanning 2001–2022, the analysis follows a rigorous econometric approach. The econometric approach includes unit root tests (Im–Persaran–Shin and ADF), panel cointegration tests (Pedroni and Kao residual tests), cointegrating regressions (FMOLS and DOLS), and robustness tests (fixed effects, random effects, and systems GMM). The findings reveal that both biofuel production and consumption significantly contribute to the EU’s economic expansion, reinforcing the circular economy framework. In addition, green finance enhances biofuel consumption, further supporting economic growth. The findings also reveal that biofuel production and green finance have a more significant effect on smaller economies than on larger ones. These insights underscore the need for EU policymakers to prioritize cost-effective biofuel production and implement strategies that stimulate consumption, fostering long-term sustainable development.</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developed, present, presents;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pStyle w:val="Heading2"/>
      </w:pPr>
      <w:r>
        <w:t>775.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2026:</w:t>
      </w:r>
      <w:r>
        <w:t xml:space="preserve"> Developing an expert-informed framework for flipped lesson design in physical education: a European Delphi study — https://doi.org/10.1057/s41599-026-09199-0</w:t>
      </w:r>
    </w:p>
    <w:p>
      <w:pPr/>
      <w:r>
        <w:rPr>
          <w:b/>
        </w:rPr>
        <w:t>Shared claim-specific concepts:</w:t>
      </w:r>
      <w:r>
        <w:t xml:space="preserve"> design, approach, delphi, experts, findings; EU scope visible. This is a provisional connection, not an outcome finding.</w:t>
      </w:r>
    </w:p>
    <w:p>
      <w:pPr>
        <w:pStyle w:val="SourceNote"/>
      </w:pPr>
      <w:r>
        <w:rPr>
          <w:b/>
        </w:rPr>
        <w:t>Available abstract (not full text):</w:t>
      </w:r>
      <w:r>
        <w:t xml:space="preserve"> Contemporary education has increasingly emphasised student-centred approaches that encourage active participation, collaboration, and greater learner responsibility. Within this broader pedagogical shift, flipped learning has emerged as an approach that relocates selected instructional content to the pre-class phase so that face-to-face time can be used more extensively for application, interaction, feedback, and active learning. In physical education, this structure may be particularly valuable because lesson time is strongly oriented towards movement, practice, and interpersonal engagement. This research paper aims to develop a consensus-informed framework for the design and implementation of flipped lessons in physical education across European contexts. This European Delphi Study utilises the classic three-round Delphi approach. Invitation letters were sent to 50 European experts. Of the 50 invited experts, 20 agreed to participate in the Delphi study, resulting in a response rate of 40%. The findings informed the development of an expert-informed framework for flipped lesson design in physical education. The three-round iterative process achieved strong, statistically significant concordance for Knowledge and Skills, while the Attitudes &amp; Values dimension demonstrated statistically significant but weak agreement. The resulting European Framework for Transformative Flipped </w:t>
      </w:r>
    </w:p>
    <w:p>
      <w:pPr/>
      <w:r>
        <w:rPr>
          <w:b/>
        </w:rPr>
        <w:t>POSSIBLE 2026:</w:t>
      </w:r>
      <w:r>
        <w:t xml:space="preserve"> Evolution and Implementation of the Delphi Method in Archival Theory and Practice — https://doi.org/10.33700/2670-4579.36.1.31-60(2026)</w:t>
      </w:r>
    </w:p>
    <w:p>
      <w:pPr/>
      <w:r>
        <w:rPr>
          <w:b/>
        </w:rPr>
        <w:t>Shared claim-specific concepts:</w:t>
      </w:r>
      <w:r>
        <w:t xml:space="preserve"> design, approach, delphi, method, findings; EU scope not established. This is a provisional connection, not an outcome finding.</w:t>
      </w:r>
    </w:p>
    <w:p>
      <w:pPr>
        <w:pStyle w:val="SourceNote"/>
      </w:pPr>
      <w:r>
        <w:rPr>
          <w:b/>
        </w:rPr>
        <w:t>Available abstract (not full text):</w:t>
      </w:r>
      <w:r>
        <w:t xml:space="preserve"> Purpose: The article examines whether, and in what ways, the Delphi method is methodologically appropriate for addressing contemporary challenges in archival theory and practice, particularly those arising from digital transformation, technological change, and the growing complexity of archival decision making. Method/Approach: The study adopts a qualitative, exploratory research design based on a systematic review and analytical synthesis of methodological and empirical literature. Sources were identified through the Scopus, Emerald Insight, and Springer Nature Link databases and complemented by foundational literature to capture the theoretical origins, development, and variants of the Delphi method. A comparative analysis of major Delphi variants (classical, modified, policy, decision, real-time, argument, and disaggregative) was conducted to assess their methodological characteristics and applicability to specific archival research domains. Results: The analysis demonstrates that the Delphi method is well suited to archival research problems characterized by uncertainty, limited empirical evidence, and normative judgment. Different Delphi variants address distinct research needs: classical and modified Delphi support consensus building, policy, and argument Delphi structure normative and legal debates, while real-time and disaggregative Delphi facilitate rapid iteration and</w:t>
      </w:r>
    </w:p>
    <w:p>
      <w:pPr/>
      <w:r>
        <w:rPr>
          <w:b/>
        </w:rPr>
        <w:t>POSSIBLE 2026:</w:t>
      </w:r>
      <w:r>
        <w:t xml:space="preserve"> Generalized Design Methodology for Dual-Arm Robotic Platforms: From Conceptualization to Experimental Validation Within the MANiBOT Framework — https://doi.org/10.3390/machines14010074</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work proposes a general methodology for the design and experimental validation of dual-arm robotic platforms intended for intelligent manipulation tasks in real-world environments. The proposed framework formalizes the complete engineering process, from the definition of functional requirements to the structural validation of the final prototype, ensuring reproducibility and adaptability across different applications. The methodology is organized into five main stages: (i) requirement analysis and context characterization; (ii) conceptual architecture definition; (iii) detailed mechanical design and structural analysis; (iv) prototype construction and integration; and (v) experimental validation and iterative refinement. Each stage defines its expected deliverables, evaluation metrics, and decision criteria to support systematic design progression. The approach is demonstrated through its implementation within the European project MANiBOT, where the framework guided the development of a modular bimanual robotic platform capable of integrating collaborative manipulators and conveyor subsystems for dual-arm manipulation. Structural testing, deflection measurements, and stability analyses confirmed the robustness and safety of the resulting design. Beyond this specific case, the proposed methodology provides a replicable and extensible design reference for research and indust</w:t>
      </w:r>
    </w:p>
    <w:p>
      <w:pPr/>
      <w:r>
        <w:rPr>
          <w:b/>
        </w:rPr>
        <w:t>POSSIBLE 2026:</w:t>
      </w:r>
      <w:r>
        <w:t xml:space="preserve"> Use of New Approach Methodologies for the assessment of Endocrine Disruption within European union regulatory frameworks: Report from the 2024 European partnership for alternative approaches (EPAA) partners’ forum — https://doi.org/10.1016/j.namjnl.2026.100093</w:t>
      </w:r>
    </w:p>
    <w:p>
      <w:pPr/>
      <w:r>
        <w:rPr>
          <w:b/>
        </w:rPr>
        <w:t>Shared claim-specific concepts:</w:t>
      </w:r>
      <w:r>
        <w:t xml:space="preserve"> design, approach, relevant; EU scope visible. This is a provisional connection, not an outcome finding.</w:t>
      </w:r>
    </w:p>
    <w:p>
      <w:pPr>
        <w:pStyle w:val="SourceNote"/>
      </w:pPr>
      <w:r>
        <w:rPr>
          <w:b/>
        </w:rPr>
        <w:t>Available abstract (not full text):</w:t>
      </w:r>
      <w:r>
        <w:t xml:space="preserve"> New Approach Methodologies (NAMs) are increasingly used across industrial sectors to assess chemicals for endocrine activity and support endocrine disruption assessment. The European Partnership for Alternative Approaches to Animal Testing (EPAA) conducted a strategic, cross-sector review of NAM-based frameworks within the EU regulatory context to capture lessons learned, identify scientific gaps, and explore opportunities for collaboration. A key challenge is that most current in vitro NAMs cannot, by design, demonstrate endocrine-mediated adversity in an intact organism. Because evidence of adversity is required to define an endocrine disruptor, this limits the ability of NAMs to replace animal-based endocrine disruptor tests unless clear links between endocrine activity and adverse outcomes are established. Refocusing adverse outcome pathways (AOPs) on improving the predictive capacity of endocrine activity assays, rather than directly demonstrating adversity, could enhance NAM development and application. Additional gaps include limited information on internal exposure, the role of potency, and adequate coverage of sensitive life stages—an issue relevant to both NAMs and in vivo studies. Building regulatory trust in existing and emerging in vitro and in silico methods is essential and will require agreement on acceptable levels of uncertainty and confidence that NAM-based p</w:t>
      </w:r>
    </w:p>
    <w:p>
      <w:pPr/>
      <w:r>
        <w:rPr>
          <w:b/>
        </w:rPr>
        <w:t>POSSIBLE 2026:</w:t>
      </w:r>
      <w:r>
        <w:t xml:space="preserve"> Consensus research priorities for cancer nursing in Europe: A Delphi study — https://doi.org/10.1016/j.ejon.2026.103102</w:t>
      </w:r>
    </w:p>
    <w:p>
      <w:pPr/>
      <w:r>
        <w:rPr>
          <w:b/>
        </w:rPr>
        <w:t>Shared claim-specific concepts:</w:t>
      </w:r>
      <w:r>
        <w:t xml:space="preserve"> delphi, method, experts, relevant, findings; EU scope visible. This is a provisional connection, not an outcome finding.</w:t>
      </w:r>
    </w:p>
    <w:p>
      <w:pPr>
        <w:pStyle w:val="SourceNote"/>
      </w:pPr>
      <w:r>
        <w:rPr>
          <w:b/>
        </w:rPr>
        <w:t>Available abstract (not full text):</w:t>
      </w:r>
      <w:r>
        <w:t xml:space="preserve"> PURPOSE: Identifying priority areas for cancer nursing research is essential for aligning research efforts with regional needs and improving outcomes for people affected by cancer. This Delphi study aimed to develop a strategic agenda of cancer nursing research priorities relevant to the European context. METHOD: A panel of experts in cancer nursing practice, research, policy, and education participated in a three-round Delphi study. A total of 115 research topics across 11 thematic areas were pre-identified through a systematic review and consultation with cancer nurses. From September 2023 to March 2024, participants ranked the importance of each topic. Final prioritisation was based on weighted average rankings and an 80 % consensus threshold in round 3. RESULTS: Eighty-one cancer nursing experts participated in at least one round, with 57 completing all three rounds. In round 3, consensus was achieved for 73 of 123 items (59.3 %). The three highest-ranked thematic areas for future research were: 1) nurse-led care and models of cancer care, 2) unmet needs in cancer care, and 3) education, training, and professional development for nurses. The top three specific research priorities were: 1) understanding factors influencing recruitment, retention, and turnover within the European oncology nursing workforce, 2) evaluating the effectiveness of nurse-led interventions for people</w:t>
      </w:r>
    </w:p>
    <w:p>
      <w:pPr/>
      <w:r>
        <w:rPr>
          <w:b/>
        </w:rPr>
        <w:t>POSSIBLE 2026:</w:t>
      </w:r>
      <w:r>
        <w:t xml:space="preserve"> Which methodologies and methods should be used for psychosocial intervention research in dementia? Protocol for a stakeholder-driven, multi-method Delphi study — https://doi.org/10.1136/bmjopen-2026-122720</w:t>
      </w:r>
    </w:p>
    <w:p>
      <w:pPr/>
      <w:r>
        <w:rPr>
          <w:b/>
        </w:rPr>
        <w:t>Shared claim-specific concepts:</w:t>
      </w:r>
      <w:r>
        <w:t xml:space="preserve"> design, methodology, delphi, relevant; EU scope not established. This is a provisional connection, not an outcome finding.</w:t>
      </w:r>
    </w:p>
    <w:p>
      <w:pPr>
        <w:pStyle w:val="SourceNote"/>
      </w:pPr>
      <w:r>
        <w:rPr>
          <w:b/>
        </w:rPr>
        <w:t>Available abstract (not full text):</w:t>
      </w:r>
      <w:r>
        <w:t xml:space="preserve"> INTRODUCTION: Psychosocial interventions are essential to support people living with dementia and their carers. A consensus on what is most important for research on psychosocial intervention in dementia and how intervention studies should best be conducted is currently lacking. This protocol describes the research plan aimed at achieving consensus on (i) the relevance of core elements (CEs) for the development, feasibility testing/piloting, evaluation and/or implementation phases of psychosocial interventions in dementia and (ii) methodologies (eg, design) and methods most suitable to address CEs per phase. METHODS AND ANALYSIS: This study was co-designed with a multi-stakeholder advisory group and a multi-disciplinary INTERDEM (psychosocial INTERventions in DEMentia) Methodology Taskforce steering committee. It will involve a multi-phase modified Delphi design, including surveys and group discussions with stakeholders, namely people living with dementia, (informal/unpaid/family) carers, health and social care professionals, policy makers, representatives from insurance companies and psychosocial researchers. A series of iterative 'rounds' will be conducted. In round 1 (Phase 1: 'identification'), stakeholders will be asked to complete an online survey rating the importance of CEs from the UK Medical Research Council (MRC) Framework, namely (i) consider context; (ii) develop, </w:t>
      </w:r>
    </w:p>
    <w:p>
      <w:pPr>
        <w:pStyle w:val="Heading2"/>
      </w:pPr>
      <w:r>
        <w:t>776.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2026:</w:t>
      </w:r>
      <w:r>
        <w:t xml:space="preserve"> The Impact of Migration on Spaces: Religious Dynamics in Contemporary Europe — https://doi.org/10.14207/ejsd.2026.v15n4p535</w:t>
      </w:r>
    </w:p>
    <w:p>
      <w:pPr/>
      <w:r>
        <w:rPr>
          <w:b/>
        </w:rPr>
        <w:t>Shared claim-specific concepts:</w:t>
      </w:r>
      <w:r>
        <w:t xml:space="preserve"> explores, important, both; EU scope visible. This is a provisional connection, not an outcome finding.</w:t>
      </w:r>
    </w:p>
    <w:p>
      <w:pPr>
        <w:pStyle w:val="SourceNote"/>
      </w:pPr>
      <w:r>
        <w:rPr>
          <w:b/>
        </w:rPr>
        <w:t>Available abstract (not full text):</w:t>
      </w:r>
      <w:r>
        <w:t xml:space="preserve"> International migration has become a significant force in reshaping Europe’s social, cultural, and religious landscape. This research examines how migratory movements affect both urban and rural areas across the continent, with particular attention to demographic and cultural shifts within Muslim communities. Drawing on statistical evidence related to migration patterns, fertility rates, and religious practices, the study explores the growth of Muslim populations in specific regions and their impact on cultural environments, social infrastructure, and urban dynamics. Findings reveal an increasing religious diversity in European spaces, carrying important implications for integration strategies, social cohesion, and urban planning. The study enhances the understanding of the complex relationships between migration, religion, and spatial transformation, emphasizing the necessity of multidisciplinary perspectives when analyzing contemporary demographic changes. Keywords: migration, Europe, Islam, demography, spatial transformations, social integration.</w:t>
      </w:r>
    </w:p>
    <w:p>
      <w:pPr/>
      <w:r>
        <w:rPr>
          <w:b/>
        </w:rPr>
        <w:t>POSSIBLE 2026:</w:t>
      </w:r>
      <w:r>
        <w:t xml:space="preserve"> ClimRisk.eu: Regional climate projections for Europe — https://doi.org/10.5194/ems2026-518</w:t>
      </w:r>
    </w:p>
    <w:p>
      <w:pPr/>
      <w:r>
        <w:rPr>
          <w:b/>
        </w:rPr>
        <w:t>Shared claim-specific concepts:</w:t>
      </w:r>
      <w:r>
        <w:t xml:space="preserve"> also, wide, key, region;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also, important, impacts;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pStyle w:val="Heading2"/>
      </w:pPr>
      <w:r>
        <w:t>777.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2026:</w:t>
      </w:r>
      <w:r>
        <w:t xml:space="preserve"> A study on non-linear structure in AI service design methodology focus on design process changes — https://doi.org/10.67639/jdpbe.260015</w:t>
      </w:r>
    </w:p>
    <w:p>
      <w:pPr/>
      <w:r>
        <w:rPr>
          <w:b/>
        </w:rPr>
        <w:t>Shared claim-specific concepts:</w:t>
      </w:r>
      <w:r>
        <w:t xml:space="preserve"> design, methodology, methodologies; EU scope not established. This is a provisional connection, not an outcome finding.</w:t>
      </w:r>
    </w:p>
    <w:p>
      <w:pPr>
        <w:pStyle w:val="SourceNote"/>
      </w:pPr>
      <w:r>
        <w:rPr>
          <w:b/>
        </w:rPr>
        <w:t>Available abstract (not full text):</w:t>
      </w:r>
      <w:r>
        <w:t xml:space="preserve"> Service design is emerging as a key driver in transforming both the perception of design methodologies and the overall design process. Traditional design practices relied heavily on the designer's individual creativity, often overlooking user-centered problem-solving and empirical user experiences (UX); consequently, conventional design values are now facing a major paradigm shift. This study explores how designers can adapt to and navigate evolving design methodologies in the AI era, particularly amidst the shifting dynamics of AI-integrated design processes. This study aims to elucidate the virtuous cycle of design value in the AI era, focusing on the non-linear methodologies of service design necessitated by the evolving roles of designers. Design serves as an act of disseminating new values, where its ultimate goal is to address core design challenges by enhancing UX. By integration of creative problem-solving and rigorous service design research, this study elucidates the value and structural framework of non-linear design, thereby establishing a virtuous cycle for AI-driven design through an analysis of emerging service design methodologies.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pStyle w:val="Heading2"/>
      </w:pPr>
      <w:r>
        <w:t>778.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779.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demographic, union, aging, trends, population, force;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demographic;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Radical- right populism, youth and demographic issues — https://doi.org/10.7765/9781526192257.00014</w:t>
      </w:r>
    </w:p>
    <w:p>
      <w:pPr/>
      <w:r>
        <w:rPr>
          <w:b/>
        </w:rPr>
        <w:t>Shared claim-specific concepts:</w:t>
      </w:r>
      <w:r>
        <w:t xml:space="preserve"> analyses, implications, demographic; EU scope visible. This is a provisional connection, not an outcome finding.</w:t>
      </w:r>
    </w:p>
    <w:p>
      <w:pPr>
        <w:pStyle w:val="SourceNote"/>
      </w:pPr>
      <w:r>
        <w:rPr>
          <w:b/>
        </w:rPr>
        <w:t>Available abstract (not full text):</w:t>
      </w:r>
      <w:r>
        <w:t xml:space="preserve"> This chapter investigates how youth branches affiliated with radical-right populist parties in Europe politicise demography-related topics, exploring the intersection of generational identity and party ideology. Focusing on the Austrian Freedom Party (FPÖ), the study analyses youth discourses around migration, gender, family, fertility and socioeconomic challenges, highlighting both convergence with the main party and generational distinctions. Findings reveal that youth branches emphasise the perceived disadvantage of native youth, the preservation of Austria’s demographic composition and the protection of traditional societal norms. While topics such as LGBTQ+ rights, religion and systemic gender inequalities are largely silenced, migration and family formation are central, sometimes framed within narratives invoking the ‘great replacement’ conspiracy theory. The chapter demonstrates how demography becomes both a context and a political tool, showing that radical-right demographic populism extends into youth politics and adapts to generational concerns. It concludes by discussing the implications for understanding youth political engagement, generational differences in populist attitudes, and avenues for future research on the intergenerational transmission of radical-right ideologies.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pStyle w:val="Heading2"/>
      </w:pPr>
      <w:r>
        <w:t>780.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2026:</w:t>
      </w:r>
      <w:r>
        <w:t xml:space="preserve"> Impact of climate change on agricultural systems: Shifting insect pest-natural enemy dynamics-A review — https://doi.org/10.22271/j.ento.2026.v14.i2a.9720</w:t>
      </w:r>
    </w:p>
    <w:p>
      <w:pPr/>
      <w:r>
        <w:rPr>
          <w:b/>
        </w:rPr>
        <w:t>Shared claim-specific concepts:</w:t>
      </w:r>
      <w:r>
        <w:t xml:space="preserve"> third, northwards, waves; EU scope visible. This is a provisional connection, not an outcome finding.</w:t>
      </w:r>
    </w:p>
    <w:p>
      <w:pPr>
        <w:pStyle w:val="SourceNote"/>
      </w:pPr>
      <w:r>
        <w:rPr>
          <w:b/>
        </w:rPr>
        <w:t>Available abstract (not full text):</w:t>
      </w:r>
      <w:r>
        <w:t xml:space="preserve"> Argo-ecosystems around the world are significantly being upset by anthropogenic emissions of greenhouse gases and meteorological variability. The rise of the temperatures beyond 1.47 °C above the pre-industrial levels, by 2025, will substantially change the biology, distribution and ecology of insect pests. The insects are poikilotherms and are therefore very sensitive to warming, and higher temperatures increase the speed of metabolism, reduce the generation times, and cause multi-trophic transitions in agricultural landscape. This review direct and indirect effects of climate change on pests and natural enemies’ dynamics as well as threats to food security across the world. High CO2 in the atmosphere reduces the nutritional value of host plants due to elevated levels of carbon in relation to nitrogen (C: N) that cause compensatory feeding in the herbivores and accelerate crop tissue damages. Changes in precipitation and ozone (O3) pollution interfere with chemical communication and phenological synchrony among pests, predators and pollinators-the basis of one third food production in the globe. This asynchrony increases the spread of plant pathogens by insects, as a result of which billions of dollars of economic losses are experienced every year. Geographically, the growing climate envelopes cause invasion by pests being directed northwards at rates of 68 km/decade, with new</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2025:</w:t>
      </w:r>
      <w:r>
        <w:t xml:space="preserve"> Citizen scientists mapping the United Kingdom's and Republic of Ireland's flat flies (louse flies) (Diptera: Hippoboscidae) reveal a vector's range shift — https://doi.org/10.1111/mve.12795</w:t>
      </w:r>
    </w:p>
    <w:p>
      <w:pPr/>
      <w:r>
        <w:rPr>
          <w:b/>
        </w:rPr>
        <w:t>Shared claim-specific concepts:</w:t>
      </w:r>
      <w:r>
        <w:t xml:space="preserve"> shifted, northwards, several, over; EU scope visible. This is a provisional connection, not an outcome finding.</w:t>
      </w:r>
    </w:p>
    <w:p>
      <w:pPr>
        <w:pStyle w:val="SourceNote"/>
      </w:pPr>
      <w:r>
        <w:rPr>
          <w:b/>
        </w:rPr>
        <w:t>Available abstract (not full text):</w:t>
      </w:r>
      <w:r>
        <w:t xml:space="preserve"> Changes in climate may cause changes in the ranges, phenology and interactions of insects with other species and lead parasites to switch host species. A study of louse (flat) flies in the United Kingdom, Republic of Ireland and Isle of Man, in which licensed bird ringers acting as citizen scientists collected ectoparasites that left birds during ringing, showed recent range shifts of several species. The Common or Bird Louse Fly Ornithomya avicularia (Linnaeus, 1758), a vector of Haemoproteus sp. and trypanosomes, has undergone a major northwards range expansion of over 300 km in the United Kingdom (UK) since the 1960s. The Finch Louse Fly Ornithomya fringillina (Curtis, 1836) has also expanded its range over 300 km northwards and 400 km westwards into the Island of Ireland, and the Swallow Louse Fly Ornithomya biloba (Dufour, 1827) is now established in Wales and Southern England. The Grouse Louse Fly Ornithomya chloropus (Bergroth, 1901) has undergone a range contraction at lower altitudes and on the southern edge of its range. Other species of louse fly were detected: Crataerina pallida (Latreille, 1812), Stenepteryx hirundinis (Linnaeus, 1758), Pseudolynchia garzettae (Rondani, 1879) and Icosta minor (Bigot, 1858). Some generalist species have shifted their phenology, whereas the more specialist nest parasites of migrant birds have not, as the arrival and breeding dates of</w:t>
      </w:r>
    </w:p>
    <w:p>
      <w:pPr/>
      <w:r>
        <w:rPr>
          <w:b/>
        </w:rPr>
        <w:t>POSSIBLE 2025:</w:t>
      </w:r>
      <w:r>
        <w:t xml:space="preserve"> Poleward Range Shifts of Breeding Birds in Wisconsin — https://doi.org/10.1002/ece3.71796</w:t>
      </w:r>
    </w:p>
    <w:p>
      <w:pPr/>
      <w:r>
        <w:rPr>
          <w:b/>
        </w:rPr>
        <w:t>Shared claim-specific concepts:</w:t>
      </w:r>
      <w:r>
        <w:t xml:space="preserve"> latitude, over, northern; EU scope not established. This is a provisional connection, not an outcome finding.</w:t>
      </w:r>
    </w:p>
    <w:p>
      <w:pPr>
        <w:pStyle w:val="SourceNote"/>
      </w:pPr>
      <w:r>
        <w:rPr>
          <w:b/>
        </w:rPr>
        <w:t>Available abstract (not full text):</w:t>
      </w:r>
      <w:r>
        <w:t xml:space="preserve"> Climate change is causing shifts in the geographic ranges of multiple species across the world. Birds are a critical taxon for observing range shifts because their high mobility allows them to track shifting climates over time and space. Breeding bird atlases are large-scale breeding bird surveys that are essential for tracking species' ranges in response to climate change. In this paper, our goal was to analyze Wisconsin's Breeding Bird Atlases (1995-2000 and 2015-2019) to document changes in range size, mean latitude, and range boundary shift of breeding birds. Concordant with our predictions, we found that many southerly bird species with northern range limits were both expanding in distribution and shifting their range boundaries poleward. Contrary to our predictions, northerly species with southern range limits in the state were not shifting their boundary poleward but demonstrated a northward movement in their mean latitudes. Despite the lack of range boundary shift for northerly species as a group, many boreal species demonstrated a shift northward in their overall distribution. The repeated signal of bird ranges moving poleward remains a coherent fingerprint of the impact of modern climate change on species and ecosystems.</w:t>
      </w:r>
    </w:p>
    <w:p>
      <w:pPr/>
      <w:r>
        <w:rPr>
          <w:b/>
        </w:rPr>
        <w:t>POSSIBLE 2025:</w:t>
      </w:r>
      <w:r>
        <w:t xml:space="preserve"> Incorporating Genetic Diversity to Optimize the Plant Conservation Network in the Third Pole — https://doi.org/10.1111/gcb.70122</w:t>
      </w:r>
    </w:p>
    <w:p>
      <w:pPr/>
      <w:r>
        <w:rPr>
          <w:b/>
        </w:rPr>
        <w:t>Shared claim-specific concepts:</w:t>
      </w:r>
      <w:r>
        <w:t xml:space="preserve"> third, several, latitude; EU scope not established. This is a provisional connection, not an outcome finding.</w:t>
      </w:r>
    </w:p>
    <w:p>
      <w:pPr>
        <w:pStyle w:val="SourceNote"/>
      </w:pPr>
      <w:r>
        <w:rPr>
          <w:b/>
        </w:rPr>
        <w:t>Available abstract (not full text):</w:t>
      </w:r>
      <w:r>
        <w:t xml:space="preserve"> ABSTRACT Climate change poses a significant threat to the survival of many species. Although protected areas can slow down biodiversity loss, they often lack systematic planning and do not integrate genetic diversity. Genetic diversity is a key prerequisite for species survival and the ability to tolerate new conditions. Using population genetic and distribution data from 96 plant species in the Third Pole (encompassing the Tibetan Plateau and adjacent mountains), we mapped patterns of genetic diversity, projected climate‐driven range dynamics and future genetic erosion, and designed an optimal conservation framework for the region. We identified several patches of high haplotype diversity ( H D ), with a relatively high number of haplotypes in southeastern Third Pole. Regression models revealed that climate and topography have interacted to shape patterns of genetic diversity, with latitude and precipitation being the best predictors for H D of cpDNA and nrDNA, respectively. Ecological niche modeling predicted an approximate 43 km northwestward and 86 m upward shift in suitable habitats under future climate scenarios, likely leading to a significant loss of up to 13.19% and 15.49% of cpDNA and nrDNA genetic diversity, respectively. Alarmingly, 71.20% of the newly identified conservation priority areas fall outside of the existing protected areas and planned National Park Clust</w:t>
      </w:r>
    </w:p>
    <w:p>
      <w:pPr/>
      <w:r>
        <w:rPr>
          <w:b/>
        </w:rPr>
        <w:t>POSSIBLE 2025:</w:t>
      </w:r>
      <w:r>
        <w:t xml:space="preserve"> Shifts in habitat suitability for harbour porpoises leads to reduced importance of marine protected areas — https://doi.org/10.1016/j.biocon.2025.111009</w:t>
      </w:r>
    </w:p>
    <w:p>
      <w:pPr/>
      <w:r>
        <w:rPr>
          <w:b/>
        </w:rPr>
        <w:t>Shared claim-specific concepts:</w:t>
      </w:r>
      <w:r>
        <w:t xml:space="preserve"> shifted, northwards, over; EU scope visible. This is a provisional connection, not an outcome finding.</w:t>
      </w:r>
    </w:p>
    <w:p>
      <w:pPr>
        <w:pStyle w:val="SourceNote"/>
      </w:pPr>
      <w:r>
        <w:rPr>
          <w:b/>
        </w:rPr>
        <w:t>Available abstract (not full text):</w:t>
      </w:r>
      <w:r>
        <w:t xml:space="preserve"> Marine ecosystems across the globe are under pressure requiring evaluations of whether marine protected areas (MPAs) remain effective in safeguarding marine life and critical habitats. Our objectives were to 1) estimate shifts in seasonal habitat suitability over a 25-year period (1997–2022) for the harbour porpoise ( Phocoena phocoena ) across the North Sea–Baltic Sea transition zone, and 2) quantify any spatiotemporal changes in the overlap between suitable habitats and an existing network of 62 MPAs (an area covering 16,404 km 2 ) dedicated to harbour porpoise protection. Habitat suitability was estimated using the maximum entropy (MaxEnt) algorithm, based on satellite tag data of 111 individuals and a range of dynamic and static environmental conditions as predictor variables. Model output revealed a northward shift of medium and high suitable habitats during winter (Nov–Apr) over the study period. Changes in habitat suitability during summer (May–Oct) were also evident though without clear directional shifts. A maximum of 14.5 % of the MPAs ( n = 9; area of 1096 km 2 ) were found to overlap with highly suitable habitat during the summers of 2005–2012, with a minimum of 6.4 % ( n = 4 MPAs; area of 194 km 2 ) during the winters of 2013–2022. These results clearly indicate a decline in the spatiotemporal overlap between habitat suitability during winter and the location of MP</w:t>
      </w:r>
    </w:p>
    <w:p>
      <w:pPr/>
      <w:r>
        <w:rPr>
          <w:b/>
        </w:rPr>
        <w:t>POSSIBLE 2025:</w:t>
      </w:r>
      <w:r>
        <w:t xml:space="preserve"> Postglacial history of a widespread forest fungus in Europe suggests migration out of multiple refugia followed by admixture — https://doi.org/10.22541/au.173768437.72531665/v1</w:t>
      </w:r>
    </w:p>
    <w:p>
      <w:pPr/>
      <w:r>
        <w:rPr>
          <w:b/>
        </w:rPr>
        <w:t>Shared claim-specific concepts:</w:t>
      </w:r>
      <w:r>
        <w:t xml:space="preserve"> third, northwards, several; EU scope visible. This is a provisional connection, not an outcome finding.</w:t>
      </w:r>
    </w:p>
    <w:p>
      <w:pPr>
        <w:pStyle w:val="SourceNote"/>
      </w:pPr>
      <w:r>
        <w:rPr>
          <w:b/>
        </w:rPr>
        <w:t>Available abstract (not full text):</w:t>
      </w:r>
      <w:r>
        <w:t xml:space="preserve"> While postglacial migration patterns have been well-studied in plants and animals in Europe, the same is not true for microorganisms such as fungi, and it remains unclear whether fungi have followed the same postglacial migration trajectories. In this study, we infer the postglacial history of the widespread wood-decay fungus Trichaptum abietinum in Europe. We investigate whether this fungus resided in multiple glacial refugia, as observed in many plants and animals, and how it migrated following the retreat of the ice. Population genomic analyses of T. abietinum suggest three glacial refugia in Europe: a western refugium, a southern refugium extending from Portugal to the Caucasus, and a third eastern refugium, resulting in what we call the Atlantic, Mediterranean, and Boreal groups, respectively. From the western and southern refugia, there have likely been northwards expansions, while the Boreal group probably expanded westwards from the eastern refugium. A contact zone is present in Central Europe, where the Mediterranean and Boreal groups are admixing. In admixed individuals here, the second half of their largest scaffold is entirely inherited from the Boreal group, indicating either strong selection or genomic incompatibilities. In Scandinavia, the Atlantic and Boreal groups are in close contact but with limited admixture. Demographic modelling and analyses of linkage dec</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pStyle w:val="Heading2"/>
      </w:pPr>
      <w:r>
        <w:t>781.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2025:</w:t>
      </w:r>
      <w:r>
        <w:t xml:space="preserve"> European rose chafer prevalence on cultivated highbush blueberries — https://doi.org/10.17221/28/2024-hortsci</w:t>
      </w:r>
    </w:p>
    <w:p>
      <w:pPr/>
      <w:r>
        <w:rPr>
          <w:b/>
        </w:rPr>
        <w:t>Shared claim-specific concepts:</w:t>
      </w:r>
      <w:r>
        <w:t xml:space="preserve"> prevalence, every, third; EU scope visible. This is a provisional connection, not an outcome finding.</w:t>
      </w:r>
    </w:p>
    <w:p>
      <w:pPr>
        <w:pStyle w:val="SourceNote"/>
      </w:pPr>
      <w:r>
        <w:rPr>
          <w:b/>
        </w:rPr>
        <w:t>Available abstract (not full text):</w:t>
      </w:r>
      <w:r>
        <w:t xml:space="preserve"> The purpose of this study was to detect the prevalence rate of European rose chafer (Cetonia aurata) on American highbush blueberries (Vaccinium corymbosum). The observation was made from the beginning of flowering to the end of harvest of the blueberry cultivars ‘Duke’, ‘Legacy’, and ‘Huron’. The incidence occurs during the first harvest of the ‘Duke’ cultivar. Three rows per cultivar, with 90 plants per row, were monitored during the research. Insects were collected on 15 infested plants per row, randomly selected, and counted. This procedure was repeated every second day, 3 times a day: in the morning, at noon, and in the afternoon. The highest presence of the insect was recorded at the full ripening phase of the ‘Duke’ cultivar, with 25.5% of bushes being infested and an average of 12.7 beetles per bush counted. The damage percentage varied over the harvesting periods: 29% of the fruits were damaged in the first harvest, 13% in the second harvest, and 8% during the third harvest. While ‘Legacy’ and ‘Huron’ stood out with 5.55% and 3.33% of infected bushes, respectively, and minor fruit damage. This research proves that the European rose chafer in the area of the experiment is a harmful pest of early cultivated blueberry cultivars.</w:t>
      </w:r>
    </w:p>
    <w:p>
      <w:pPr/>
      <w:r>
        <w:rPr>
          <w:b/>
        </w:rPr>
        <w:t>POSSIBLE 2025:</w:t>
      </w:r>
      <w:r>
        <w:t xml:space="preserve"> Disorders of the gut‐brain interaction among European people with obesity: Prevalence and burden of compatible symptoms — https://doi.org/10.1002/ueg2.12700</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Abstract Introduction The prevalence of disorders of the gut‐brain interaction (DGBI) among people with obesity in the general population is unknown. Our aim was to assess the prevalence of DGBI among obese subjects in the general population in comparison with normal or overweight subjects, as well as exploring factors associated with DGBI in obesity in Europe. Methods We included subjects who completed the internet‐based survey of the Rome Foundation Global Epidemiology study in 11 European countries. Obesity was defined as a BMI&gt;30 kg/m2 and participants were divided into three classes: 1: BMI 30 to &lt;35 kg/m2, 2: BMI 35 to &lt;40 kg/m2, and 3: BMI 40 kg/m2 or higher. The prevalence of symptoms compatible with DGBI was reported and compared between obese and normal or overweight (BMI between 18.5 and &lt;30 kg/m2) participants. Factors potentially associated with DGBI and obesity including demographics, psychological distress (PHQ‐4), non‐GI somatic symptoms (PHQ–12), quality of life (PROMIS‐10), healthcare access, medication and food consumption were assessed. Results We included 20,117 participants in our analysis. The prevalence of obesity was 17.8% (95% CI 17.3, 18.4), with 12.6%, 3.7% and 1.6% in obesity classes 1, 2 and 3, respectively. The prevalence of any DGBI was 44.2% in the obese group versus 39.6% in the normal or overweight group (OR = 1.20 (1.12, 1.30)), with all DGBI</w:t>
      </w:r>
    </w:p>
    <w:p>
      <w:pPr/>
      <w:r>
        <w:rPr>
          <w:b/>
        </w:rPr>
        <w:t>POSSIBLE 2025:</w:t>
      </w:r>
      <w:r>
        <w:t xml:space="preserve"> Trends in stroke prevalence caused by an elevated BMI in the European population — https://doi.org/10.5114/aoms/199362</w:t>
      </w:r>
    </w:p>
    <w:p>
      <w:pPr/>
      <w:r>
        <w:rPr>
          <w:b/>
        </w:rPr>
        <w:t>Shared claim-specific concepts:</w:t>
      </w:r>
      <w:r>
        <w:t xml:space="preserve"> increase, prevalence, obesity, continue, expected; EU scope visible. This is a provisional connection, not an outcome finding.</w:t>
      </w:r>
    </w:p>
    <w:p>
      <w:pPr>
        <w:pStyle w:val="SourceNote"/>
      </w:pPr>
      <w:r>
        <w:rPr>
          <w:b/>
        </w:rPr>
        <w:t>Available abstract (not full text):</w:t>
      </w:r>
      <w:r>
        <w:t xml:space="preserve"> Introduction: This study investigated the complex relationship between an elevated body mass index (BMI) and stroke risk in Europe amidst rising obesity rates and an aging population. Material and methods: A joinpoint regression model was used to fit the data on stroke mortality rates attributed to an elevated BMI. The age period cohort model was used to analyze the effects of age, period, and birth cohort on trends in stroke prevalence related to an elevated BMI from 1990-2019 in the European context. A Bayesian age-period-cohort model was used to project age-standardized stroke mortality attributed to elevated BMI in Europe from 2020 to 2044. Results: &lt; 0.001). Male mortality rates decreased from 21.48/100,000 in 1990 to 15.45/100,000 in 2019, while female rates declined more significantly from 21.40/100,000 in 1990 to 12.48/100,000 in 2019. Age-standardized stroke mortality due to elevated BMI is projected to decline in Europe over the next 25 years. Age-standardized stroke mortality due to increased BMI is expected to continue declining in Europe over the next 25 years, with projected reductions of 12.99% in males and 13.01% in females by 2044. Conclusions: From 1990 to 2019, stroke mortality rates associated with elevated BMI in Europe steadily increased. However, projections suggest a slight decline in the near future. Given these trends, there is an urgent need to enhanc</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2024:</w:t>
      </w:r>
      <w:r>
        <w:t xml:space="preserve"> The increasing prevalence of cancer in the elderly: An investigation of epidemiological trends — https://doi.org/10.1002/agm2.12347</w:t>
      </w:r>
    </w:p>
    <w:p>
      <w:pPr/>
      <w:r>
        <w:rPr>
          <w:b/>
        </w:rPr>
        <w:t>Shared claim-specific concepts:</w:t>
      </w:r>
      <w:r>
        <w:t xml:space="preserve"> increase, prevalence, expected; EU scope not established. This is a provisional connection, not an outcome finding.</w:t>
      </w:r>
    </w:p>
    <w:p>
      <w:pPr>
        <w:pStyle w:val="SourceNote"/>
      </w:pPr>
      <w:r>
        <w:rPr>
          <w:b/>
        </w:rPr>
        <w:t>Available abstract (not full text):</w:t>
      </w:r>
      <w:r>
        <w:t xml:space="preserve"> Cancer poses a significant health threat to the elderly, accounting for a substantial proportion of cancer patients aged 65 and above. As life expectancy continues to rise and the population ages, the incidence of cancer in the elderly is expected to increase further. Age is a major risk factor for the majority of common cancers, with the incidence and prevalence rising as individuals grow older. Factors such as chemoprevention and environmental carcinogen elimination may influence the process of carcinogenesis. Studies reveal that the incidence and mortality rates of various cancers in the elderly and extremely old individuals are on the rise worldwide, with most types peaking around the age of 75 to 90, followed by a sharp decline. Birth cohort and period effects also play a complex role in the connection between aging and cancer risk. Clinical trials often exclude older individuals, limiting our understanding of cancer treatments' effects on this particular age group. More research is needed to focus on the unique requirements of older adults with cancer.</w:t>
      </w:r>
    </w:p>
    <w:p>
      <w:pPr>
        <w:pStyle w:val="Heading2"/>
      </w:pPr>
      <w:r>
        <w:t>782.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2026:</w:t>
      </w:r>
      <w:r>
        <w:t xml:space="preserve"> Reviewing former critical analyses of subsidy policies in Europe — https://doi.org/10.14267/retp2026.02.06</w:t>
      </w:r>
    </w:p>
    <w:p>
      <w:pPr/>
      <w:r>
        <w:rPr>
          <w:b/>
        </w:rPr>
        <w:t>Shared claim-specific concepts:</w:t>
      </w:r>
      <w:r>
        <w:t xml:space="preserve"> mainstream, academic, debate, but; EU scope visible. This is a provisional connection, not an outcome finding.</w:t>
      </w:r>
    </w:p>
    <w:p>
      <w:pPr>
        <w:pStyle w:val="SourceNote"/>
      </w:pPr>
      <w:r>
        <w:rPr>
          <w:b/>
        </w:rPr>
        <w:t>Available abstract (not full text):</w:t>
      </w:r>
      <w:r>
        <w:t xml:space="preserve"> Academic research on subsidy policies has expanded considerably over the past five decades, yet the literature remains fragmented across regional development, industrial policy, innovation economics, and cohesion studies. This paper reviews the principal academic critiques and theoretical debates concerning subsidy-based development strategies in Europe, rather than addressing political controversies; the analysis focuses solely on the long-term economic and institutional implications identified in mainstream scholarship.The historical experiences of Greece, Spain and Portugal represent some of the most significant regional convergence projects in modern European history. These countries received substantial Structural and Cohesion Fund transfers intended to modernize infrastructure, improve competitiveness, and reduce territorial inequalities. The literature consistently demonstrates that infrastructure modernization did not automatically produce sustainable productive convergence, weak governance capacity, fragmented administration, and clientelist structures constrain the long-term effectiveness of transfers. Another central debate within the literature concerns the effectiveness of innovation and SME subsidies, derived primarily from market-failure arguments. The Mezzogiorno programs in Southern Italy improved infrastructure and industrial capacity but failed to generate se</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2025:</w:t>
      </w:r>
      <w:r>
        <w:t xml:space="preserve"> Academic mainstream, applied alternative? Arguing a case for ‘second chances’, real-world learning and rethinking assessment — https://doi.org/10.1080/13596748.2025.2469007</w:t>
      </w:r>
    </w:p>
    <w:p>
      <w:pPr/>
      <w:r>
        <w:rPr>
          <w:b/>
        </w:rPr>
        <w:t>Shared claim-specific concepts:</w:t>
      </w:r>
      <w:r>
        <w:t xml:space="preserve"> mainstream, academic, but, provides; EU scope not established. This is a provisional connection, not an outcome finding.</w:t>
      </w:r>
    </w:p>
    <w:p>
      <w:pPr>
        <w:pStyle w:val="SourceNote"/>
      </w:pPr>
      <w:r>
        <w:rPr>
          <w:b/>
        </w:rPr>
        <w:t>Available abstract (not full text):</w:t>
      </w:r>
      <w:r>
        <w:t xml:space="preserve"> England’s mainstream upper secondary curriculum is driven by academic, exam-based GCSEs and A levels, with applied learning qualifications an alternative for ‘less-academic’ 16–18-year-olds. This paper elides two studies of the impact of the BTEC National Diploma on employment and career trajectories, one from the perspective of 16–22-year-olds, another of mature adults. Study 1 explored medium-term impact as students progressed from school to university or work-based learning. Study 2 explored longer-term impact through a life history project spanning 1986–2022 across 10 different industries. Synthesis of the data identified three factors underpinning BTEC’s success: a genuine second chance; teaching and assessment that enabled understanding and promoted learning; strong education/employer links providing real-world experience. Bronfenbrenner’s Bioecological Model provides a theoretical lens, illustrating how knowledge, skills and competences develop best when the educational environment meets the needs of each learner: one-size-fits-all does not work. This paper concludes that all three factors should be mainstream, but significant challenges include our highly politicised policy environment, enduring belief that only exams offer rigorous assessment and lack of an employer engagement system that could support real-world learning. Extra-curricular activities and project qualif</w:t>
      </w:r>
    </w:p>
    <w:p>
      <w:pPr/>
      <w:r>
        <w:rPr>
          <w:b/>
        </w:rPr>
        <w:t>POSSIBLE 2025:</w:t>
      </w:r>
      <w:r>
        <w:t xml:space="preserve"> ‘Jazz populism’ in London and the counter-hegemonic mainstream — https://doi.org/10.1017/s0261143026101299</w:t>
      </w:r>
    </w:p>
    <w:p>
      <w:pPr/>
      <w:r>
        <w:rPr>
          <w:b/>
        </w:rPr>
        <w:t>Shared claim-specific concepts:</w:t>
      </w:r>
      <w:r>
        <w:t xml:space="preserve"> mainstream, recent, provides; EU scope visible. This is a provisional connection, not an outcome finding.</w:t>
      </w:r>
    </w:p>
    <w:p>
      <w:pPr>
        <w:pStyle w:val="SourceNote"/>
      </w:pPr>
      <w:r>
        <w:rPr>
          <w:b/>
        </w:rPr>
        <w:t>Available abstract (not full text):</w:t>
      </w:r>
      <w:r>
        <w:t xml:space="preserve"> Abstract This paper re-animates debates over the unsettled relationship between jazz and popular music through an exploration of the recent ‘London jazz explosion’. It explores the framing of London jazz’s mainstreaming as counter-hegemonic in press/promotional coverage, showing how the prominence of Black musicians and Black popular musics in ‘new London jazz’ is widely interpreted as a rejoinder to perceived elitism and institutional whiteness in British and European jazz ‘establishments’. It also examines interpretations of the scene’s relative commercial success as a meaningful reversal of jazz’s institutionalisation as art music since the 1980s. I define this discourse as ‘jazz populism’, through which the very fact of the scene’s mainstream appeal is used to promote London jazz as a musical – and cultural-political – ‘alternative’. The paper provides overdue analysis of a significant development in 2020s European popular music, and deepens our understanding of the complexities of contemporary musical mainstreams.</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2024:</w:t>
      </w:r>
      <w:r>
        <w:t xml:space="preserve"> Chapter 1 Against the Mainstream? — https://openalex.org/W7137538783</w:t>
      </w:r>
    </w:p>
    <w:p>
      <w:pPr/>
      <w:r>
        <w:rPr>
          <w:b/>
        </w:rPr>
        <w:t>Shared claim-specific concepts:</w:t>
      </w:r>
      <w:r>
        <w:t xml:space="preserve"> mainstream, union, provides; EU scope visible. This is a provisional connection, not an outcome finding.</w:t>
      </w:r>
    </w:p>
    <w:p>
      <w:pPr>
        <w:pStyle w:val="SourceNote"/>
      </w:pPr>
      <w:r>
        <w:rPr>
          <w:b/>
        </w:rPr>
        <w:t>Available abstract (not full text):</w:t>
      </w:r>
      <w:r>
        <w:t xml:space="preserve"> This book provides a comprehensive overview of the regulation of party finance in post-Soviet countries by leading academics and practitioners in the field. Through a series of cutting-edge chapters, using both original quantitative and qualitative data, it systematically sheds theoretical and empirical light on the way party funding regulation has evolved since the fall of the Soviet Union in 1991, as well as on the manner in which the legal regulation of party finances has had an impact (or not) on the evolution of party politics and democratic consolidation in the region. The book examines regulation in post-Soviet countries like Armenia, Georgia, Kazakhstan, Kyrgyzstan, Moldova, Mongolia, Russia and Ukraine. In analysing the various dimensions of party funding regulation and their impact on political parties, party systems and democracy, it looks at the past and future, and makes recommendations on how legislation could be improved in order to further party development, party system stabilisation and democratic consolidation for all the countries in the region. This book will be of key interest to scholars, students, practitioners and journalists interested in political party finance and anti-corruption, and more broadly to political parties, democracy and democratic governance, and post-Soviet/Russian and East European politics.</w:t>
      </w:r>
    </w:p>
    <w:p>
      <w:pPr/>
      <w:r>
        <w:rPr>
          <w:b/>
        </w:rPr>
        <w:t>POSSIBLE 2024:</w:t>
      </w:r>
      <w:r>
        <w:t xml:space="preserve"> The future of tourism: interview with Bernadett Papp on bringing equity into debates on tourism development and destination governance — https://doi.org/10.1108/jtf-09-2024-0212</w:t>
      </w:r>
    </w:p>
    <w:p>
      <w:pPr/>
      <w:r>
        <w:rPr>
          <w:b/>
        </w:rPr>
        <w:t>Shared claim-specific concepts:</w:t>
      </w:r>
      <w:r>
        <w:t xml:space="preserve"> mainstream, academic, recent, provides; EU scope visible. This is a provisional connection, not an outcome finding.</w:t>
      </w:r>
    </w:p>
    <w:p>
      <w:pPr>
        <w:pStyle w:val="SourceNote"/>
      </w:pPr>
      <w:r>
        <w:rPr>
          <w:b/>
        </w:rPr>
        <w:t>Available abstract (not full text):</w:t>
      </w:r>
      <w:r>
        <w:t xml:space="preserve"> Purpose As the Journal of Tourism Futures celebrates its 10th Anniversary, Dr Stefan Hartman (head of department at the European Tourism Futures Institute, NHL Stenden University of Applied Sciences) interviews Bernadett Papp (senior researcher at the European Tourism Futures Institute (ETFI) at NHL Stenden University of Applied Sciences) about her recent work in tourism practice and academic and future perspectives on topics relevant to the future of tourism. Design/methodology/approach A personal interview was held on September 16, 2024. Findings Bernadett Papp draws attention to the importance of bringing equity into debates on tourism development and destination governance. She sees a crucial role for governments, the redesign of institutional frameworks, monitoring and data collection and rethinking systems of governance. Originality/value The interview provides unique insights into the viewpoints of Papp, highlighting the importance of the still understudied topic of equitable tourism. A topic that still requires a lot of work before hitting mainstream approaches to destination development, even though it should have been on the policy agendas for many years already.</w:t>
      </w:r>
    </w:p>
    <w:p>
      <w:pPr/>
      <w:r>
        <w:rPr>
          <w:b/>
        </w:rPr>
        <w:t>POSSIBLE 2024:</w:t>
      </w:r>
      <w:r>
        <w:t xml:space="preserve"> Shifting Academic Paradigms in Response to Global Crises: Opportunities and Pitfalls — https://doi.org/10.1093/fmls/cqae039</w:t>
      </w:r>
    </w:p>
    <w:p>
      <w:pPr/>
      <w:r>
        <w:rPr>
          <w:b/>
        </w:rPr>
        <w:t>Shared claim-specific concepts:</w:t>
      </w:r>
      <w:r>
        <w:t xml:space="preserve"> academic, but, crisis, provides; EU scope visible. This is a provisional connection, not an outcome finding.</w:t>
      </w:r>
    </w:p>
    <w:p>
      <w:pPr>
        <w:pStyle w:val="SourceNote"/>
      </w:pPr>
      <w:r>
        <w:rPr>
          <w:b/>
        </w:rPr>
        <w:t>Available abstract (not full text):</w:t>
      </w:r>
      <w:r>
        <w:t xml:space="preserve"> Academic knowledge develops through paradigm shifts, which can be facilitated by world-changing events. I am writing this piece thinking about my own research on an earlier shift, spearheaded by scholars from Eastern and Central Europe a hundred years ago, when old certainties were productively questioned in a range of academic fields.1 Some epistemological issues that are raised today echo what was said in the early twentieth century, when Euro-/West-centric understandings of cultures began to be creatively critiqued.2 World War I facilitated imperial disintegrations and early Soviet actors used decolonization discourse to describe the demise of the tsarist empire.3 During the 1928–31 Soviet ‘cultural revolution’ decolonization discourse reached its peak, while also acquiring destructive forms under intense political pressure. Notably, it is not only under totalitarianism that ideologically charged campaigns can affect academic research. I remember how the heightened politicization of what used to be called Soviet Studies played out in Western academia in my lifetime. This contradictory history informs my response to the article by Byford, Doak and Hutchings in relation to the three main issues it raises: the relationship between political activism and academic research, what ‘Russian Studies’ is and the field’s relationship to the ‘decolonization agenda’, which is salient aga</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pStyle w:val="Heading2"/>
      </w:pPr>
      <w:r>
        <w:t>783.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Cellular Automata Simulation of Complex Systems Emergence — https://doi.org/10.5281/zenodo.22575417</w:t>
      </w:r>
    </w:p>
    <w:p>
      <w:pPr/>
      <w:r>
        <w:rPr>
          <w:b/>
        </w:rPr>
        <w:t>Shared claim-specific concepts:</w:t>
      </w:r>
      <w:r>
        <w:t xml:space="preserve"> emergence, urban, techniques, focuses, local; EU scope not established. This is a provisional connection, not an outcome finding.</w:t>
      </w:r>
    </w:p>
    <w:p>
      <w:pPr>
        <w:pStyle w:val="SourceNote"/>
      </w:pPr>
      <w:r>
        <w:rPr>
          <w:b/>
        </w:rPr>
        <w:t>Available abstract (not full text):</w:t>
      </w:r>
      <w:r>
        <w:t xml:space="preserve"> This paper investigates the application of cellular automata (CA) to simulate emergent phenomena within complex systems. Traditional approaches to modeling complex systems, such as system dynamics, often struggle to capture the dynamic and unpredictable nature of emergent behavior. Cellular automata provide a discrete, agent-based framework that allows for the explicit representation of interactions between individual components, facilitating the observation of system-level patterns and self-organization. This work focuses on demonstrating the efficacy of CA models in capturing emergent behavior across diverse domains, including urban development, social evolution, and ecological dynamics. The core methodology involves defining cell states, interaction rules, and neighborhood configurations, followed by the simulation of the system's evolution over time. The results highlight the potential of CA as a powerful tool for understanding and predicting emergent phenomena, offering a complementary approach to more established modeling techniques. Key concepts explored include local rules, spatial dynamics, and the emergence of global patterns. The paper provides a foundational understanding of CA simulation and its relevance to complex system research.</w:t>
      </w:r>
    </w:p>
    <w:p>
      <w:pPr>
        <w:pStyle w:val="Heading2"/>
      </w:pPr>
      <w:r>
        <w:t>784.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785.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2026:</w:t>
      </w:r>
      <w:r>
        <w:t xml:space="preserve"> Gateway to Research: Co-Creation of a Cross-Institutional Interdisciplinary Course Introducing Undergraduates to Scientific Research — https://doi.org/10.63504/jstem.v27i2.2753</w:t>
      </w:r>
    </w:p>
    <w:p>
      <w:pPr/>
      <w:r>
        <w:rPr>
          <w:b/>
        </w:rPr>
        <w:t>Shared claim-specific concepts:</w:t>
      </w:r>
      <w:r>
        <w:t xml:space="preserve"> interdisciplinary, creation, based; EU scope not established. This is a provisional connection, not an outcome finding.</w:t>
      </w:r>
    </w:p>
    <w:p>
      <w:pPr>
        <w:pStyle w:val="SourceNote"/>
      </w:pPr>
      <w:r>
        <w:rPr>
          <w:b/>
        </w:rPr>
        <w:t>Available abstract (not full text):</w:t>
      </w:r>
      <w:r>
        <w:t xml:space="preserve"> “Introduction to Research” (or “Gateway”) courses play a critical role in introducing undergraduates, especially those from historically underrepresented backgrounds, to scientific research norms and skills. This paper describes the co-creation of a model Gateway course by ten institutions located across [area]. Designed to be interdisciplinary, offered to lower division students, and adaptable for both two-year and four-year colleges, the course introduces basic research techniques alongside the customs of scientific research. Developed as part of an undergraduate research training program, the course was intended to prepare students for entering research placements. We report on the collaborative process of course creation, adaptation to individual institutions, and modification over time. Preliminary evaluations suggested positive outcomes for Gateway students. A program-wide evaluation (n = 55) indicated students on average “agreed” or “strongly agreed” they had met guidelines based on the course learning objectives. Pre/post assessments at a pilot site (n = 57) found that participants had significantly higher research knowledge and self-efficacy scores after taking the course. Qualitative student course feedback suggested that students valued the course for the research skills it gave them and thought the curriculum should be more widely available. Overall, this suggests t</w:t>
      </w:r>
    </w:p>
    <w:p>
      <w:pPr/>
      <w:r>
        <w:rPr>
          <w:b/>
        </w:rPr>
        <w:t>POSSIBLE 2026:</w:t>
      </w:r>
      <w:r>
        <w:t xml:space="preserve"> Between Creation and Destruction:A Philosophical and Interdisciplinary Inquiry into Human Attraction to Destruction, Discipline, and the Bhagavad Gita — https://doi.org/10.52416/ijrapp.2026.10102</w:t>
      </w:r>
    </w:p>
    <w:p>
      <w:pPr/>
      <w:r>
        <w:rPr>
          <w:b/>
        </w:rPr>
        <w:t>Shared claim-specific concepts:</w:t>
      </w:r>
      <w:r>
        <w:t xml:space="preserve"> interdisciplinary, creation, three; EU scope not established. This is a provisional connection, not an outcome finding.</w:t>
      </w:r>
    </w:p>
    <w:p>
      <w:pPr>
        <w:pStyle w:val="SourceNote"/>
      </w:pPr>
      <w:r>
        <w:rPr>
          <w:b/>
        </w:rPr>
        <w:t>Available abstract (not full text):</w:t>
      </w:r>
      <w:r>
        <w:t xml:space="preserve"> This paper examines a claim rooted in the Bhagavad Gita: that human beings carry a latent inclination toward destruction, and that disciplined living (nishkama karma, detached action) is the Gita's prescribed corrective. The Gita frames this through the doctrine of the three gunas -sattva, rajas, and tamas -where tamas (inertia, delusion) and unbridled rajas (craving) pull the undisciplined self toward ruin, illustrated through figures such as Ravana [1]. The paper situates that claim alongside two secularbodies of thought sometimes invoked in support of it: Freud's theory of the death drive (Thanatos), and the quantum-physics-and-Eastern-philosophy discourse popularised by Fritjof Capra. Using a qualitative, hermeneutic and comparative-thematic method, itreads the Gita's claims against Freud's clinical theory and quantum-mysticism literature, separating verified psychological theory from contested, largely metaphorical physics analogies. It argues the Gita's claim finds a genuine parallel in psychoanalytic theory, and only a loose, interpretive parallel in physics discourse -a distinction essential to intellectual honesty ,and concludes that the Gita's prescription of disciplined, non-attached action remains coherent and defensible, proposing directions for future interdisciplinary and empirical research.</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pStyle w:val="Heading2"/>
      </w:pPr>
      <w:r>
        <w:t>786.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2026:</w:t>
      </w:r>
      <w:r>
        <w:t xml:space="preserve"> Entrepreneurship Development –A tool for employment creation — https://openalex.org/W7217960134</w:t>
      </w:r>
    </w:p>
    <w:p>
      <w:pPr/>
      <w:r>
        <w:rPr>
          <w:b/>
        </w:rPr>
        <w:t>Shared claim-specific concepts:</w:t>
      </w:r>
      <w:r>
        <w:t xml:space="preserve"> tool, creation; EU scope not established. This is a provisional connection, not an outcome finding.</w:t>
      </w:r>
    </w:p>
    <w:p>
      <w:pPr>
        <w:pStyle w:val="SourceNote"/>
      </w:pPr>
      <w:r>
        <w:rPr>
          <w:b/>
        </w:rPr>
        <w:t>Available abstract (not full text):</w:t>
      </w:r>
      <w:r>
        <w:t xml:space="preserve"> This paper is a thought paper and begins by giving a brief review of the developments achieved in the field of entrepreneurship development up to mid-80s. The two significant contributions of 60s were establishment of positive connection between entrepreneurship and economic prosperity and also surfacing of strong planned effort. Likewise types of EDP strategy and models were established and put to test in 70s. The past analysis allowed foreseeing the possible and issues that the development of entrepreneurship is most likely to encounter in the 2020s. The region was associated with fast vertical and horizontal expansion, increased institutionalization and entrepreneurisation of society. The change in approach to a generalist to extension specialist and the creation of more specific EDP strategies harmonizing high-tech and technology transfer are also among several others covered within the paper. The paper ends with the note of caution towards such tendencies that are only sure to water down the efforts of EDPs hence might end up losing credibility.</w:t>
      </w:r>
    </w:p>
    <w:p>
      <w:pPr/>
      <w:r>
        <w:rPr>
          <w:b/>
        </w:rPr>
        <w:t>POSSIBLE 2026:</w:t>
      </w:r>
      <w:r>
        <w:t xml:space="preserve"> Lifestyle medicine: A tool for health creation and equity — https://doi.org/10.66794/2bd5</w:t>
      </w:r>
    </w:p>
    <w:p>
      <w:pPr/>
      <w:r>
        <w:rPr>
          <w:b/>
        </w:rPr>
        <w:t>Shared claim-specific concepts:</w:t>
      </w:r>
      <w:r>
        <w:t xml:space="preserve"> use, effective, tool, creation; EU scope not established. This is a provisional connection, not an outcome finding.</w:t>
      </w:r>
    </w:p>
    <w:p>
      <w:pPr>
        <w:pStyle w:val="SourceNote"/>
      </w:pPr>
      <w:r>
        <w:rPr>
          <w:b/>
        </w:rPr>
        <w:t>Available abstract (not full text):</w:t>
      </w:r>
      <w:r>
        <w:t xml:space="preserve"> Motivational interviewing techniquesFacilitating behaviour change in the general practice setting BackgroundOne of the biggest challenges that primary care practitioners face is helping people change longstanding behaviours that pose significant health risks. ObjectiveTo explore current understanding regarding how and why people change, and the potential role of motivational interviewing in facilitating behaviour change in the general practice setting. DiscussionResearch into health related behaviour change highlights the importance of motivation, ambivalence and resistance.Motivational interviewing is a counselling method that involves enhancing a patient's motivation to change by means of four guiding principles, represented by the acronym RULE: Resist the righting reflex; Understand the patient's own motivations; Listen with empathy; and Empower the patient.Recent meta-analyses show that motivational interviewing is effective for decreasing alcohol and drug use in adults and adolescents and evidence is accumulating in others areas of health including smoking cessation, reducing sexual risk behaviours, improving adherence to treatment and medication and diabetes management.</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2025:</w:t>
      </w:r>
      <w:r>
        <w:t xml:space="preserve"> Co-design of technological tools and co-creation of intervention strategies to promote a healthy lifestyle: an Italian case study — https://doi.org/10.1108/jices-01-2025-0015</w:t>
      </w:r>
    </w:p>
    <w:p>
      <w:pPr/>
      <w:r>
        <w:rPr>
          <w:b/>
        </w:rPr>
        <w:t>Shared claim-specific concepts:</w:t>
      </w:r>
      <w:r>
        <w:t xml:space="preserve"> describe, planning, tool, creation; EU scope visible. This is a provisional connection, not an outcome finding.</w:t>
      </w:r>
    </w:p>
    <w:p>
      <w:pPr>
        <w:pStyle w:val="SourceNote"/>
      </w:pPr>
      <w:r>
        <w:rPr>
          <w:b/>
        </w:rPr>
        <w:t>Available abstract (not full text):</w:t>
      </w:r>
      <w:r>
        <w:t xml:space="preserve"> Purpose This paper aims to describe the case study carried out in Italy as part of the HealthyW8 project. In particular, it describes the methodology used in the participatory workshops held in Italy in 2023–2024 and the results obtained. Design/methodology/approach Using design thinking and user-centred design methodologies, the workshops aimed to develop intervention strategies and digital tool functionalities suitable for different user needs and local contexts. Findings Intervention strategies identified by the Italian stakeholders included the development of tools (e.g. corporate bonuses, reward schemes and applications) that encourage healthy living and physical activity and the creation of educational cartoons that address healthy lifestyles, diets and physical activity. The study underlined the importance of multi-level interventions combining education, public policy and user-centred technological innovations. Originality/value Stakeholders also suggested innovative digital tool functionalities such as the integration with existing shopping list apps to streamline healthy food planning and the connection to real-life community-building events to promote active participation.</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pStyle w:val="Heading2"/>
      </w:pPr>
      <w:r>
        <w:t>787.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2025:</w:t>
      </w:r>
      <w:r>
        <w:t xml:space="preserve"> The ecological forecast limit revisited: Potential, absolute and relative system predictability — https://doi.org/10.1111/2041-210x.70049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Ecological forecasts are model‐based statements about currently unknown ecosystem states in time or space. For a forecast to be useful to inform decision makers, model validation and verification determine adequacy. The measure of forecast goodness that can be translated into a limit up to which a forecast is acceptable is known as the ‘forecast limit’. While verification in weather forecasting follows strict criteria with established metrics and forecast limits, assessments of ecological forecasts still remain experiment‐specific and forecast limits are rarely reported. As such, users of ecological forecasts remain uninformed of how far into the future statements can be trusted. In this work, we synthesise existing approaches to define empirical forecast limits in a unified framework for assessing ecological predictability and offer recipes for their computation. We distinguish the model's potential and absolute forecast limits, and show how a benchmark model can help determine its relative forecast limit. The approaches are demonstrated with three case studies from population, ecosystem and Earth system research. We found that forecast limits can be computed with three requirements: Verification data, a scoring function and a reference for predictive error tolerance. Within our framework, forecast limits are defined for practically any ecological forecast and support</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2024:</w:t>
      </w:r>
      <w:r>
        <w:t xml:space="preserve"> Assessing the Potential for Medium‐Range Ice Forecasts in the Laurentian Great Lakes — https://doi.org/10.1029/2024wr037507</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Real‐time forecasted ice information for large lakes, such as the Great Lakes, is critical for essential operations, such as ice breaking, commercial navigation, search and rescue, and oil spill response. Existing forecast products for large lake ice conditions are not available for medium‐range time horizons (5–16 days out), yet they could provide important information for decision making, particularly for ice breaking and spill responses. In addition, ice forecasts for Earth's largest lakes at these timescales could be important for Medium‐Range Weather (MRW) forecasting. However, the skill of existing operational products in predicting ice conditions at MRW timescales has not been studied. This work aims to determine how well ice forecasts from a coupled large lake hydrodynamic‐ice model perform for MRW forecast horizons. Simulations were carried out for the 2022 Great Lakes ice season, using 8 different 16‐day forecast periods. Forecast results were compared to observations of meteorology and ice conditions from the U.S. National Ice Center. Results show the MRW ice forecasts in the Great Lakes outperform persistence‐based forecasts. These findings could inform the development or extension of lake operational ice forecasting and the potential of coupling between atmospheric and large lake models at medium‐range forecast time scales.</w:t>
      </w:r>
    </w:p>
    <w:p>
      <w:pPr/>
      <w:r>
        <w:rPr>
          <w:b/>
        </w:rPr>
        <w:t>POSSIBLE 2024:</w:t>
      </w:r>
      <w:r>
        <w:t xml:space="preserve"> Forecasting potential output for Greece — https://doi.org/10.52903/econbull20246003</w:t>
      </w:r>
    </w:p>
    <w:p>
      <w:pPr/>
      <w:r>
        <w:rPr>
          <w:b/>
        </w:rPr>
        <w:t>Shared claim-specific concepts:</w:t>
      </w:r>
      <w:r>
        <w:t xml:space="preserve"> potential, output; EU scope visible. This is a provisional connection, not an outcome finding.</w:t>
      </w:r>
    </w:p>
    <w:p>
      <w:pPr>
        <w:pStyle w:val="SourceNote"/>
      </w:pPr>
      <w:r>
        <w:rPr>
          <w:b/>
        </w:rPr>
        <w:t>Available abstract (not full text):</w:t>
      </w:r>
      <w:r>
        <w:t xml:space="preserve"> This paper presents a description of the current version of the production function methodology used at the Bank of Greece for assessing and forecasting potential output and the output gap. Medium-term projections are also presented: potential output growth is expected to be 1.9%, supported by Total Factor Productivity (TFP) and capital, while the negative demographics are soon to weigh on the productive capacity of the economy. At the end of the projection horizon, most of the potential output growth accrues from TFP, suggesting the need to continue implementing structural reforms. The paper concludes with a brief discussion regarding the complexities of estimating TFP.</w:t>
      </w:r>
    </w:p>
    <w:p>
      <w:pPr/>
      <w:r>
        <w:rPr>
          <w:b/>
        </w:rPr>
        <w:t>POSSIBLE 2024:</w:t>
      </w:r>
      <w:r>
        <w:t xml:space="preserve"> Forecast of Wildfire Potential Across California USA Using a Transformer — https://doi.org/10.1109/bigdata62323.2024.10825778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Wildfires are a major issue facing the United States, a matter further exacerbated by an ever-changing climate. In California alone, wildfires are responsible for billions of dollars in damages and take lives each year. Accurately predicting fire danger conditions allows preparation awareness before wildfires start. Transformers are a class of deep learning models designed to identify patterns in sequential datasets. In recent years, transformers have gained popularity through their impressive performance in natural language processing and other applications of signal recognition. This analysis demonstrates the ability of a transformer with a residual connection to forecast fire danger potential over the state of California. Wildland fire potential index (WFPI) maps collected from the US Geological Survey database from January 1st 2020 to December 31st 2023 were used to tune, train and evaluate the transformer. Meteorological inputs (provided by Daymet daily weather and climatological summaries), the normalized difference vegetation index (NDVI) (calculated from the Moderate Resolution Imaging Spectroradiometer (MODIS)), and outputs from the Scott and Burgman fire behavior fuel models (to characterize maps of fuel types), were used as inputs. Our results show that a transformer can effectively emulate the US Forest Service modeled WFPI maps of California USA for four week long </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pStyle w:val="Heading2"/>
      </w:pPr>
      <w:r>
        <w:t>788.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2025:</w:t>
      </w:r>
      <w:r>
        <w:t xml:space="preserve"> Incentives for smoking cessation — https://doi.org/10.1002/14651858.cd004307.pub7</w:t>
      </w:r>
    </w:p>
    <w:p>
      <w:pPr/>
      <w:r>
        <w:rPr>
          <w:b/>
        </w:rPr>
        <w:t>Shared claim-specific concepts:</w:t>
      </w:r>
      <w:r>
        <w:t xml:space="preserve"> incentives, current, additional, published; EU scope not established. This is a provisional connection, not an outcome finding.</w:t>
      </w:r>
    </w:p>
    <w:p>
      <w:pPr>
        <w:pStyle w:val="SourceNote"/>
      </w:pPr>
      <w:r>
        <w:rPr>
          <w:b/>
        </w:rPr>
        <w:t>Available abstract (not full text):</w:t>
      </w:r>
      <w:r>
        <w:t xml:space="preserve"> BACKGROUND: Financial incentives (money, vouchers, or self-deposits) can be used to positively reinforce smoking cessation. They may be used as one-off rewards, or in various schedules to reward steps towards sustained smoking abstinence (known as contingency management). They have been used in workplaces, clinics, hospitals, and community settings, and to target particular populations. This is a review update. The previous version was published in 2019. OBJECTIVES: Primary To assess the long-term effects of incentives and contingency management programmes for smoking cessation in mixed and pregnant populations. Secondary To assess the long-term effects of incentives and contingency management programmes for smoking cessation in mixed populations, considering whether incentives were offered at the final follow-up point. To assess the difference in outcomes for pregnant populations, considering whether rewards were contingent on abstinence or guaranteed. SEARCH METHODS: For this update, we searched CENTRAL, MEDLINE, Embase, PsycINFO, and two trials registers on 2 November 2023, and the Cochrane Tobacco Addiction Group Specialised Register on March 2023, together with reference checking, citation searching, and contact with study authors to identify additional studies. SELECTION CRITERIA: We considered only randomised controlled trials (RCTs), allocating individuals, workplaces, </w:t>
      </w:r>
    </w:p>
    <w:p>
      <w:pPr/>
      <w:r>
        <w:rPr>
          <w:b/>
        </w:rPr>
        <w:t>POSSIBLE 2025:</w:t>
      </w:r>
      <w:r>
        <w:t xml:space="preserve"> Mechanisms for monitoring the implementation of the European Social Charter and their significance for the Member States — https://doi.org/10.63341/naia-herald/1.2025.60</w:t>
      </w:r>
    </w:p>
    <w:p>
      <w:pPr/>
      <w:r>
        <w:rPr>
          <w:b/>
        </w:rPr>
        <w:t>Shared claim-specific concepts:</w:t>
      </w:r>
      <w:r>
        <w:t xml:space="preserve"> set, member, states, additional; EU scope visible. This is a provisional connection, not an outcome finding.</w:t>
      </w:r>
    </w:p>
    <w:p>
      <w:pPr>
        <w:pStyle w:val="SourceNote"/>
      </w:pPr>
      <w:r>
        <w:rPr>
          <w:b/>
        </w:rPr>
        <w:t>Available abstract (not full text):</w:t>
      </w:r>
      <w:r>
        <w:t xml:space="preserve"> The foundation of the European system of ensuring social human rights is the European Social Charter, which is implemented under the auspices of the Council of Europe. However, formally, its provisions are not subject to strict implementation, which necessitates an increase in the effectiveness of the Charter’s implementation. The purpose of the present study was to investigate the shortcomings of the mechanisms for monitoring compliance with the European Social Charter, to assess their significance for the member states, and to develop recommendations for improving their effectiveness. The methodological framework of the study included a comprehensive analysis of the mechanisms for monitoring the implementation of the European Social Charter. The study analysed the decisions of the European Committee of Social Rights on violations of the European Social Charter by various states and their effects on the development of legislation and improvement of social policy in these countries. Attention was focused on the collective complaints mechanism set out in the Additional Protocol. The study found that expanding the influence of national NGOs and strengthening public control would substantially contribute to improving the implementation of the Charter. At the same time, the immediate publication of the Committee’s conclusions would positively influence the reputation component, as </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2024:</w:t>
      </w:r>
      <w:r>
        <w:t xml:space="preserve"> Waste management in Slovakia and Poland as European Union member states — https://doi.org/10.5937/sjm19-51705</w:t>
      </w:r>
    </w:p>
    <w:p>
      <w:pPr/>
      <w:r>
        <w:rPr>
          <w:b/>
        </w:rPr>
        <w:t>Shared claim-specific concepts:</w:t>
      </w:r>
      <w:r>
        <w:t xml:space="preserve"> set, member, states; EU scope visible. This is a provisional connection, not an outcome finding.</w:t>
      </w:r>
    </w:p>
    <w:p>
      <w:pPr>
        <w:pStyle w:val="SourceNote"/>
      </w:pPr>
      <w:r>
        <w:rPr>
          <w:b/>
        </w:rPr>
        <w:t>Available abstract (not full text):</w:t>
      </w:r>
      <w:r>
        <w:t xml:space="preserve"> The basic European Union (EU) waste legislation is regulated by European Waste Framework Directive (1975). Since then, this directive has been significantly revised and updated and all EU members are obliged to implement the EU waste legislation into their legislation. The article presents the most important issues related to waste management in Slovakia and Poland. The paper reviews national legislation along with EU legislation. The study includes relevant conclusions with a brief comparison of the analyses carried out. The obtained results shows that the main goal relating to municipal waste - significant deviation from waste landfilling, set in both states, was not achieved.</w:t>
      </w:r>
    </w:p>
    <w:p>
      <w:pPr/>
      <w:r>
        <w:rPr>
          <w:b/>
        </w:rPr>
        <w:t>POSSIBLE 2024:</w:t>
      </w:r>
      <w:r>
        <w:t xml:space="preserve"> The Impact of the Rule of Law on Energy Policy in European Union Member States — https://doi.org/10.3390/en17030739</w:t>
      </w:r>
    </w:p>
    <w:p>
      <w:pPr/>
      <w:r>
        <w:rPr>
          <w:b/>
        </w:rPr>
        <w:t>Shared claim-specific concepts:</w:t>
      </w:r>
      <w:r>
        <w:t xml:space="preserve"> member, states, literature; EU scope visible. This is a provisional connection, not an outcome finding.</w:t>
      </w:r>
    </w:p>
    <w:p>
      <w:pPr>
        <w:pStyle w:val="SourceNote"/>
      </w:pPr>
      <w:r>
        <w:rPr>
          <w:b/>
        </w:rPr>
        <w:t>Available abstract (not full text):</w:t>
      </w:r>
      <w:r>
        <w:t xml:space="preserve"> Research pertaining to the dual-tier political system within the European Union (EU), specifically concerning the genesis and execution of EU policies, has garnered substantial scholarly attention. These inquiries delve into multifaceted dimensions, encompassing institutional dynamics, procedural intricacies, questions of legitimacy, and intricate relational dynamics entailing international diplomacy with other actors within the realm of international law. Nonetheless, a particularly intriguing and underexplored facet remains: the influence of member states’ compliance with the rule of law on the implementation of EU policies, particularly within the realm of energy policy. This article aims to elucidate the nexus between the realization of energy policy objectives in EU member states and fidelity to the rule of law. The conundrum of establishing a correlation between the indicators of environmentally sustainable energy policy and commitment to upholding the rule of law remains uncharted territory within the existing body of literature. Our analysis centers on a dataset derived from publicly accessible sources, reflecting data from the year 2020.</w:t>
      </w:r>
    </w:p>
    <w:p>
      <w:pPr>
        <w:pStyle w:val="Heading2"/>
      </w:pPr>
      <w:r>
        <w:t>789.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2026:</w:t>
      </w:r>
      <w:r>
        <w:t xml:space="preserve"> Interpretive structural modeling of factors influencing transition and transformation project management framework — https://doi.org/10.1007/s43621-026-03632-9</w:t>
      </w:r>
    </w:p>
    <w:p>
      <w:pPr/>
      <w:r>
        <w:rPr>
          <w:b/>
        </w:rPr>
        <w:t>Shared claim-specific concepts:</w:t>
      </w:r>
      <w:r>
        <w:t xml:space="preserve"> four, project, work; EU scope not established. This is a provisional connection, not an outcome finding.</w:t>
      </w:r>
    </w:p>
    <w:p>
      <w:pPr>
        <w:pStyle w:val="SourceNote"/>
      </w:pPr>
      <w:r>
        <w:rPr>
          <w:b/>
        </w:rPr>
        <w:t>Available abstract (not full text):</w:t>
      </w:r>
      <w:r>
        <w:t xml:space="preserve"> This article examines the factors influencing the adoption of Transition and Transformation (T&amp;T) Project Management among IT Firms. The study address two critical gaps, firstly the sequencing gap in organisational change during Disruptive Technology adoption and secondly, the VUCA-to-action gap that leads the discussion of transitioning from environmental diagnosis to the organisational response. Eight enablers for T&amp;T project management adoption are identified from the extant literature and from data collected from 34 project managers or leaders. Detailed analysis of enablers helped develop the Interpretative Structural Modelling (ISM) framework and categorise those enablers using the “Matrice d’impacts Croises multiplication appliquee a un classment” (MICMAC) analysis. The study proposed the transformation-based framework for IT firms in developing economies. The research aligns SDG-8 refers to productivity and decent work, SDG-9 align strengthening innovation and infrastructure capabilities, and SDG 17 emphasized consistent collaboration and stakeholder coordination. The results of the study show that there are four different levels in the ISM model, where F1 (Project Success Factors) at the topmost level in the model signifies being highly dependent, while enablers Training &amp; Education (F3), Disruptive Technology (F7) and VUCA Environment (F8) at the bottom signifies the k</w:t>
      </w:r>
    </w:p>
    <w:p>
      <w:pPr/>
      <w:r>
        <w:rPr>
          <w:b/>
        </w:rPr>
        <w:t>POSSIBLE 2026:</w:t>
      </w:r>
      <w:r>
        <w:t xml:space="preserve"> Bridging change and project management by enhancing stakeholder engagement and adaptability in digital transformation — https://doi.org/10.1108/ijmpb-08-2025-0346</w:t>
      </w:r>
    </w:p>
    <w:p>
      <w:pPr/>
      <w:r>
        <w:rPr>
          <w:b/>
        </w:rPr>
        <w:t>Shared claim-specific concepts:</w:t>
      </w:r>
      <w:r>
        <w:t xml:space="preserve"> four, project, groups; EU scope not established. This is a provisional connection, not an outcome finding.</w:t>
      </w:r>
    </w:p>
    <w:p>
      <w:pPr>
        <w:pStyle w:val="SourceNote"/>
      </w:pPr>
      <w:r>
        <w:rPr>
          <w:b/>
        </w:rPr>
        <w:t>Available abstract (not full text):</w:t>
      </w:r>
      <w:r>
        <w:t xml:space="preserve"> Purpose This article explores how digital transformation is reshaping organizations by changing stakeholder roles, organizational structures and ways of working. While both project management and change management are recognized as crucial drivers of transformation, their integration remains insufficiently theorized and empirically examined. The purpose of this study is to investigate how aligning these two disciplines can strengthen stakeholder inclusion and organizational adaptability during digital transformation. By focusing on the cultural, organizational and role-based challenges created by new technologies, the article seeks to uncover the mechanisms through which project and change management are integrated and to identify practical strategies that help organizations successfully navigate and sustain transformation in dynamic, technology-driven environments. Design/methodology/approach A single case study was employed to explore the digital transformation of tramway operations through the introduction of automatic train operation. Data collection occurred in two rounds: 25 semi-structured interviews in February 2024 and 16 interviews in November 2024. Interviews were recorded, supported by field notes. Workshops with senior management were held to validate preliminary findings and generate further insights. Data was analyzed using NVivo software, combining deductive cod</w:t>
      </w:r>
    </w:p>
    <w:p>
      <w:pPr/>
      <w:r>
        <w:rPr>
          <w:b/>
        </w:rPr>
        <w:t>POSSIBLE 2026:</w:t>
      </w:r>
      <w:r>
        <w:t xml:space="preserve"> Digital Transformation of Project Management in a Large Energy Holding Company: An Organizational and Technological Model — https://doi.org/10.12737/3033-8166-2026-2-3-10</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The article proposes an organizational and technological model for improving project management in a large diversified energy holding company, aimed at enhancing the efficiency of the corporate project management system (CPMS) under conditions of accelerated digital transformation, software import substitution, and tightening requirements for critical information infrastructure (CII) facilities. Based on an analysis of IT project management approaches at four of Russia\'s largest energy companies (PJSC Rosseti, En+ Group, PJSC Gazprom, PJSC Inter RAO), systemic limitations of current practice are identified, and a three-level improvement model is substantiated: at the organizational level – the introduction of the Digital Asset Owner (VCA) role; at the technological level – a transition to a domestic PPM platform with dual-circuit integration of the production and financialeconomic circuits; at the financial level – bank monitoring of projects using the digital ruble and smart contracts. Individual components of the model have been piloted at PJSC Inter RAO taking into account industry-specific factors and regulatory requirements.</w:t>
      </w:r>
    </w:p>
    <w:p>
      <w:pPr/>
      <w:r>
        <w:rPr>
          <w:b/>
        </w:rPr>
        <w:t>POSSIBLE 2026:</w:t>
      </w:r>
      <w:r>
        <w:t xml:space="preserve"> Final report: Project 2.4.2 Accelerating Food Transformation — https://doi.org/10.5204/eprints.264226</w:t>
      </w:r>
    </w:p>
    <w:p>
      <w:pPr/>
      <w:r>
        <w:rPr>
          <w:b/>
        </w:rPr>
        <w:t>Shared claim-specific concepts:</w:t>
      </w:r>
      <w:r>
        <w:t xml:space="preserve"> four, project, used, groups; EU scope not established. This is a provisional connection, not an outcome finding.</w:t>
      </w:r>
    </w:p>
    <w:p>
      <w:pPr>
        <w:pStyle w:val="SourceNote"/>
      </w:pPr>
      <w:r>
        <w:rPr>
          <w:b/>
        </w:rPr>
        <w:t>Available abstract (not full text):</w:t>
      </w:r>
      <w:r>
        <w:t xml:space="preserve"> "Australia faces a significant challenge in managing food waste, with approximately 2.96 million tonnes of food wasted annually in primary production and manufacturing (FIAL, 2021). In response, the concept of upcycled food – transforming surplus or waste food into new, value-added products – has emerged as a promising solution. This final report synthesises findings from a multi-phase research project aimed at accelerating food transformation through upcycling, offering insights into the regulatory, socio-technical, and consumer landscapes that shape, or may shape, the sector. Overall, the project had three key aims: 1.Advance understanding of the regulatory and socio-technical environment for upcycled food in Queensland. 2.Develop regulatory and market pathways to facilitate the upcycled food sector. 3.Provide advice to industry and government on consumer perspectives and strategies to improve acceptance of upcycled food. To achieve these aims, the project was structured into four phases: Phase 1 - literature review and stakeholder interviews, Phase 2 - regulatory analysis, Phase 3 - case studies, and Phase 4 - consumer study. Each of these phases is briefly summarised below. Phase 1: Literature review and stakeholder interviews The literature review revealed that while technical research on upcycled food is growing, there is limited social science analysis, particularly in t</w:t>
      </w:r>
    </w:p>
    <w:p>
      <w:pPr/>
      <w:r>
        <w:rPr>
          <w:b/>
        </w:rPr>
        <w:t>POSSIBLE 2025:</w:t>
      </w:r>
      <w:r>
        <w:t xml:space="preserve"> Research on Critical Path and Duration Optimization of Power Transmission and Transformation Project Based on WBS-IAHP — https://doi.org/10.1109/psgai68158.2025.11413362</w:t>
      </w:r>
    </w:p>
    <w:p>
      <w:pPr/>
      <w:r>
        <w:rPr>
          <w:b/>
        </w:rPr>
        <w:t>Shared claim-specific concepts:</w:t>
      </w:r>
      <w:r>
        <w:t xml:space="preserve"> four, project, used, work; EU scope not established. This is a provisional connection, not an outcome finding.</w:t>
      </w:r>
    </w:p>
    <w:p>
      <w:pPr>
        <w:pStyle w:val="SourceNote"/>
      </w:pPr>
      <w:r>
        <w:rPr>
          <w:b/>
        </w:rPr>
        <w:t>Available abstract (not full text):</w:t>
      </w:r>
      <w:r>
        <w:t xml:space="preserve"> The critical path and reference period of power transmission and transformation project are crucial to the timely delivery of the project, which is related to resource allocation and cost control. In this paper, the Work Breakdown Structure (WBS) model is used to divide the project into four stages: the early stage of the project, the design stage of the project, the construction of the project, and the final settlement of the project, which are further divided into small work packages. Then the Improved Analytic Hierarchy Process (IAHP) model is used to weight nodes and screen nodes with long reference duration. Finally, the Delphi method is used to collect expert opinions and give reference duration to key nodes. After calculations using the aforementioned model, the reference duration for indoor substation projects is determined to be within the range of [1630, 2040] days, and for outdoor substation projects, it is within the range of [1645, 2070] days. Comparison with historical data has confirmed that the results of this study's model are essentially consistent with reality, holding significant guidance value for future power transmission and transformation projects.</w:t>
      </w:r>
    </w:p>
    <w:p>
      <w:pPr/>
      <w:r>
        <w:rPr>
          <w:b/>
        </w:rPr>
        <w:t>POSSIBLE 2025:</w:t>
      </w:r>
      <w:r>
        <w:t xml:space="preserve"> Research on Carbon Emission Accounting of Power Transmission and Transformation Projects Based on Life Cycle Approach — https://doi.org/10.1109/iceeps66790.2025.11239571</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This paper systematically studies the carbon emission accounting of power transmission and transformation projects based on the life cycle theory. Through a literature review, it summarizes the latest achievements in the accounting methods of life cycle carbon emissions of substation buildings, key links and decarbonization strategies for carbon emissions in power transmission and transformation projects, and influencing factors and optimization design of carbon emissions. Taking a 220kV power transmission and transformation project in Anhui Province as a case study, it analyzes the carbon emission characteristics of the project in four stages: building materials production and transportation, construction, operation and maintenance, and demolition and recycling. It also uses a "bottom-up" model to account for the life cycle carbon emissions of the project. The study finds that the building materials production and transportation stage and the operation and maintenance stage are the key links of carbon emissions in the power transmission and transformation project, accounting for 34.7% and 64.1%, respectively. Based on this, the paper proposes decarbonization paths such as optimizing the selection of building materials, improving equipment energy efficiency and energy-saving transformation, establishing intelligent operation and maintenance systems, and using low-carbon demolit</w:t>
      </w:r>
    </w:p>
    <w:p>
      <w:pPr/>
      <w:r>
        <w:rPr>
          <w:b/>
        </w:rPr>
        <w:t>POSSIBLE 2025:</w:t>
      </w:r>
      <w:r>
        <w:t xml:space="preserve"> A critical success factors model to implement digital transformation in heritage building conservation project in Malaysia — https://openalex.org/W7162224059</w:t>
      </w:r>
    </w:p>
    <w:p>
      <w:pPr/>
      <w:r>
        <w:rPr>
          <w:b/>
        </w:rPr>
        <w:t>Shared claim-specific concepts:</w:t>
      </w:r>
      <w:r>
        <w:t xml:space="preserve"> four, project, used, material; EU scope not established. This is a provisional connection, not an outcome finding.</w:t>
      </w:r>
    </w:p>
    <w:p>
      <w:pPr>
        <w:pStyle w:val="SourceNote"/>
      </w:pPr>
      <w:r>
        <w:rPr>
          <w:b/>
        </w:rPr>
        <w:t>Available abstract (not full text):</w:t>
      </w:r>
      <w:r>
        <w:t xml:space="preserve"> Environmental changes, seismic activity, and structural stresses can damage heritage structures. However, stakeholders encounter many hurdles during the historic conservation project, which repairs, maintains, and manages heritage structures, including inadequate conservation performance and condition, inefficient project management, financial issues, and delays. These challenges are mostly caused by poor heritage data management, data dependability, information-driven decision-making, stakeholder data duplication in heritage conservation projects, lack of a comprehensive heritage asset data management repository and limited use of ICT for heritage conservation projects. Thus, to address these difficulties, this research proposes a Critical Success Factors (CSFs) Model to Implement Digital Transformation in Heritage Building Conservation in terms of Process, People, Technology, and Policy. To achieve this research aim, the first objective is to identify the critical success factors (CSFs) to implement Digital Transformation in Heritage Building Conservation. The second objective is to examine the relationship between identified Critical Success Factors in terms of People, Process, Technology, and Policy with the Success of Digital Transformation in Heritage Building Conservation Project. Finally, the third objective is to develop a Critical Success Model in terms of People, Pro</w:t>
      </w:r>
    </w:p>
    <w:p>
      <w:pPr>
        <w:pStyle w:val="Heading2"/>
      </w:pPr>
      <w:r>
        <w:t>790.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2026:</w:t>
      </w:r>
      <w:r>
        <w:t xml:space="preserve"> Social Media Impact on Baguio Tourism: Arrivals and Perceptions Analyzed — https://doi.org/10.47760/cognizance.2026.v06i04.010</w:t>
      </w:r>
    </w:p>
    <w:p>
      <w:pPr/>
      <w:r>
        <w:rPr>
          <w:b/>
        </w:rPr>
        <w:t>Shared claim-specific concepts:</w:t>
      </w:r>
      <w:r>
        <w:t xml:space="preserve"> real, tourism, provided; EU scope not established. This is a provisional connection, not an outcome finding.</w:t>
      </w:r>
    </w:p>
    <w:p>
      <w:pPr>
        <w:pStyle w:val="SourceNote"/>
      </w:pPr>
      <w:r>
        <w:rPr>
          <w:b/>
        </w:rPr>
        <w:t>Available abstract (not full text):</w:t>
      </w:r>
      <w:r>
        <w:t xml:space="preserve"> Social media have become a powerful influence on how travelers make decisions, shape perceptions, and choose destinations in the Philippines, particularly Baguio City. This study examined how social media platforms affect tourism by exploring how online promotions influence expectations, trust, emotional connection, and travel intentions toward the city. Anchored on the Uses and Gratifications Theory, Theory of Planned Behavior, and Expectation Confirmation Theory, the research used a qualitative descriptive approach through semi-structured interviews and observation. Fifteen tourists (15) aged eighteen (18) and above who had visited Baguio City and actively used social media for travel information were purposively selected, with data gathered at Mines View Park, the Botanical Garden, and The Mansion. Interviews were recorded, transcribed verbatim, and analyzed thematically to identify common patterns in social media use and decision-making. Findings revealed that social media strongly shapes how Baguio City is marketed and perceived, with TikTok emerging as the most influential platform due to its short, authentic, and visually engaging travel content. Facebook served as a trusted information source by offering community feedback, reviews, and travel guidance, while Instagram mainly provided visual inspiration with less impact on final decisions. Tourists showed strong trust i</w:t>
      </w:r>
    </w:p>
    <w:p>
      <w:pPr/>
      <w:r>
        <w:rPr>
          <w:b/>
        </w:rPr>
        <w:t>POSSIBLE 2026:</w:t>
      </w:r>
      <w:r>
        <w:t xml:space="preserve"> Tourism dynamics in South-East Europe: Similarities and predictability — https://doi.org/10.5937/menhottur2600007a</w:t>
      </w:r>
    </w:p>
    <w:p>
      <w:pPr/>
      <w:r>
        <w:rPr>
          <w:b/>
        </w:rPr>
        <w:t>Shared claim-specific concepts:</w:t>
      </w:r>
      <w:r>
        <w:t xml:space="preserve"> purpose, tourism, forecasts; EU scope visible. This is a provisional connection, not an outcome finding.</w:t>
      </w:r>
    </w:p>
    <w:p>
      <w:pPr>
        <w:pStyle w:val="SourceNote"/>
      </w:pPr>
      <w:r>
        <w:rPr>
          <w:b/>
        </w:rPr>
        <w:t>Available abstract (not full text):</w:t>
      </w:r>
      <w:r>
        <w:t xml:space="preserve"> Purpose - This study investigates the dynamics and common tourism patterns of selected countries in South-East Europe in the post-COVID-19 period. The main goal is to classify the countries by inter-country similarities and differences in tourist flows while assessing predictability in tourism demand across the region. Methodology - The research analyzes monthly tourist arrivals for the period 2022-2025 in Albania, Bosnia and Herzegovina, Bulgaria, Croatia, Greece, Montenegro, North Macedonia, Serbia, and Slovenia. It employs K-means and Density-Based Spatial Clustering of Applications with Noise (DBSCAN) clustering to identify time series patterns, while a Seasonal AutoRegressive Integrated Moving Average (SARIMA) panel data model provides a one-year forecast to 2026. Findings - Results reveal three groups: Cluster 0 (Albania, Bulgaria, Croatia, North Macedonia, Slovenia) with similar patterns; Cluster 1 (Bosnia and Herzegovina, Greece, Montenegro); and Serbia as an outlier. Seasonality is lowest in Serbia and highest in Albania and Bulgaria. Forecasts predict the largest growth in Albania (21%), moderate gains in Bosnia and Herzegovina, Bulgaria and Montenegro (6-8%), modest increases in Serbia and Greece (2-3%), slow growth for Croatia (1%) and stagnation for North Macedonia. Implications - This research advances the literature on regional tourism forecasting and supports po</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2025:</w:t>
      </w:r>
      <w:r>
        <w:t xml:space="preserve"> The contribution of tourism on GDP growth and sustainable tourism development in Africa — https://doi.org/10.1186/s43093-025-00532-8</w:t>
      </w:r>
    </w:p>
    <w:p>
      <w:pPr/>
      <w:r>
        <w:rPr>
          <w:b/>
        </w:rPr>
        <w:t>Shared claim-specific concepts:</w:t>
      </w:r>
      <w:r>
        <w:t xml:space="preserve"> analyze, tourism; EU scope not established. This is a provisional connection, not an outcome finding.</w:t>
      </w:r>
    </w:p>
    <w:p>
      <w:pPr>
        <w:pStyle w:val="SourceNote"/>
      </w:pPr>
      <w:r>
        <w:rPr>
          <w:b/>
        </w:rPr>
        <w:t>Available abstract (not full text):</w:t>
      </w:r>
      <w:r>
        <w:t xml:space="preserve"> Abstract Several African nations actively pursue economic diversification and sustainable development by promoting tourism. Given this, the study aims to thoroughly analyze the contribution of tourism to the GDP growth of six African Nations, specifically Egypt, Kenya, Morocco, South Africa, Tunisia, and Uganda, utilizing data from the World Bank Development Indicator spanning from 1999 to 2020. The study employed the Method of Moment Quantile Regression (MMQR) for the analysis and found that despite the prevailing assumptions of the tourism-led hypothesis and the emerging literature emphasizing the potential influence of tourism on GDP growth. The empirical findings of Westerlund’s (OBES 69:709–748, 2007) cointegration test indicate a lack of a statistically significant long-term relationship between tourism and GDP growth at 1% and 5% significance levels. However, there is an indication of a potential relationship at the 10% significance level, contingent upon the implementation of appropriate policies by the countries. Notably, this underscores the importance of promoting policies that stimulate the Keynesian multiplier effect. Additionally, the MMQR output suggests that policymakers should prioritize policies aimed at increasing Foreign Direct Investment to support the identified tendencies. This academic analysis provides valuable insights into the intricate relationship b</w:t>
      </w:r>
    </w:p>
    <w:p>
      <w:pPr/>
      <w:r>
        <w:rPr>
          <w:b/>
        </w:rPr>
        <w:t>POSSIBLE 2025:</w:t>
      </w:r>
      <w:r>
        <w:t xml:space="preserve"> Key attributes of tourism sector entrepreneurs in Southeast Europe — https://doi.org/10.5937/menhottur2500014l</w:t>
      </w:r>
    </w:p>
    <w:p>
      <w:pPr/>
      <w:r>
        <w:rPr>
          <w:b/>
        </w:rPr>
        <w:t>Shared claim-specific concepts:</w:t>
      </w:r>
      <w:r>
        <w:t xml:space="preserve"> purpose, tourism, export; EU scope visible. This is a provisional connection, not an outcome finding.</w:t>
      </w:r>
    </w:p>
    <w:p>
      <w:pPr>
        <w:pStyle w:val="SourceNote"/>
      </w:pPr>
      <w:r>
        <w:rPr>
          <w:b/>
        </w:rPr>
        <w:t>Available abstract (not full text):</w:t>
      </w:r>
      <w:r>
        <w:t xml:space="preserve"> Purpose - This study examines attributes of tourism sector entrepreneurs, identifying characteristics of individuals belonging to this entrepreneurial group in Southeast Europe. Methodology - The research is based on the GEM database from 2020, which includes Croatia, Greece and Slovenia. Binary logistic regression was performed using the SPSS software package. Findings -The findings reveal that younger individuals and those with higher incomes are more likely to engage in entrepreneurial activity within the tourism sector. Opportunity perception and entrepreneurial proactivity have the same effect, whereas necessity-driven motives are negatively related to entrepreneurial activity in the tourism sector. Entrepreneurs with lower growth expectations or those oriented toward internationalization, particularly those with higher export income, are more likely to be involved in tourism. Conversely, the use of new technologies and innovative procedures is negatively associated with entrepreneurial activity in this sector. Implications - These findings have important implications for the creation of policies that can encourage the development of tourism as a strategic sector, including targeted training of entrepreneurs and support programs that would encourage investment and innovation in tourism.</w:t>
      </w:r>
    </w:p>
    <w:p>
      <w:pPr/>
      <w:r>
        <w:rPr>
          <w:b/>
        </w:rPr>
        <w:t>POSSIBLE 2024:</w:t>
      </w:r>
      <w:r>
        <w:t xml:space="preserve"> The real estate growth hypothesis in tourism destinations — https://doi.org/10.54055/ejtr.v37i.3236</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article proposes and theoretically develops the Real Estate Growth Hypothesis concept. It empirically investigates the connection between the expansion of tourism and the progress of real estate in Calp, an established tourist hotspot situated on the Mediterranean coast of Spain. Using annual data for the period 1967-2019 and a time series methodology that considers the possible nonlinearity of the relationship, the article draws conclusions from local and long-term perspectives. The results indicate that tourism causes real estate development, but only in the case of positive shocks. In view of this result, practical implications are outlined, and suggestions are made for managing tourist destinations.</w:t>
      </w:r>
    </w:p>
    <w:p>
      <w:pPr/>
      <w:r>
        <w:rPr>
          <w:b/>
        </w:rPr>
        <w:t>POSSIBLE 2024:</w:t>
      </w:r>
      <w:r>
        <w:t xml:space="preserve"> Sustainable Cultural Tourism: Proposal for a Comparative Indicator-Based Framework in European Destinations — https://doi.org/10.3390/su16052062</w:t>
      </w:r>
    </w:p>
    <w:p>
      <w:pPr/>
      <w:r>
        <w:rPr>
          <w:b/>
        </w:rPr>
        <w:t>Shared claim-specific concepts:</w:t>
      </w:r>
      <w:r>
        <w:t xml:space="preserve"> purpose, tourism; EU scope visible. This is a provisional connection, not an outcome finding.</w:t>
      </w:r>
    </w:p>
    <w:p>
      <w:pPr>
        <w:pStyle w:val="SourceNote"/>
      </w:pPr>
      <w:r>
        <w:rPr>
          <w:b/>
        </w:rPr>
        <w:t>Available abstract (not full text):</w:t>
      </w:r>
      <w:r>
        <w:t xml:space="preserve"> Effective decision-making in tourism destinations relies significantly on employing suitable indicators for policy design and impact evaluation. However, the adoption of sustainability-focused indicators remains constrained in the field of cultural tourism. The purpose of this research is to provide decision-makers with an extensive array of criteria and indicators, enabling informed decision-making, policy formulation, and impact assessment tailored to the distinctive attributes encountered in European destinations. Based on the synthesis of existing approaches, and in co-creation with 21 European tourism destinations, an indicator-based framework is proposed, structured around the environmental, economic, social, cultural, resilience, and characterization domains. The results are particularly novel in the resilience and cultural domains, related to the recovery from crisis impacts, but also to the enhancement of digital approaches, as well as the preservation and promotion of cultural heritage towards a more hospitable destination. Moreover, the involvement of stakeholders incorporating real-case scenarios allows this research to bridge the gap between theoretical constructs and practical application. The indicator-based framework resulting from this research will provide stakeholders with assistance in assessing and comparing the impacts of cultural tourism on their destinat</w:t>
      </w:r>
    </w:p>
    <w:p>
      <w:pPr/>
      <w:r>
        <w:rPr>
          <w:b/>
        </w:rPr>
        <w:t>POSSIBLE 2024:</w:t>
      </w:r>
      <w:r>
        <w:t xml:space="preserve"> Leveraging Local Value in a Post-Smart Tourism Village to Encourage Sustainable Tourism — https://doi.org/10.3390/su16020873</w:t>
      </w:r>
    </w:p>
    <w:p>
      <w:pPr/>
      <w:r>
        <w:rPr>
          <w:b/>
        </w:rPr>
        <w:t>Shared claim-specific concepts:</w:t>
      </w:r>
      <w:r>
        <w:t xml:space="preserve"> tourism, expert, economy; EU scope not established. This is a provisional connection, not an outcome finding.</w:t>
      </w:r>
    </w:p>
    <w:p>
      <w:pPr>
        <w:pStyle w:val="SourceNote"/>
      </w:pPr>
      <w:r>
        <w:rPr>
          <w:b/>
        </w:rPr>
        <w:t>Available abstract (not full text):</w:t>
      </w:r>
      <w:r>
        <w:t xml:space="preserve"> ICT and digital technology adoption, sustainable development, community empowerment and local wisdom and destinations uniqueness are keywords that will be further explored in the de-velopment of tourism villages in Kenderan as the most importance of tourism destinations de-velopment from the village level. Therefor this research is aimed at developing suitable model for post smart or wise tourism village through proposing Culture and Tradition Festival and the application of a circular economy. Circular economy development in tourism villages focuses on the application of sustainable production principles in the tourism value chain, namely in creating tourism experiences together with tourists (co-creation of experience) and integrated in a tourism system that supports environmental sustainability. This research is applied research conducted with a sequential mixed method research by conducting qualitative research through expert judgment and quantitative research by circulating questionnaire to tourists visiting Kenderan village, while the collected data is analyzed by Structural Equation Modelling to see the rela-tionship between variables. The results of this research show that creative event as the locality aspects of tourist village, digital competence, and sustainability practice are the building blocks of post smart tourism village, while digital competence and sustainab</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pStyle w:val="Heading2"/>
      </w:pPr>
      <w:r>
        <w:t>791.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2026:</w:t>
      </w:r>
      <w:r>
        <w:t xml:space="preserve"> Fossil-Fuels in a Decarbonized Country? Modeling the Drivers of Icelandic Oil Sales — https://openalex.org/W7164702191</w:t>
      </w:r>
    </w:p>
    <w:p>
      <w:pPr/>
      <w:r>
        <w:rPr>
          <w:b/>
        </w:rPr>
        <w:t>Shared claim-specific concepts:</w:t>
      </w:r>
      <w:r>
        <w:t xml:space="preserve"> decarbonizing, transportation, necessary, energy, two, one; EU scope not established. This is a provisional connection, not an outcome finding.</w:t>
      </w:r>
    </w:p>
    <w:p>
      <w:pPr>
        <w:pStyle w:val="SourceNote"/>
      </w:pPr>
      <w:r>
        <w:rPr>
          <w:b/>
        </w:rPr>
        <w:t>Available abstract (not full text):</w:t>
      </w:r>
      <w:r>
        <w:t xml:space="preserve"> Although 100% of Iceland’s electricity comes from renewable energy sources, it still relies on fossil fuels for land transportation, marine transportation, aviation, and some industry. Understanding geographic nuances in oil use is critical to achieving Iceland’s goals of carbon neutrality by 2040. As the island has one primary urban center with two thirds of the population, information is lacking about oil use in non-Capital areas and a gap between state and municipal climate plans. Using newly available data of oil sales at the municipality-level in a Small Area Estimation model, we analyze drivers of oil sales across Icelandic municipalities. We find municipal income and the use category of the oil sale to be significant predictors of high oil sales. High unstructured spatial variability in the model suggests that local climate action plans are necessary to address municipality-specific energy needs and transition barriers. As other countries focus their efforts on renewable electricity grids, Iceland presents useful lessons about persistent barriers to decarbonizing the land and marine transportation sectors.</w:t>
      </w:r>
    </w:p>
    <w:p>
      <w:pPr/>
      <w:r>
        <w:rPr>
          <w:b/>
        </w:rPr>
        <w:t>POSSIBLE 2026:</w:t>
      </w:r>
      <w:r>
        <w:t xml:space="preserve"> Decarbonizing forest machinery of wood harvesting in Finland — https://doi.org/10.14214/df.388</w:t>
      </w:r>
    </w:p>
    <w:p>
      <w:pPr/>
      <w:r>
        <w:rPr>
          <w:b/>
        </w:rPr>
        <w:t>Shared claim-specific concepts:</w:t>
      </w:r>
      <w:r>
        <w:t xml:space="preserve"> decarbonizing, greenhouse, gas, ghg, emissions, high; EU scope visible. This is a provisional connection, not an outcome finding.</w:t>
      </w:r>
    </w:p>
    <w:p>
      <w:pPr>
        <w:pStyle w:val="SourceNote"/>
      </w:pPr>
      <w:r>
        <w:rPr>
          <w:b/>
        </w:rPr>
        <w:t>Available abstract (not full text):</w:t>
      </w:r>
      <w:r>
        <w:t xml:space="preserve"> Reducing greenhouse gas (GHG) emissions from wood harvesting remains a significant chal-lenge. This dissertation evaluates the impact of alternative powertrains and idling times on reducing emissions and thus, decarbonization of the machinery of Finnish wood harvesting. The first study examined the potential of alternative powertrains in non-road mobile ma-chinery (NRMM). The results highlighted that hybrid and full-electric technologies have the greatest potential to replace conventional diesel engines in the future. The main challenges identified were battery reliability and high technology costs. Regarding biofuel, biogas, and hydrogen, the benefits were mainly lower emissions while the challenges were high costs and low production rates currently. The highest Technology Readiness Levels (TRLs) were iden-tified for hybrid and full-electric solutions. The TRL assessment for full-electric, biogas, and hydrogen solutions in forest machinery was precluded due to the absence of adequate re-search information. The second study used survey data to depict the visions of Finnish logging (Loggers) and timber-hauling (Timber-haulers) entrepreneurs regarding the idle times of their forest ma-chinery and timber trucks. The study revealed that only a quarter of the loggers and half of the timber-haulers were aware of the idle times of their fleets. The results also indicated that the entr</w:t>
      </w:r>
    </w:p>
    <w:p>
      <w:pPr/>
      <w:r>
        <w:rPr>
          <w:b/>
        </w:rPr>
        <w:t>POSSIBLE 2026:</w:t>
      </w:r>
      <w:r>
        <w:t xml:space="preserve"> Research on the applicability of alternative decarbonization methods for cruise ships — https://doi.org/10.63662/dissertations/petrova-2025</w:t>
      </w:r>
    </w:p>
    <w:p>
      <w:pPr/>
      <w:r>
        <w:rPr>
          <w:b/>
        </w:rPr>
        <w:t>Shared claim-specific concepts:</w:t>
      </w:r>
      <w:r>
        <w:t xml:space="preserve"> sector, gas, emissions, energy; EU scope visible. This is a provisional connection, not an outcome finding.</w:t>
      </w:r>
    </w:p>
    <w:p>
      <w:pPr>
        <w:pStyle w:val="SourceNote"/>
      </w:pPr>
      <w:r>
        <w:rPr>
          <w:b/>
        </w:rPr>
        <w:t>Available abstract (not full text):</w:t>
      </w:r>
      <w:r>
        <w:t xml:space="preserve"> The dissertation examines technologies and approaches for decarbonization in maritime transport, with a focus on cruise vessels. The aim is to assess the effectiveness of the solutions applied to reduce emissions and to propose guidelines for a sustainable energy transition in the sector. International and European regulations (IMO, Fit for 55) and key technologies such as fuel cells, carbon capture, air lubrication, shore power, and alternative fuels - hydrogen, ammonia, methanol, and biofuels - are analyzed. The experimental part uses data from the cruise ships Carnival Vista and AIDAprima. The results show that exhaust gas cleaning systems and additional energy-efficient solutions significantly reduce harmful emissions and help achieve the objectives of MARPOL Annex VI.</w:t>
      </w:r>
    </w:p>
    <w:p>
      <w:pPr/>
      <w:r>
        <w:rPr>
          <w:b/>
        </w:rPr>
        <w:t>POSSIBLE 2026:</w:t>
      </w:r>
      <w:r>
        <w:t xml:space="preserve"> Foundations of Maritime Decarbonization — https://doi.org/10.58830/ozgur.pub1212</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book provides a comprehensive examination of the technological, regulatory, economic, and infrastructural dimensions of maritime decarbonization. Drawing upon an extensive review of contemporary academic literature, policy documents, and industry reports, it synthesizes current knowledge and emerging developments to present a holistic understanding of the low-carbon shipping transition. The scope encompasses the full spectrum of decarbonization pathways—from alternative fuels and energy efficiency technologies to digital innovations and market-based mechanisms—while maintaining focus on practical implementation challenges and solutions. The analysis integrates technical feasibility assessments with economic viability considerations, regulatory compliance requirements, and environmental impact evaluations across the complete fuel lifecycle.</w:t>
      </w:r>
    </w:p>
    <w:p>
      <w:pPr/>
      <w:r>
        <w:rPr>
          <w:b/>
        </w:rPr>
        <w:t>POSSIBLE 2026:</w:t>
      </w:r>
      <w:r>
        <w:t xml:space="preserve"> On track but too slow? The dynamics of EU decarbonization — https://doi.org/10.1016/j.jclepro.2026.149232</w:t>
      </w:r>
    </w:p>
    <w:p>
      <w:pPr/>
      <w:r>
        <w:rPr>
          <w:b/>
        </w:rPr>
        <w:t>Shared claim-specific concepts:</w:t>
      </w:r>
      <w:r>
        <w:t xml:space="preserve"> emissions, energy, system, within; EU scope visible. This is a provisional connection, not an outcome finding.</w:t>
      </w:r>
    </w:p>
    <w:p>
      <w:pPr>
        <w:pStyle w:val="SourceNote"/>
      </w:pPr>
      <w:r>
        <w:rPr>
          <w:b/>
        </w:rPr>
        <w:t>Available abstract (not full text):</w:t>
      </w:r>
      <w:r>
        <w:t xml:space="preserve"> Despite the strong commitment of European countries to achieve net-zero emissions by 2050, the extent to which key policies and drivers jointly shape emissions dynamics remains insufficiently investigated. The study suggests that the interaction among circular economy, energy transition, emissions trading systems, carbon tax, and digitalization policies creates structural constraints on CO 2 emissions in the European countries. Using annual data from 2000 to 2023, the analysis integrates exploratory causal discovery, time-varying dependence modeling, and machine learning methods to unravel system-level causal structure, dynamic connectedness, and future emission trajectories. The results indicate that resource productivity emerges as a central transmission channel within the system, linking upstream factors (material footprint) and digitalization to downstream emission outcomes. Lagged disequilibrium shocks propagate through resource use as a mediating channel. Time-varying copula models indicate significant heterogeneity and evolving dependence among key factors, highlighting the dynamic nature of policy and relationships over time. Forecasting results, based on a Support Vector Regression model under the European Union's 2030 climate policy framework, indicate a persistently declining emission trajectory, but at a pace insufficient to meet the EU's 2030 target. Sensitivity an</w:t>
      </w:r>
    </w:p>
    <w:p>
      <w:pPr>
        <w:pStyle w:val="Heading2"/>
      </w:pPr>
      <w:r>
        <w:t>792.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2026:</w:t>
      </w:r>
      <w:r>
        <w:t xml:space="preserve"> Research on the Impact of Artificial Intelligence Penetration Rate on the Innovation Performance of State-owned Enterprises — https://doi.org/10.2991/978-94-6239-774-3_20</w:t>
      </w:r>
    </w:p>
    <w:p>
      <w:pPr/>
      <w:r>
        <w:rPr>
          <w:b/>
        </w:rPr>
        <w:t>Shared claim-specific concepts:</w:t>
      </w:r>
      <w:r>
        <w:t xml:space="preserve"> penetration, between; EU scope not established. This is a provisional connection, not an outcome finding.</w:t>
      </w:r>
    </w:p>
    <w:p>
      <w:pPr>
        <w:pStyle w:val="SourceNote"/>
      </w:pPr>
      <w:r>
        <w:rPr>
          <w:b/>
        </w:rPr>
        <w:t>Available abstract (not full text):</w:t>
      </w:r>
      <w:r>
        <w:t xml:space="preserve"> Using data on China's state-owned A-share listed firms from 2013 to 2023, this study examines how AI penetration affects innovation performance.A two-way fixed-effects model is employed, with invention patent applications as the dependent variable and AI word frequency (via Python text recognition) as the core independent variable, alongside controls such as asset size and leverage.Results show that AI penetration in SOEs has risen steadily, with notable industry-level performance.Correlation and regression analyses reveal a significant positive relationship between AI adoption and technological innovation, which remains robust after controlling for other factors.These findings enrich innovation theory and offer practical guidance for SOEs in formulating AI strategies and for policymakers promoting high-quality economic development.</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2025:</w:t>
      </w:r>
      <w:r>
        <w:t xml:space="preserve"> Influence of Different Protocols on In‐Office Bleaching: Whiteness Difference and Hydrogen Peroxide Penetration — https://doi.org/10.1111/jerd.13501</w:t>
      </w:r>
    </w:p>
    <w:p>
      <w:pPr/>
      <w:r>
        <w:rPr>
          <w:b/>
        </w:rPr>
        <w:t>Shared claim-specific concepts:</w:t>
      </w:r>
      <w:r>
        <w:t xml:space="preserve"> penetration, among, different, between; EU scope not established. This is a provisional connection, not an outcome finding.</w:t>
      </w:r>
    </w:p>
    <w:p>
      <w:pPr>
        <w:pStyle w:val="SourceNote"/>
      </w:pPr>
      <w:r>
        <w:rPr>
          <w:b/>
        </w:rPr>
        <w:t>Available abstract (not full text):</w:t>
      </w:r>
      <w:r>
        <w:t xml:space="preserve"> ABSTRACT Objectives To evaluate whiteness difference (WID) and hydrogen peroxide (HP) penetration into the pulp chamber in extracted teeth subjected to various in‐office application protocols. Materials and Methods A total of 154 human premolars were randomly assigned to 11 groups (n = 14). The groups were divided into: Pola Office+ and Pola Rapid (SDI), and the following protocols: three applications of 8 min (3 × 8), two applications of 8 min (2 × 8), one application of 8 min (1 × 8), one application of 16 min (1 × 16), and one application of 24 min (1 × 24). These protocols were selected based on manufacturer recommendations and the aim of exploring simplified and alternative approaches applicable to clinical practice. One group served as a negative control. WID was assessed using a digital spectrophotometer before and after two sessions. HP concentration in the pulp chamber was measured using UV–Vis spectrophotometry. ANOVA two‐way and Tukey's and Dunnett's tests were used for data analysis. Results Significant WID were observed after two sessions, with greater changes in the 2 × 8, 3 × 8, and 1 × 24 protocols (p &lt; 0.001). Lower levels of peroxide penetration were found with shorter application, such as the 1 × 8 protocol, while higher levels were detected in the 3 × 8 protocol (p &lt; 0.0001). Conclusion Among the evaluated protocols, the 2 × 8‐min and 1 × 24‐min applications</w:t>
      </w:r>
    </w:p>
    <w:p>
      <w:pPr/>
      <w:r>
        <w:rPr>
          <w:b/>
        </w:rPr>
        <w:t>POSSIBLE 2025:</w:t>
      </w:r>
      <w:r>
        <w:t xml:space="preserve"> Data-driven prediction of rate of penetration (ROP) in drilling operations using advanced machine learning models — https://doi.org/10.1007/s13202-025-02018-3</w:t>
      </w:r>
    </w:p>
    <w:p>
      <w:pPr/>
      <w:r>
        <w:rPr>
          <w:b/>
        </w:rPr>
        <w:t>Shared claim-specific concepts:</w:t>
      </w:r>
      <w:r>
        <w:t xml:space="preserve"> penetration, among, potential, implications; EU scope not established. This is a provisional connection, not an outcome finding.</w:t>
      </w:r>
    </w:p>
    <w:p>
      <w:pPr>
        <w:pStyle w:val="SourceNote"/>
      </w:pPr>
      <w:r>
        <w:rPr>
          <w:b/>
        </w:rPr>
        <w:t>Available abstract (not full text):</w:t>
      </w:r>
      <w:r>
        <w:t xml:space="preserve"> Predicting the rate of penetration (ROP) is critical for optimizing drilling performance, yet it remains a complex task due to the interplay of multiple geological and operational parameters. This study comprehensively evaluates machine learning models, utilizing a real-time, high-resolution dataset from drilling operations in southeast Iraq. Among the models tested, the Random Forest algorithm demonstrated outstanding performance, achieving an R 2 of 0.955, a Mean Squared Error (MSE) of 0.119, and an Average Absolute Relative Error (AARE%) of 7.683, highlighting its reliability and robustness in predicting ROP. Sensitivity analysis and SHAP (Shapley Additive Explanations) also identified fracture pressure, kinematic viscosity, and rotary speed (RPM) as the most influential parameters affecting ROP. While alternative methods like Decision Tree and AdaBoost showed signs of overfitting, the results emphasize the Random Forest model’s superiority in balancing accuracy and generalizability. This research underscores the potential of advanced machine learning techniques in enhancing drilling performance, offering significant implications for real-world applications.</w:t>
      </w:r>
    </w:p>
    <w:p>
      <w:pPr/>
      <w:r>
        <w:rPr>
          <w:b/>
        </w:rPr>
        <w:t>POSSIBLE 2025:</w:t>
      </w:r>
      <w:r>
        <w:t xml:space="preserve"> Analysis of the Reasons for the Differences in the Penetration Rate of New Energy Vehicles between the North and South of China — https://doi.org/10.47297/taposatwsp2633-456907.20250606</w:t>
      </w:r>
    </w:p>
    <w:p>
      <w:pPr/>
      <w:r>
        <w:rPr>
          <w:b/>
        </w:rPr>
        <w:t>Shared claim-specific concepts:</w:t>
      </w:r>
      <w:r>
        <w:t xml:space="preserve"> penetration, different, between, vehicles, travel; EU scope not established. This is a provisional connection, not an outcome finding.</w:t>
      </w:r>
    </w:p>
    <w:p>
      <w:pPr>
        <w:pStyle w:val="SourceNote"/>
      </w:pPr>
      <w:r>
        <w:rPr>
          <w:b/>
        </w:rPr>
        <w:t>Available abstract (not full text):</w:t>
      </w:r>
      <w:r>
        <w:t xml:space="preserve"> By studying the differences in the penetration rate of new energy vehicles between the southern and northern parts of China, we can gain a deeper understanding of the demand characteristics, purchasing power and consumption preferences of consumers in different regions. This provides a basis for policy-making, allowing government departments to formulate differentiated industrial policies and subsidy policies based on the different situations of new energy vehicle penetration in the south and north. It also promotes infrastructure construction, and puts forward some reasonable plans and layout suggestions for the development of new energy vehicles and the construction of charging infrastructure. It promotes regional economic development. The development of the new energy vehicle industry has an important driving effect on the regional economy. It promotes sustainable development. The popularization of new energy vehicles is an important measure to achieve energy conservation and emission reduction in the transportation sector and promote sustainable development. In addition, it can also enhance consumer awareness. This research can help consumers understand the usage and development trends of new energy vehicles in different regions, helping them make more rational choices about their travel methods and vehicle types, and also increase their awareness and acceptance of new ener</w:t>
      </w:r>
    </w:p>
    <w:p>
      <w:pPr>
        <w:pStyle w:val="Heading2"/>
      </w:pPr>
      <w:r>
        <w:t>793.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2026:</w:t>
      </w:r>
      <w:r>
        <w:t xml:space="preserve"> Increasing land take in Europe’s land-water interface — https://doi.org/10.32942/x2j946</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Ecosystems at the interface between terrestrial and aquatic areas are of outstanding ecological and socio-economic importance, yet are under intense pressure due to the concentration of human settlement and agriculture. Despite this, the broader geography of the land-water interface and how it is changing remains poorly understood. Here, we develop an operationalizable definition of the land-water interface and use a fuzzy logic geospatial model to map the land-water interface at high resolution across the European continent. Our results show that the land-water interface covers ~0.87 million km² (~8% of Europe) but is strongly affected by human use: in 2020, about 15% of all built-up areas and more than 8% of all croplands lay within the land-water interface. Analyzing land-cover trends inside the land-water interface since 1992 showed increasing land take: built-up area more than doubled (from 13,752 km² to 29,302 km²), driven primarily by cropland-to-urban conversion. The expansion and densification of built-up areas occurred particularly in lowland river corridors, deltas, and coastal plains. Cropland decline was particularly widespread across Central and Eastern Europe, while cropland expansion occurred in land-water interface regions in northern Europe. Across interface types, the lake land-water interface exhibited the strongest relative increase in built-up areas (&gt;150%</w:t>
      </w:r>
    </w:p>
    <w:p>
      <w:pPr/>
      <w:r>
        <w:rPr>
          <w:b/>
        </w:rPr>
        <w:t>POSSIBLE 2026:</w:t>
      </w:r>
      <w:r>
        <w:t xml:space="preserve"> Wine Competitiveness as a Main Permanent Land Use Production: A Comparison Between Countries of the Southern EU Region — https://doi.org/10.3390/agriculture16121317</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Viticulture and wine production uses approximately 30% of the land occupied with permanent crops in the EU. In countries in the southern part of the EU, this share is even higher, reaching up to about 80% in France and 55% in Romania. In recent years, the development of grape and wine production has been under pressure from climate and market changes. Competitiveness and value creation capacity are among the key factors in the sustainability of national production and the viability of wine regions. This study examines wine production competitiveness in the countries of the southern EU region within the European Single Market, comparing Bulgaria with leading producers—France, Italy, and Spain—and neighboring Romania. A set of production and trade indicators was applied, and the overall assessment was derived through a composite competitiveness index that simultaneously captures market performance and value creation potential. The results indicate a high level of competitiveness in the three leading European wine-producing countries, albeit with differences in the realization of their value creation potential. Bulgaria and Romania exhibit relatively low levels of competitive positioning, which could be improved through investments in technology and innovation, the implementation of collective marketing strategies, and the development of a national sectoral brand.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Urban Development and Land Use/Land Cover Changes in the European Borderlands of Nice and Monaco — https://doi.org/10.20900/jsr20250053</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Urban development in European cross-border regions significantly influences LULC changes, affecting environmental sustainability and regional planning. This study focuses on the France–Monaco borderlands, including the cities of Nice and Monaco, to analyze these dynamics between 2000 and 2018. Using the CLC dataset and GIS tools, we conducted a spatiotemporal analysis of LULC changes. Post-classification change detection and the AUEII were applied to quantify urban expansion and land conversion patterns. The built-up area in the study region expanded by approximately 28 km² over 18 years, with an average annual increase of more than 1.5 km². At the same time, natural and semi-natural areas, including forests and agricultural land, declined by approximately 11 km², reflecting a significant transformation of the landscape. Urban expansion accelerated notably after 2012, especially along major transportation corridors and coastal zones. Wetlands and water bodies remained relatively stable during this period. Rapid urbanization in the Nice–Monaco cross-border territory has led to substantial LULC changes, with implications for environmental sustainability and regional development. These findings underscore the need for integrated land management strategies that balance urban growth with conservation efforts, particularly in ecologically sensitive areas that span multiple borders. C</w:t>
      </w:r>
    </w:p>
    <w:p>
      <w:pPr/>
      <w:r>
        <w:rPr>
          <w:b/>
        </w:rPr>
        <w:t>POSSIBLE 2025:</w:t>
      </w:r>
      <w:r>
        <w:t xml:space="preserve"> Territories of commons: a review of common land organizations and institutions in the European Alps — https://doi.org/10.1088/1748-9326/add1f4</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Common land organizations and institutions (hereinafter: CLOIs) have been extensively studied worldwide. However, the extent of the European ones is relatively unknown, despite studies and evidence of their long existence. This is the first comparative study on the CLOIs at a European regional scale. This study focuses on the Alps as defined by the Alpine Convention, and presents the first comprehensive review of data, and status of CLOIs across and within 6 alpine countries: Austria, France, Germany, Italy, Slovenia, and Switzerland. The aim is to assess (i) their historical evolution, (ii) their institutional arrangements and governance characteristics, and (iii) their numbers, surface, and land uses. To carry out this analysis, we used secondary data from official statistics, surveys, scientific and grey literature, legislation, and bylaws for each country and each region. The results show that CLOIs emerged in the Middle Ages and went through key changes in the 19th century, primarily due to Napoleon’s influence in reorganising public administration structures, and post-World War II centralization processes, especially in eastern European countries. In total, we accounted for between 5785 and 11 063 CLOIs, distributed across 32 types in the 6 countries; among which, CLOIs with full property rights and membership based on farmstead ownership are the most frequent. T</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2024:</w:t>
      </w:r>
      <w:r>
        <w:t xml:space="preserve"> Accuracy Assessment and Comparison of National, European and Global Land Use Land Cover Maps at the National Scale—Case Study: Portugal — https://doi.org/10.3390/rs16091504</w:t>
      </w:r>
    </w:p>
    <w:p>
      <w:pPr/>
      <w:r>
        <w:rPr>
          <w:b/>
        </w:rPr>
        <w:t>Shared claim-specific concepts:</w:t>
      </w:r>
      <w:r>
        <w:t xml:space="preserve"> range, land, use; EU scope visible. This is a provisional connection, not an outcome finding.</w:t>
      </w:r>
    </w:p>
    <w:p>
      <w:pPr>
        <w:pStyle w:val="SourceNote"/>
      </w:pPr>
      <w:r>
        <w:rPr>
          <w:b/>
        </w:rPr>
        <w:t>Available abstract (not full text):</w:t>
      </w:r>
      <w:r>
        <w:t xml:space="preserve"> The free availability of Sentinel-1 and 2 imageries enables the production of high resolution (10 m) global Land Use Land Cover (LULC) maps by a wide range of institutions, which often make them publicly available. This raises several issues: Which map should be used for each type of application? How accurate are these maps? What is the level of agreement between them? This motivated us to assess the thematic accuracy of six LULC maps for continental Portugal with 10 m spatial resolution with reference dates between 2017 and 2020, using the same method and the same reference database, in a bid to make the results comparable. The overall accuracy and the per class user’s and producer’s accuracy are compared with the ones reported by the map producers, at the national, European, or global level, according to their availability. The nomenclatures of the several maps were then analyzed and compared to generate a harmonized nomenclature to which all maps were converted into. The harmonized products were compared directly with a visual analysis and the proportion of regions equally classified was computed, as well as the area assigned per product to each class. The accuracy of these harmonized maps was also assessed considering the previously used reference database. The results show that there are significant differences in the overall accuracy of the original products, varying betw</w:t>
      </w:r>
    </w:p>
    <w:p>
      <w:pPr>
        <w:pStyle w:val="Heading2"/>
      </w:pPr>
      <w:r>
        <w:t>794.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2025:</w:t>
      </w:r>
      <w:r>
        <w:t xml:space="preserve"> Evaluating Energy Transition Winners and Losers: Are Algae Biofuels Desirable, Feasible, and Viable? — https://doi.org/10.26076/1de1-5a58</w:t>
      </w:r>
    </w:p>
    <w:p>
      <w:pPr/>
      <w:r>
        <w:rPr>
          <w:b/>
        </w:rPr>
        <w:t>Shared claim-specific concepts:</w:t>
      </w:r>
      <w:r>
        <w:t xml:space="preserve"> strengths, develops, desirable; EU scope not established. This is a provisional connection, not an outcome finding.</w:t>
      </w:r>
    </w:p>
    <w:p>
      <w:pPr>
        <w:pStyle w:val="SourceNote"/>
      </w:pPr>
      <w:r>
        <w:rPr>
          <w:b/>
        </w:rPr>
        <w:t>Available abstract (not full text):</w:t>
      </w:r>
      <w:r>
        <w:t xml:space="preserve"> Climate change, environmental degradation, finite resources, and the uneven distribution of energy access all points to an urgent need for a global energy transition. But making that transition responsibly requires more than enthusiasm for “green” solutions—it demands careful evaluation of which energy sources are truly worth investing in. This dissertation develops a practical decision-making framework to help policymakers, scientists, and the public answer three foundational questions about any new energy technology: Is it desirable? Is it feasible? Is it viable? By systematically weighing public narratives, biophysical constraints, and patterns of innovation, the framework aims to prevent wasted time, funding, and political will on options that cannot ultimately deliver. To demonstrate how the framework works in practice, this study applies it to a real-world example: algal biofuels. Once promoted as a revolutionary clean energy solution, algae promised the ability to grow fuel on non-arable land using wastewater, with rapid reproduction and high yields. However, despite more than 50 years of research, algae biofuels have struggled to prove themselves in energy returns, cost efficiency, and scalable production. This project combines media discourse analysis, energy return on investment (EROEI) data, and patent analysis to evaluate algal biofuels through the lens of desirabil</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795.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2026:</w:t>
      </w:r>
      <w:r>
        <w:t xml:space="preserve"> Cognitively healthy life expectancy of older women and men in India — https://doi.org/10.1016/j.ssmph.2026.101981</w:t>
      </w:r>
    </w:p>
    <w:p>
      <w:pPr/>
      <w:r>
        <w:rPr>
          <w:b/>
        </w:rPr>
        <w:t>Shared claim-specific concepts:</w:t>
      </w:r>
      <w:r>
        <w:t xml:space="preserve"> life, expectancy, men, country; EU scope not established. This is a provisional connection, not an outcome finding.</w:t>
      </w:r>
    </w:p>
    <w:p>
      <w:pPr>
        <w:pStyle w:val="SourceNote"/>
      </w:pPr>
      <w:r>
        <w:rPr>
          <w:b/>
        </w:rPr>
        <w:t>Available abstract (not full text):</w:t>
      </w:r>
      <w:r>
        <w:t xml:space="preserve"> Rapid population aging and increasing life expectancy in India, the most populous country in the world, raise questions about the quality of these added years for older adults. Cognitive impairment, in particular, is a growing public health concern in India. We estimated cognitively healthy life expectancy (CHLE) and life expectancy with mild cognitive impairment and dementia at age 60 and 70 years using life tables from the Sample Registration System and Demographic and Health Surveys, linked with cognitive health data from the Longitudinal Aging Study in India - Diagnostic Assessment of Dementia (LASI-DAD; 2017-2019). Analyses were stratified by gender, rural-urban residence, and social group (Scheduled Caste or Scheduled Tribe [SC/ST], Other Backward Classes, and high caste). Conditional on surviving to age 60, CHLE for women was only 0.86 years higher than for men. Larger differences in CHLE between groups emerge when examined by place of residence and social group. Compared to their urban counterparts, rural women and men had 2.2 and 3.1 fewer years of CHLE, respectively. In relative terms, rural women spent 4 percentage points less of their remaining life cognitively healthy, while rural men spent 8 percentage points less. By social group, SC/ST women and men lived 3.7 and 5.3 fewer cognitively healthy years than high-caste women and men, respectively, or 5 and 12 percent</w:t>
      </w:r>
    </w:p>
    <w:p>
      <w:pPr/>
      <w:r>
        <w:rPr>
          <w:b/>
        </w:rPr>
        <w:t>POSSIBLE 2026:</w:t>
      </w:r>
      <w:r>
        <w:t xml:space="preserve"> Centering working-class women’s knowledge: a feminist geography of lone-motherhood over life-course in Scotland’s urban peripheries — https://doi.org/10.1080/0966369x.2026.2695995</w:t>
      </w:r>
    </w:p>
    <w:p>
      <w:pPr/>
      <w:r>
        <w:rPr>
          <w:b/>
        </w:rPr>
        <w:t>Shared claim-specific concepts:</w:t>
      </w:r>
      <w:r>
        <w:t xml:space="preserve"> female, life, over, men, increase; EU scope visible. This is a provisional connection, not an outcome finding.</w:t>
      </w:r>
    </w:p>
    <w:p>
      <w:pPr>
        <w:pStyle w:val="SourceNote"/>
      </w:pPr>
      <w:r>
        <w:rPr>
          <w:b/>
        </w:rPr>
        <w:t>Available abstract (not full text):</w:t>
      </w:r>
      <w:r>
        <w:t xml:space="preserve"> Easterhouse in Glasgow is amongst the most persistently deprived housing-estates in Europe. During the 1980s it saw a threefold increase in lone-mother households. This dissertation explores lone-mothers’ experiences of poverty in Easterhouse between 1980 and 2021, investigating their use of female social networks to ‘get by’ and ‘get on’ through the challenges associated with gender, place, poverty, and lone-motherhood. The research comprised thirty semi-structured repeat interviews, assisted by photo-elicitation, capturing the adult life-course experiences of ten lone-mothers in Easterhouse since the 1980s. Interview transcripts were analysed in NVivo using thematic-methods to connect women’s accounts with key themes of social and economic change over time. The research found unexpectedly that all participants had entered lone-motherhood as a result of abuse by men. Localised female social networks provided important instrumental, emotional, and financial support during the transition to lone-motherhood and into mid-life-course, which allowed lone-mothers to ‘get by’. Yet female networks could often hinder women’s efforts to ‘get on’. In later life, participants remained almost solely reliant on female networks, which took on a new cathartic role in helping women navigate the emotional damage of lives characterised by persistent trauma. The study illuminates hidden histories </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2025:</w:t>
      </w:r>
      <w:r>
        <w:t xml:space="preserve"> European female captives in Algiers, 1700-1809 — https://openalex.org/W7214837963</w:t>
      </w:r>
    </w:p>
    <w:p>
      <w:pPr/>
      <w:r>
        <w:rPr>
          <w:b/>
        </w:rPr>
        <w:t>Shared claim-specific concepts:</w:t>
      </w:r>
      <w:r>
        <w:t xml:space="preserve"> female, men, male; EU scope visible. This is a provisional connection, not an outcome finding.</w:t>
      </w:r>
    </w:p>
    <w:p>
      <w:pPr>
        <w:pStyle w:val="SourceNote"/>
      </w:pPr>
      <w:r>
        <w:rPr>
          <w:b/>
        </w:rPr>
        <w:t>Available abstract (not full text):</w:t>
      </w:r>
      <w:r>
        <w:t xml:space="preserve"> This study aims to shed light on a topic that few studies have addressed in Algeria, particularly since most studies have addressed the issue of captives in a general manner. Many focused on male captives due to material availability on the subject. The personal memoirs of male captives were sufficient to cover the topic, unlike those of female captives, which were very few compared to those left by men. "between 1577 and 1704, historians counted 23 English captives who wrote about their captivity in North Africa," while only eight memoirs of female captives in North Africa were written in English during the Ottoman era, some of which were translated from other European languages. We believe that the topic of female captives has not received sufficient attention in Arab university curricula. Even studies in foreign languages have yet to significantly focus on the situation of Christian female captives in North Africa. Exceptions include a study by a Tunisian researcher published in French on "the condition of European female captives in Tunisia at the End of the 18th Century" and a study by Moroccan researcher Khalid El-Bekkoui titled "Female captives in North Africa..." in English. Research in this field still needs to be explored and requires further exploration</w:t>
      </w:r>
    </w:p>
    <w:p>
      <w:pPr/>
      <w:r>
        <w:rPr>
          <w:b/>
        </w:rPr>
        <w:t>POSSIBLE 2025:</w:t>
      </w:r>
      <w:r>
        <w:t xml:space="preserve"> Gender and Internal Geographical Mobility in Europe: A Comparative Analysis of Family and Employment Over the Life Course — https://doi.org/10.1007/s10680-025-09763-5</w:t>
      </w:r>
    </w:p>
    <w:p>
      <w:pPr/>
      <w:r>
        <w:rPr>
          <w:b/>
        </w:rPr>
        <w:t>Shared claim-specific concepts:</w:t>
      </w:r>
      <w:r>
        <w:t xml:space="preserve"> life, over, men, increase, france; EU scope visible. This is a provisional connection, not an outcome finding.</w:t>
      </w:r>
    </w:p>
    <w:p>
      <w:pPr>
        <w:pStyle w:val="SourceNote"/>
      </w:pPr>
      <w:r>
        <w:rPr>
          <w:b/>
        </w:rPr>
        <w:t>Available abstract (not full text):</w:t>
      </w:r>
      <w:r>
        <w:t xml:space="preserve"> This article presents an investigation into the gendered outcomes of inter-regional moves in six European countries, adopting a life-course perspective. Analyses are based on retrospective data from SHARELIFE for birth cohorts from the 1930s to 1960s in France, Germany, Italy, Poland, Spain, and Sweden. Linear probability panel models with fixed effects are used to examine the association between inter-regional migration and employment status over time, while assessing whether it differs by gender and family status. Results show that men experience improved employment probabilities following migration, regardless of their family status, and that these outcomes are consistent across countries. Moreover, the likelihood of employment for men continues to gradually increase several years after the move. In contrast, inter-regional mobility favours single women more than partnered women, especially mothers. Results, however, do not confirm a pattern of continued disadvantages, as mobility does not further reduce the employment prospects of mothers over time. The largest differences in the association between geographical mobility and employment between single women and mothers are observed in Mediterranean countries, while in more egalitarian countries like Sweden these differences are comparatively small.</w:t>
      </w:r>
    </w:p>
    <w:p>
      <w:pPr/>
      <w:r>
        <w:rPr>
          <w:b/>
        </w:rPr>
        <w:t>POSSIBLE 2025:</w:t>
      </w:r>
      <w:r>
        <w:t xml:space="preserve"> Alcohol and life expectancy — https://doi.org/10.1265/ehpm.25-00101</w:t>
      </w:r>
    </w:p>
    <w:p>
      <w:pPr/>
      <w:r>
        <w:rPr>
          <w:b/>
        </w:rPr>
        <w:t>Shared claim-specific concepts:</w:t>
      </w:r>
      <w:r>
        <w:t xml:space="preserve"> life, expectancy, over, men, likely; EU scope not established. This is a provisional connection, not an outcome finding.</w:t>
      </w:r>
    </w:p>
    <w:p>
      <w:pPr>
        <w:pStyle w:val="SourceNote"/>
      </w:pPr>
      <w:r>
        <w:rPr>
          <w:b/>
        </w:rPr>
        <w:t>Available abstract (not full text):</w:t>
      </w:r>
      <w:r>
        <w:t xml:space="preserve"> The recent three leading risk factors for global disease burden in the world are, in descending order, high blood pressure, tobacco smoking including second-hand smoke, and alcohol use. Alcohol use increases the risk for many acute and chronic health consequences including cancer, road injury and suicide as well as alcohol use disorder. It is known that there is a U- or J-shaped relationship between alcohol consumption and all-cause mortality. The descending leg of the curve showing this relationship is best explained by a decrease in the risk of cardiovascular disease, especially ischemic heart disease, among light-to-moderate alcohol drinkers. However, this relationship carries risks of confounding and selection bias, including the so-called healthy drinker bias. Furthermore, biogenic compounds other than ethanol present in wine may be partially responsible for the beneficial effect, although this also includes several confounding factors such as the drinking patterns associated with wine preference. While some studies suggest that light-to-moderate alcohol consumption may offer cardiovascular benefits, these findings are likely influenced by confounding factors and do not negate the substantial public health burden associated with alcohol use. In fact, from a population health perspective, reducing harmful alcohol consumption remains a critical priority. Social policies aime</w:t>
      </w:r>
    </w:p>
    <w:p>
      <w:pPr/>
      <w:r>
        <w:rPr>
          <w:b/>
        </w:rPr>
        <w:t>POSSIBLE 2025:</w:t>
      </w:r>
      <w:r>
        <w:t xml:space="preserve"> Life Expectancy Loss and Recovery by Age and Sex Following Catastrophic Events in Europe during the 19th and 20th Centuries — https://doi.org/10.1007/s42650-025-00094-8</w:t>
      </w:r>
    </w:p>
    <w:p>
      <w:pPr/>
      <w:r>
        <w:rPr>
          <w:b/>
        </w:rPr>
        <w:t>Shared claim-specific concepts:</w:t>
      </w:r>
      <w:r>
        <w:t xml:space="preserve"> life, expectancy, two; EU scope visible. This is a provisional connection, not an outcome finding.</w:t>
      </w:r>
    </w:p>
    <w:p>
      <w:pPr>
        <w:pStyle w:val="SourceNote"/>
      </w:pPr>
      <w:r>
        <w:rPr>
          <w:b/>
        </w:rPr>
        <w:t>Available abstract (not full text):</w:t>
      </w:r>
      <w:r>
        <w:t xml:space="preserve"> Abstract Following catastrophic events, such as pandemics or wars, a systematic loss in life expectancy at birth (\(\:{e}_{0}\)) can be observed. We aimed to estimate the time required for \(\:{e}_{0}\) to recover after mortality crises and identify which age groups either contribute to the decline or assist in restoring pre-crisis levels. We focused exclusively on analyzing the largest European pandemics and wars of the 19th and 20th centuries, using data from the Human Mortality Database (HMD). To achieve this, we employed Arriaga's decomposition to examine two specific \(\:{e}_{0}{\prime\:}\)s: one just before the most substantial decline during the mortality crisis, marking the deepest drop, and another at the point where recovery is observed. The events were categorized into pandemics and non-pandemics and further stratified by sex. Various statistical tests were conducted to enable valid comparisons. Our findings reveal that World Wars caused the most significant declines in \(\:{e}_{0}\). Statistical analyses indicate no significant disparities based on the type of event or sex. Notably, youth and children emerge as the primary age group contributing to the decline and recovery of \(\:{e}_{0}\) following both catastrophic events. However, not all of them fully recover to the mortality levels observed before the crisis.</w:t>
      </w:r>
    </w:p>
    <w:p>
      <w:pPr/>
      <w:r>
        <w:rPr>
          <w:b/>
        </w:rPr>
        <w:t>POSSIBLE 2025:</w:t>
      </w:r>
      <w:r>
        <w:t xml:space="preserve"> From sex differences to sex inequalities in life expectancy: A cross-country observational benchmarking analysis — https://doi.org/10.1371/journal.pmed.1004828</w:t>
      </w:r>
    </w:p>
    <w:p>
      <w:pPr/>
      <w:r>
        <w:rPr>
          <w:b/>
        </w:rPr>
        <w:t>Shared claim-specific concepts:</w:t>
      </w:r>
      <w:r>
        <w:t xml:space="preserve"> female, life, expectancy, over, country, except; EU scope visible. This is a provisional connection, not an outcome finding.</w:t>
      </w:r>
    </w:p>
    <w:p>
      <w:pPr>
        <w:pStyle w:val="SourceNote"/>
      </w:pPr>
      <w:r>
        <w:rPr>
          <w:b/>
        </w:rPr>
        <w:t>Available abstract (not full text):</w:t>
      </w:r>
      <w:r>
        <w:t xml:space="preserve"> BACKGROUND: The answer to whether females or males have better health, and which sex is the more disadvantaged, has depended in part on the metric and how the inequality is measured. This study introduces a new method for analyzing and interpreting sex inequalities in health outcomes-defined as the avoidable sex differences in health outcomes-that is systematic and potentially more objective. For this paper, we focus on life expectancy at different ages. METHODS AND FINDINGS: We introduce the adjusted sex ratio as a measure of sex inequalities and determining sex disadvantage. First, we calculated the sex ratio of life expectancy at ages 0, 5, 15, 35, 50, and 70. To understand what is achievable under favorable conditions, we identified countries in the 5th percentile of the highest life expectancy for each sex and used these values as benchmarks, and calculated the sex ratio of these best-performing countries ("frontier"). We calculated the country- and age-specific adjusted sex ratio by dividing country sex ratios by frontier sex ratios. This assumes that theoretically, under the current risk and healthcare environments, females all over the world have the potential to live up to the life expectancy of the females in the frontier countries, and separately, all males to their male-specific frontier. An adjusted ratio of greater than one indicates male disadvantage, while below</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pStyle w:val="Heading2"/>
      </w:pPr>
      <w:r>
        <w:t>796.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pStyle w:val="Heading2"/>
      </w:pPr>
      <w:r>
        <w:t>797.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2025:</w:t>
      </w:r>
      <w:r>
        <w:t xml:space="preserve"> Geometric studies in point cloud skeletonisation and their applications in robotics — https://openalex.org/W7116212780</w:t>
      </w:r>
    </w:p>
    <w:p>
      <w:pPr/>
      <w:r>
        <w:rPr>
          <w:b/>
        </w:rPr>
        <w:t>Shared claim-specific concepts:</w:t>
      </w:r>
      <w:r>
        <w:t xml:space="preserve"> key, robotics, analyse; EU scope not established. This is a provisional connection, not an outcome finding.</w:t>
      </w:r>
    </w:p>
    <w:p>
      <w:pPr>
        <w:pStyle w:val="SourceNote"/>
      </w:pPr>
      <w:r>
        <w:rPr>
          <w:b/>
        </w:rPr>
        <w:t>Available abstract (not full text):</w:t>
      </w:r>
      <w:r>
        <w:t xml:space="preserve"> Skeletons are commonly known as internal frameworks of humans and animals, but a similar concept is widely used in shape analysis. In this context, a skeleton represents a compact, centred abstraction of an object’s shape, capturing its topological structure. The process of extracting such a representation is known as skeletonisation. As a useful tool in shape analysis, skeletonisation has been extensively studied; however, key challenges remain–particularly in reducing computational overhead, establishing robust evaluation metrics, and applying skeletons to surface generalisation. This thesis addresses these gaps through three major contributions. First, to mitigate the high computational cost of existing skeletonisation methods, we analyse their inefficiencies and propose a novel geometry-based skeletonisation framework. By eliminating redundant computations inherent in prior techniques, our method significantly accelerates the skeletonisation process, outperforming a well-established baseline in terms of speed. Second, the development and comparison of skeletonisation techniques have been hindered by the absence of comprehensive quantitative evaluation tools. To address this, we systematically investigate the fundamental properties of skeletonisation and introduce a suite of evaluation metrics, along with practical numerical techniques. These metrics are validated for their </w:t>
      </w:r>
    </w:p>
    <w:p>
      <w:pPr/>
      <w:r>
        <w:rPr>
          <w:b/>
        </w:rPr>
        <w:t>POSSIBLE 2025:</w:t>
      </w:r>
      <w:r>
        <w:t xml:space="preserve"> ERA5 Reproduces Key Features of Global Precipitation Trends in A Warming Climate — https://doi.org/10.1002/joc.8877</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ABSTRACT The largest impact of future climate changes on societies and ecosystems will likely come from precipitation variability and change. Using the ERA5 dataset, this global study examines precipitation trends using many precipitation parameters across five main components: precipitation amount, precipitation frequency, precipitation type, wet and dry spells, and precipitation extremes. Global trends are summarised by land and ocean areas, by climate region, and then zonally averaged to identify broader precipitation patterns and interactions that may not be apparent in local and regional scale studies, especially with a reanalysis dataset. We find that the ERA5 dataset was able to reproduce key features of precipitation change: the near‐ubiquitous increase in extreme precipitation, the increase in Arctic precipitation, the transition from snowfall to a rainfall regime in mid‐to high latitudes, and the contrasting sign of change in precipitation amount and frequency between land and ocean. Two noteworthy findings from the ERA5 dataset are that (1) spatial intensification of extreme precipitation around the warmest locations (equatorial region) is not matched by temporal intensification around the warmest time of year (summer months) in the northern hemisphere, and (2) the Himalayas show altitudinal stratification of precipitation phase changes. Finally, consistent with othe</w:t>
      </w:r>
    </w:p>
    <w:p>
      <w:pPr/>
      <w:r>
        <w:rPr>
          <w:b/>
        </w:rPr>
        <w:t>POSSIBLE 2025:</w:t>
      </w:r>
      <w:r>
        <w:t xml:space="preserve"> Sustainability in the Food System: trends, key themes, and emerging topics — https://doi.org/10.12688/f1000research.165434.1</w:t>
      </w:r>
    </w:p>
    <w:p>
      <w:pPr/>
      <w:r>
        <w:rPr>
          <w:b/>
        </w:rPr>
        <w:t>Shared claim-specific concepts:</w:t>
      </w:r>
      <w:r>
        <w:t xml:space="preserve"> key, trends, field; EU scope visible. This is a provisional connection, not an outcome finding.</w:t>
      </w:r>
    </w:p>
    <w:p>
      <w:pPr>
        <w:pStyle w:val="SourceNote"/>
      </w:pPr>
      <w:r>
        <w:rPr>
          <w:b/>
        </w:rPr>
        <w:t>Available abstract (not full text):</w:t>
      </w:r>
      <w:r>
        <w:t xml:space="preserve"> Background With growing focus on the environmental and social impacts of the food industry, sustainability has become a central topic in scientific research. Understanding the dynamics of this scientific production motivated a bibliometric analysis to identify trends, key themes, and emerging topics in this field. Methods A bibliometric analysis was conducted using Scopus and Web of Science to examine the evolution of scientific output related to sustainability in the food industry. Techniques such as keyword co-occurrence analysis, evaluation of country and author productivity, and thematic evolution analysis were applied. Additionally, a Cartesian system was used to classify the relevance and recency of identified key terms. Results An exponential growth pattern in scientific output was identified, particularly in 2019, 2021, 2022, and 2023, with a statistical significance of 99.65%. Three main country clusters were observed, with the United Kingdom, United States, and Italy standing out for their productivity and impact. At the author level, Mangla and Luthra were notable for productivity, while Land, Beske, and Van Der Vorst stood out for their impact on the discipline. Thematic evolution analysis revealed a shift from early research on “soil erosion” to current themes like “circular economy,” “supply chain management,” “food safety,” and “wastewater treatment.” The keyword</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pStyle w:val="Heading2"/>
      </w:pPr>
      <w:r>
        <w:t>798.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2026:</w:t>
      </w:r>
      <w:r>
        <w:t xml:space="preserve"> Board Involvement in Information Security Governance: Roles and Perceptions — https://doi.org/10.71583/20261001sn</w:t>
      </w:r>
    </w:p>
    <w:p>
      <w:pPr/>
      <w:r>
        <w:rPr>
          <w:b/>
        </w:rPr>
        <w:t>Shared claim-specific concepts:</w:t>
      </w:r>
      <w:r>
        <w:t xml:space="preserve"> governance, engagement, result; EU scope not established. This is a provisional connection, not an outcome finding.</w:t>
      </w:r>
    </w:p>
    <w:p>
      <w:pPr>
        <w:pStyle w:val="SourceNote"/>
      </w:pPr>
      <w:r>
        <w:rPr>
          <w:b/>
        </w:rPr>
        <w:t>Available abstract (not full text):</w:t>
      </w:r>
      <w:r>
        <w:t xml:space="preserve"> Information Security Governance (ISG) has emerged as a central challenge for boards of directors in an era of digital transformation.As organizations become increasingly dependent on digital infrastructures and data-driven operations, information security risks have evolved from technical concerns into strategic governance issues that affect organizational continuity, value creation, and societal trust.Despite growing regulatory and practical expectations for board involvement in information security, academic understanding of how boards conceptualize, interpret, and enact this responsibility remains fragmented and underdeveloped.This dissertation addresses this gap by examining how boards of directors engage with ISG and how board-level governance of information security is conceptualized and enacted in practice across multiple governance dimensions.The findings show that effective board-level ISG cannot be understood solely in terms of formal structures or compliance requirements.Instead, governance effectiveness depends on the alignment of clearly defined roles with boards' interpretive capacity, the quality of board-CISO relationships, contextual supports, and the way governance routines are enacted in everyday practice.The dissertation makes several contributions to ISG and governance scholarship.It develops a theoretically grounded model of board roles in ISG, extends int</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governance, often, conflict;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Governing through inscription: eDNA biodiversity monitoring in North Sea offshore wind energy parks — https://doi.org/10.1016/j.envsci.2026.104335</w:t>
      </w:r>
    </w:p>
    <w:p>
      <w:pPr/>
      <w:r>
        <w:rPr>
          <w:b/>
        </w:rPr>
        <w:t>Shared claim-specific concepts:</w:t>
      </w:r>
      <w:r>
        <w:t xml:space="preserve"> observe, governance, offshore; EU scope not established. This is a provisional connection, not an outcome finding.</w:t>
      </w:r>
    </w:p>
    <w:p>
      <w:pPr>
        <w:pStyle w:val="SourceNote"/>
      </w:pPr>
      <w:r>
        <w:rPr>
          <w:b/>
        </w:rPr>
        <w:t>Available abstract (not full text):</w:t>
      </w:r>
      <w:r>
        <w:t xml:space="preserve"> The planned expansion of wind energy in the North Sea holds significant implications for marine biodiversity. Wind energy infrastructure can enhance biodiversity by providing hard substrates and reef-like habitats or degrade it by disturbing existing benthic habitat. However, it remains unclear what kinds of biodiversity will in practice be enhanced, in whose interest and for what purpose. To assess the effects of offshore wind energy parks on biodiversity, a range of new monitoring technologies are being developed, including monitoring technologies that incorporate environmental DNA (eDNA). However, which biodiversities eDNA sampling strategies can observe starts with their design; with different assumptions, priorities, material affordances, and ways of knowing biodiversity inscribed into material sampling technologies and their deployment. Using a framework to examine processes of inscription, this paper explores how assumptions and priorities, conditioned by the material affordances of eDNA, affect the design of a monitoring strategy assessing biodiversity enhancement. We show that the process of inscription constitutes a form of de facto governance, whereby the design of an eDNA monitoring strategy in the present shapes how biodiversity is governed in the future. We conclude that inscription is an open-ended process that allows for reflexivity on the socio-material dimensi</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pStyle w:val="Heading2"/>
      </w:pPr>
      <w:r>
        <w:t>799.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2026:</w:t>
      </w:r>
      <w:r>
        <w:t xml:space="preserve"> An Integrated Assessment of European Soil Health and Restoration Potential — https://doi.org/10.1002/sae2.70163</w:t>
      </w:r>
    </w:p>
    <w:p>
      <w:pPr/>
      <w:r>
        <w:rPr>
          <w:b/>
        </w:rPr>
        <w:t>Shared claim-specific concepts:</w:t>
      </w:r>
      <w:r>
        <w:t xml:space="preserve"> aimed, moderate; EU scope visible. This is a provisional connection, not an outcome finding.</w:t>
      </w:r>
    </w:p>
    <w:p>
      <w:pPr>
        <w:pStyle w:val="SourceNote"/>
      </w:pPr>
      <w:r>
        <w:rPr>
          <w:b/>
        </w:rPr>
        <w:t>Available abstract (not full text):</w:t>
      </w:r>
      <w:r>
        <w:t xml:space="preserve"> ABSTRACT Soils host a significant proportion of biodiversity on Earth providing ecosystem functions vital to human well‐being, making it imperative to include them and their ecological features when addressing sustainability goals. We performed a comprehensive assessment of soil health across Europe by explicitly integrating biotic and abiotic indicators alongside soil degradation processes. We further identified areas with high restoration potential, quantifying the potential positive changes achievable when mitigating degradation processes. Our results show that 93% of soils in Europe are either degraded (62%) or in a moderate state (31%), with only 7% having a good (6.5%) or high (0.5%) health status. We found Southeast Europe to have the highest restoration potential, particularly for forests and annual crops. By providing spatially explicit indicators of soil health and restoration potential, our approach offers valuable guidance to support sustainable soil management and inform policies aimed at enhancing soil health across Europe.</w:t>
      </w:r>
    </w:p>
    <w:p>
      <w:pPr/>
      <w:r>
        <w:rPr>
          <w:b/>
        </w:rPr>
        <w:t>POSSIBLE 2026:</w:t>
      </w:r>
      <w:r>
        <w:t xml:space="preserve"> Quantifying Land-Surface Effects on Cloud Occurrence Using Neural Networks — https://doi.org/10.5194/egusphere-egu26-17132</w:t>
      </w:r>
    </w:p>
    <w:p>
      <w:pPr/>
      <w:r>
        <w:rPr>
          <w:b/>
        </w:rPr>
        <w:t>Shared claim-specific concepts:</w:t>
      </w:r>
      <w:r>
        <w:t xml:space="preserve"> quantify, period; EU scope visible. This is a provisional connection, not an outcome finding.</w:t>
      </w:r>
    </w:p>
    <w:p>
      <w:pPr>
        <w:pStyle w:val="SourceNote"/>
      </w:pPr>
      <w:r>
        <w:rPr>
          <w:b/>
        </w:rPr>
        <w:t>Available abstract (not full text):</w:t>
      </w:r>
      <w:r>
        <w:t xml:space="preserve"> The aim of this study is to investigate the effect of land surface conditions on cloud occurrence by quantifying how they modulate the influence of large-scale meteorological conditions.The land surface can modulate clouds through its influence on surface heat fluxes, local moisture availability, and surface roughness. However, quantifying these effects from observations remains challenging, as the temporal and spatial variability of cloud occurrence is large and influencing factors covary.Here, we employ a convolutional neural network (CNN) to predict satellite-observed cloud fraction over Europe for the period 1983–2020. Cloud fraction is taken from the CM SAF Cloud Fractional Cover dataset based on Meteosat First and Second Generation observations (COMET). Predictors are derived from the ERA5 reanalysis, including ERA5-Land as well as ERA5 fields on single and pressure levels. To delineate the land surface impact on cloud occurrence predictability, we develop two model configurations: one driven solely by large-scale meteorological conditions, and a second one that additionally incorporates land surface variables. Both models achieve high predictive skill (R² &gt; 0.8), with a slight increase in performance when land surface conditions are included. Sensitivity analyses using permutation feature importance and partial dependency indicates that cloud occurrence is primarily cont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Assessing extreme sea level rise impacts on coastal agriculture in Europe and North Africa — https://doi.org/10.1038/s41598-025-31630-w</w:t>
      </w:r>
    </w:p>
    <w:p>
      <w:pPr/>
      <w:r>
        <w:rPr>
          <w:b/>
        </w:rPr>
        <w:t>Shared claim-specific concepts:</w:t>
      </w:r>
      <w:r>
        <w:t xml:space="preserve"> level, climate; EU scope visible. This is a provisional connection, not an outcome finding.</w:t>
      </w:r>
    </w:p>
    <w:p>
      <w:pPr>
        <w:pStyle w:val="SourceNote"/>
      </w:pPr>
      <w:r>
        <w:rPr>
          <w:b/>
        </w:rPr>
        <w:t>Available abstract (not full text):</w:t>
      </w:r>
      <w:r>
        <w:t xml:space="preserve"> Sea Level Rise refers to the long-term increase of sea level. This phenomenon is primarily driven by the melting of ice caps and the thermal expansion of the oceans. Extreme Sea Level Rise (ESLR) events occur when SLR combines with temporary phenomena such as storm surges, tides, and waves, creating potentially damaging coastal flooding. The accelerating impact of climate change has raised the attention on ESLR and its effects on coastal regions. This study focuses on ESLR and its potential impacts on Europe and North Africa up to 2100, with particular attention to agriculture. Utilising Joint Research Centre (JRC) Global Extreme Sea Level projections and fine-scale DTM, we mapped areas vulnerable to ESLR under Representative Concentration Pathway (RCP) scenarios 4.5 and 8.5. Through a topological approach, we generated spatially explicit maps of at-risk regions. Then, the magnitude of ESLR's impact on local agricultural systems was estimated by overlaying crop production data from FAO (GAEZ 2015+) with different flood scenarios. Findings reveal that ESLR can severely affect coastal agriculture, suggesting significant potential agricultural losses (from $800 million up to $1.5 billion per year in the next 100 years), impacting food security and economic stability. This research underscores the urgent need for adaptive strategies, including the construction of dykes and sea barr</w:t>
      </w:r>
    </w:p>
    <w:p>
      <w:pPr/>
      <w:r>
        <w:rPr>
          <w:b/>
        </w:rPr>
        <w:t>POSSIBLE 2025:</w:t>
      </w:r>
      <w:r>
        <w:t xml:space="preserve"> Honey bee food resources under threat from climate change — https://doi.org/10.1038/s41467-025-68085-6</w:t>
      </w:r>
    </w:p>
    <w:p>
      <w:pPr/>
      <w:r>
        <w:rPr>
          <w:b/>
        </w:rPr>
        <w:t>Shared claim-specific concepts:</w:t>
      </w:r>
      <w:r>
        <w:t xml:space="preserve"> threat, climate; EU scope visible. This is a provisional connection, not an outcome finding.</w:t>
      </w:r>
    </w:p>
    <w:p>
      <w:pPr>
        <w:pStyle w:val="SourceNote"/>
      </w:pPr>
      <w:r>
        <w:rPr>
          <w:b/>
        </w:rPr>
        <w:t>Available abstract (not full text):</w:t>
      </w:r>
      <w:r>
        <w:t xml:space="preserve"> Plant-pollinator interactions are essential for plant productivity but face growing threats from climate change, including vegetation loss and mismatches in flowering. Yet, the consequences for bee food resources remain poorly understood at continental scales. Here, we analyse 2 500 samples collected by honey bees (Apis mellifera) between May and August 2023 from 310 locations across Europe using ITS2 metabarcoding. We derive climatic response curves of floral resources and assess exceedance risks of interaction loss under projected climate scenarios. Our findings reveal that rising temperatures and reduced precipitation decrease the diversity of foraging resources across Europe, pushing many plants beyond critical limits. When both warming and drying coincide, the potential for resilience through temporal or spatial buffering is strongly constrained. These declines pose serious risks to bee nutrition, ecosystem functioning, and food security. Our study underscores the urgency of mitigating climate change to preserve vital plant-pollinator systems and the services they sustain.</w:t>
      </w:r>
    </w:p>
    <w:p>
      <w:pPr/>
      <w:r>
        <w:rPr>
          <w:b/>
        </w:rPr>
        <w:t>POSSIBLE 2025:</w:t>
      </w:r>
      <w:r>
        <w:t xml:space="preserve"> Antimicrobial Resistance in European Companion Animals Practice: A One Health Approach — https://doi.org/10.3390/ani15121708</w:t>
      </w:r>
    </w:p>
    <w:p>
      <w:pPr/>
      <w:r>
        <w:rPr>
          <w:b/>
        </w:rPr>
        <w:t>Shared claim-specific concepts:</w:t>
      </w:r>
      <w:r>
        <w:t xml:space="preserve"> threat, level, species; EU scope visible. This is a provisional connection, not an outcome finding.</w:t>
      </w:r>
    </w:p>
    <w:p>
      <w:pPr>
        <w:pStyle w:val="SourceNote"/>
      </w:pPr>
      <w:r>
        <w:rPr>
          <w:b/>
        </w:rPr>
        <w:t>Available abstract (not full text):</w:t>
      </w:r>
      <w:r>
        <w:t xml:space="preserve"> Antimicrobial resistance (AMR) is a global health emergency. The growing levels of multidrug-resistant bacteria in companion animals represent a critical but under-recognized threat, as pets can act as reservoirs and vectors of resistant pathogens, and bacteria can spread between species. Despite living in close proximity to humans and sharing many of the same antibiotic classes, companion animals remain largely overlooked in the AMR control strategies. A major obstacle to combating AMR in Europe is the absence of a mandatory and uniform surveillance system. Without a standardized approach, data collection remains inconsistent, leading to knowledge gaps and hindering effective investigation and policymaking. Surveillance failures prevent a comprehensive understanding of resistance patterns, making it difficult to implement timely and evidence-based measures. Existing laws and regulations are insufficient to contain the growing threat of AMR. Current policies fail to enforce strict antimicrobial stewardship across all European countries and lack the necessary scope to address resistance effectively. Urgent action is required-Europe must implement stronger, harmonized surveillance systems, enforce stricter veterinary antimicrobial regulations, and develop more active and binding programs to curb resistance before it reaches an uncontrollable level. A One Health approach, recogniz</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800.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2026:</w:t>
      </w:r>
      <w:r>
        <w:t xml:space="preserve"> Influence of atmospheric circulation on temperature extremes in mountainous regions of Central Europe during 1961–2025 — https://doi.org/10.1007/s00704-026-06605-0</w:t>
      </w:r>
    </w:p>
    <w:p>
      <w:pPr/>
      <w:r>
        <w:rPr>
          <w:b/>
        </w:rPr>
        <w:t>Shared claim-specific concepts:</w:t>
      </w:r>
      <w:r>
        <w:t xml:space="preserve"> atmospheric, circulation, statistically, significant, level; EU scope visible. This is a provisional connection, not an outcome finding.</w:t>
      </w:r>
    </w:p>
    <w:p>
      <w:pPr>
        <w:pStyle w:val="SourceNote"/>
      </w:pPr>
      <w:r>
        <w:rPr>
          <w:b/>
        </w:rPr>
        <w:t>Available abstract (not full text):</w:t>
      </w:r>
      <w:r>
        <w:t xml:space="preserve"> Abstract Recent climate change is most clearly manifested in rising global temperatures, with regionally amplified warming observed in Central Europe, including its mountainous areas. This study analyses trends in mean annual and seasonal air temperatures and evaluates the influence of atmospheric circulation on temperature extremes in Central European mountains during 1961–2025, comparing the periods 1961–1990 and 1991–2025. Homogenised station-based temperature data from the Czech and Slovak Hydrometeorological Institutes were combined with ERA5 geopotential height fields at the 850 hPa level to characterise atmospheric circulation. The results show a statistically significant increase in mean annual temperatures across all mountain ranges, ranging from 0.28 °C/10 years in the Bohemian Forest to 0.44 °/10 years in the East Slovak Mountains, with a pronounced west–east gradient in warming intensity. Changes in atmospheric circulation are characterised by an increasing frequency of anticyclonic types and a decrease in cyclonic circulation, particularly during spring and summer. Extremely warm days became more frequent, while extremely cold days generally declined. A decomposition analysis revealed that these changes were driven primarily by changes in the thermal characteristics of individual circulation types rather than by changes in circulation-type frequency. Changes in cir</w:t>
      </w:r>
    </w:p>
    <w:p>
      <w:pPr/>
      <w:r>
        <w:rPr>
          <w:b/>
        </w:rPr>
        <w:t>POSSIBLE 2026:</w:t>
      </w:r>
      <w:r>
        <w:t xml:space="preserve"> European summer drying largely driven by atmospheric circulation changes since the 1980s — https://doi.org/10.1038/s41561-026-02050-w</w:t>
      </w:r>
    </w:p>
    <w:p>
      <w:pPr/>
      <w:r>
        <w:rPr>
          <w:b/>
        </w:rPr>
        <w:t>Shared claim-specific concepts:</w:t>
      </w:r>
      <w:r>
        <w:t xml:space="preserve"> atmospheric, circulation, historical, pressure; EU scope visible. This is a provisional connection, not an outcome finding.</w:t>
      </w:r>
    </w:p>
    <w:p>
      <w:pPr>
        <w:pStyle w:val="SourceNote"/>
      </w:pPr>
      <w:r>
        <w:rPr>
          <w:b/>
        </w:rPr>
        <w:t>Available abstract (not full text):</w:t>
      </w:r>
      <w:r>
        <w:t xml:space="preserve"> Abstract In recent decades, Europe has experienced more frequent and severe droughts driven by two mechanisms: shifts in large-scale atmospheric circulation, altering the frequency and position of pressure systems, and thermodynamic changes, which cause background warming, raise evaporative demand and affect precipitation. However, the relative roles of these drivers in observed drought trends remain uncertain. Here we disentangle their contributions using nudged atmospheric circulation model simulations, which isolate the circulation-induced component of European hydroclimatic variability and trends. We show that circulation-induced effects play a substantial role in long-term summer drying. These changes account for about 55% of the observed summer soil moisture decline in mid-latitude Europe since 1980 and about 42% of increased atmospheric vapour pressure deficit. Further, we demonstrate that more frequent anticyclonic, warm and dry weather conditions linked to these circulation changes amplify the thermodynamic component of drying. Whereas our study improves our understanding of the mechanisms behind European hydroclimatic trends, these findings also highlight the high uncertainty for European hydroclimate projections because future circulation changes remain poorly constrained. If historical circulation trends were partly externally forced, circulation-driven drying may c</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pStyle w:val="Heading2"/>
      </w:pPr>
      <w:r>
        <w:t>801.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2026:</w:t>
      </w:r>
      <w:r>
        <w:t xml:space="preserve"> Climate Change and Indian Crop Yields: Impacts and Projections — https://doi.org/10.1177/00252921261438943</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Climate change constitutes a significant threat to agricultural productivity, particularly in India, where nearly half of the population relies on agriculture for their livelihoods. The sector is increasingly exposed to rising temperatures, irregular precipitation patterns and the intensification of extreme climatic events. While previous studies have identified climate-induced yield reductions in staple crops, much of the existing evidence is based on short-term analyses and lacks a comprehensive evaluation across diverse crop groups. This study addresses this limitation by employing a panel dataset covering 20 crops across 20 Indian states from 1966 to 2016 to assess both historical impacts and projected outcomes under shared Socioeconomic Pathways (SSP) climate scenarios. The analysis employs crop-specific, non-linear panel regression models that incorporate key climatic variables, including temperature, precipitation, wind speed and evapotranspiration, alongside critical non-climatic factors such as mechanisation, irrigation and fertiliser application. The findings indicate that crops like rice and wheat are most adversely affected by rising temperature, whereas crops like pearl millet and cotton exhibit greater resilience, though cotton remains highly sensitive to precipitation variability. Pigeon pea and sesamum benefit from increased evapotranspiration up to a threshold,</w:t>
      </w:r>
    </w:p>
    <w:p>
      <w:pPr/>
      <w:r>
        <w:rPr>
          <w:b/>
        </w:rPr>
        <w:t>POSSIBLE 2026:</w:t>
      </w:r>
      <w:r>
        <w:t xml:space="preserve"> More Frequent Extreme Floods Revealed by Observation-Constrained Projections — https://doi.org/10.5194/egusphere-egu26-6594</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Current cascade-type models are the dominant approach for projecting future extreme floods, but they suffer from major limitations, including substantial bias, large uncertainty and coarse spatial resolution. To address these issues, we developed an observation-constrained framework that integrates flood estimates, based on historical data and regional flood frequency analysis, with changes in design floods from cascade-type model projections, enabling 1-km resolution projections across 28.2 million river pixels worldwide. Our analysis reveals that cascade-type models overestimate the historical 100-year flood by about 160% globally, while forcing-based corrections still exhibit considerable bias. Further, our observation-constrained approach reduces multi-model uncertainty by a median of 22.8% globally compared to cascade-type modeling. Under a high-emissions scenario, 83% of the global land mass shows increasing flood frequency. Globally, the historical 100-year flood is projected to have a median return period of about 36 years – more frequent than suggested by cascade-type model projections. Our results highlight the acceleration of flood risks, which may leave communities unprepared for intensifying climate impacts.</w:t>
      </w:r>
    </w:p>
    <w:p>
      <w:pPr/>
      <w:r>
        <w:rPr>
          <w:b/>
        </w:rPr>
        <w:t>POSSIBLE 2026:</w:t>
      </w:r>
      <w:r>
        <w:t xml:space="preserve"> Reliability Assessment and Statistical Calibration of SAI Ensemble Projections in Southeast Asia — https://doi.org/10.5194/egusphere-egu26-8408</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Stratospheric Aerosol Injection (SAI) has been widely investigated as a potential Solar Radiation Management (SRM) strategy to offset global warming, with ensemble-based Earth System Model simulations such as the Geoengineering Large Ensemble Simulation (GLENS) providing key evidence for its climatic impacts. However, the reliability of these ensemble projections, particularly at regional scales, remains insufficiently assessed. This study presents a joint evaluation of the projection skill and statistical calibration of GLENS ensemble outputs over Southeast Asia, focusing on precipitation and near-surface temperature variables. First, ensemble skill is assessed against ERA5 reanalysis using rank histograms, confidence interval coverage, Continuous Ranked Probability Score (CRPS), and Brier Score. Results show that raw GLENS projections are systematically underdispersive and biased, with overly narrow uncertainty ranges that frequently fail to capture observations. Projection skill exhibits strong regional contrasts, with poorer precipitation performance over the Maritime Continent and weaker temperature skill over mainland Southeast Asia. These deficiencies indicate overconfident ensemble behavior and limit the direct usability of raw GLENS outputs for impact assessment and decision support. To address these limitations, Bayesian Model Averaging (BMA) is applied as a probabili</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2025:</w:t>
      </w:r>
      <w:r>
        <w:t xml:space="preserve"> Variable vertical land motion and its impacts on sea level rise projections — https://doi.org/10.1126/sciadv.ads8163</w:t>
      </w:r>
    </w:p>
    <w:p>
      <w:pPr/>
      <w:r>
        <w:rPr>
          <w:b/>
        </w:rPr>
        <w:t>Shared claim-specific concepts:</w:t>
      </w:r>
      <w:r>
        <w:t xml:space="preserve"> highlights, projections, impacts, adaptation; EU scope not established. This is a provisional connection, not an outcome finding.</w:t>
      </w:r>
    </w:p>
    <w:p>
      <w:pPr>
        <w:pStyle w:val="SourceNote"/>
      </w:pPr>
      <w:r>
        <w:rPr>
          <w:b/>
        </w:rPr>
        <w:t>Available abstract (not full text):</w:t>
      </w:r>
      <w:r>
        <w:t xml:space="preserve"> Coastal vertical land motion (VLM), including uplift and subsidence, can greatly alter relative sea level projections and flood mitigations plans. Yet, current projection frameworks, such as the IPCC Sixth Assessment Report, often underestimate VLM by relying on regional linear estimates. Using high-resolution (90-meter) satellite data from 2015 to 2023, we provide local VLM estimates for California and assess their contribution to sea level rise both now and in future. Our findings reveal that regional estimates substantially understate sea level rise in parts of San Francisco and Los Angeles, projecting more than double the expected rise by 2050. Additionally, temporally variable (nonlinear) VLM, driven by factors such as hydrocarbon and groundwater extraction, can increase uncertainties in 2050 projections by up to 0.4 meters in certain areas of Los Angeles and San Diego. This study highlights the critical need to include local VLM and its uncertainties in sea level rise assessments to improve coastal management and ensure effective adaptation efforts.</w:t>
      </w:r>
    </w:p>
    <w:p>
      <w:pPr/>
      <w:r>
        <w:rPr>
          <w:b/>
        </w:rPr>
        <w:t>POSSIBLE 2025:</w:t>
      </w:r>
      <w:r>
        <w:t xml:space="preserve"> Impacts of climate change on the global spread and habitat suitability of Coxiella burnetii: Future projections and public health implications — https://doi.org/10.1016/j.joclim.2025.100442</w:t>
      </w:r>
    </w:p>
    <w:p>
      <w:pPr/>
      <w:r>
        <w:rPr>
          <w:b/>
        </w:rPr>
        <w:t>Shared claim-specific concepts:</w:t>
      </w:r>
      <w:r>
        <w:t xml:space="preserve"> highlights, limitations, projections, impacts, time; EU scope visible. This is a provisional connection, not an outcome finding.</w:t>
      </w:r>
    </w:p>
    <w:p>
      <w:pPr>
        <w:pStyle w:val="SourceNote"/>
      </w:pPr>
      <w:r>
        <w:rPr>
          <w:b/>
        </w:rPr>
        <w:t>Available abstract (not full text):</w:t>
      </w:r>
      <w:r>
        <w:t xml:space="preserve"> Introduction Coxiella burnetii , an intracellular zoonotic bacterium, affectsing various livestock and wildlife species and poses significant risks to human health. This study aims to assess how climate change could impact the global distribution and habitat suitability of Coxiella burnetii , the pathogen responsible for Q fever . Materials and methods An ensemble species distribution modelling approach, integrating regression-based and machine-learning algorithms (GLM, GBM, RF, MaxEnt), was used to project habitat suitability (Current time and by 2050, 2070, and 2090). Climate variables were obtained from five global circulation models (GCMs) under two climate change scenarios (SSP2-4.5 and SSP5-8.5). The study evaluated the models’ performance using the area under the curve (AUC) and true skill statistics (TSS). Results Results show that under current climate conditions, C. burnetii is widespread across regions like North and South America, Europe, and parts of Africa, Asia , and Australia. Future projections indicate a northward shift in habitat suitability, especially under the severe SSP5-8.5 scenario, with significant expansions into Russia, northern Europe, and Canada. Conversely, regions in South America, Africa, and Australia may see declines in suitable habitats. By 2090, a 44.56 % (range: 33–57.9 %) across the models, increase in suitable habitat is predicted, accomp</w:t>
      </w:r>
    </w:p>
    <w:p>
      <w:pPr/>
      <w:r>
        <w:rPr>
          <w:b/>
        </w:rPr>
        <w:t>POSSIBLE 2025:</w:t>
      </w:r>
      <w:r>
        <w:t xml:space="preserve"> Overcoming Cost, Time, and Engagement Barriers through Projection Mapping: A Study of Egyptian Independent Theatre — https://doi.org/10.57239/pjlss-2025-23.2.00229</w:t>
      </w:r>
    </w:p>
    <w:p>
      <w:pPr/>
      <w:r>
        <w:rPr>
          <w:b/>
        </w:rPr>
        <w:t>Shared claim-specific concepts:</w:t>
      </w:r>
      <w:r>
        <w:t xml:space="preserve"> limitations, only, time; EU scope not established. This is a provisional connection, not an outcome finding.</w:t>
      </w:r>
    </w:p>
    <w:p>
      <w:pPr>
        <w:pStyle w:val="SourceNote"/>
      </w:pPr>
      <w:r>
        <w:rPr>
          <w:b/>
        </w:rPr>
        <w:t>Available abstract (not full text):</w:t>
      </w:r>
      <w:r>
        <w:t xml:space="preserve"> Independent theatre in Egypt faces challenges of high costs, limited space, and outdated scenic methods.Traditional set construction requires extensive labor and materials, restricting creativity and delaying scene changes.This study explores projection mapping as a digital scenography alternative that addresses these limitations while enhancing visual storytelling.Guided by Gillette's Scenic Design Theory, a mixed-methods approach was applied: surveys with 600 stakeholders and interviews with theatre professionals.Statistical analysis confirmed reliable responses (Cronbach's Alpha &gt; 0.76), and thematic coding highlighted benefits such as cost reduction, rapid transitions, and improved audience engagement.Results demonstrate that projection mapping offers not only a practical substitute for traditional scenography but also a transformative medium, supporting immersive environments and aesthetic cohesion.Audiences valued the enhanced visual impact, while practitioners emphasized flexibility and efficiency.The study advances digital scenography scholarship and proposes projection mapping as a sustainable innovation for resourceconstrained theatre contexts in Egypt.</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2024:</w:t>
      </w:r>
      <w:r>
        <w:t xml:space="preserve"> Local Projections — https://doi.org/10.24148/wp2024-24</w:t>
      </w:r>
    </w:p>
    <w:p>
      <w:pPr/>
      <w:r>
        <w:rPr>
          <w:b/>
        </w:rPr>
        <w:t>Shared claim-specific concepts:</w:t>
      </w:r>
      <w:r>
        <w:t xml:space="preserve"> limitations, projections, time; EU scope not established. This is a provisional connection, not an outcome finding.</w:t>
      </w:r>
    </w:p>
    <w:p>
      <w:pPr>
        <w:pStyle w:val="SourceNote"/>
      </w:pPr>
      <w:r>
        <w:rPr>
          <w:b/>
        </w:rPr>
        <w:t>Available abstract (not full text):</w:t>
      </w:r>
      <w:r>
        <w:t xml:space="preserve"> A central question in applied research is to estimate the effect of an exogenous intervention or shock on an outcome. The intervention can affect the outcome and controls on impact and over time. Moreover, there can be subsequent feedback between outcomes, controls and the intervention. Many of these interactions can be untangled using local projections. This method’s simplicity makes it a convenient and versatile tool in the empiricist’s kit, one that is generalizable to complex settings. This article reviews the state-of-the art for the practitioner, discusses best practices and possible extensions of local projections methods, along with their limitations.</w:t>
      </w:r>
    </w:p>
    <w:p>
      <w:pPr/>
      <w:r>
        <w:rPr>
          <w:b/>
        </w:rPr>
        <w:t>POSSIBLE 2024:</w:t>
      </w:r>
      <w:r>
        <w:t xml:space="preserve"> Projections of climate change impacts on ecosystem services and the role of land use adaptation in France — https://doi.org/10.1016/j.indic.2024.100369</w:t>
      </w:r>
    </w:p>
    <w:p>
      <w:pPr/>
      <w:r>
        <w:rPr>
          <w:b/>
        </w:rPr>
        <w:t>Shared claim-specific concepts:</w:t>
      </w:r>
      <w:r>
        <w:t xml:space="preserve"> highlights, projections, impacts, adaptation; EU scope visible. This is a provisional connection, not an outcome finding.</w:t>
      </w:r>
    </w:p>
    <w:p>
      <w:pPr>
        <w:pStyle w:val="SourceNote"/>
      </w:pPr>
      <w:r>
        <w:rPr>
          <w:b/>
        </w:rPr>
        <w:t>Available abstract (not full text):</w:t>
      </w:r>
      <w:r>
        <w:t xml:space="preserve"> This study examines the complex relationship between climate change and ecosys-tem services (ESs) in France. We explore both the direct effects of climate change and the indirect effects of land-use change on six regulating ESs (e.g., habitat quality, water retention) and two provisioning ESs (e.g., crop production, livestock produc-tion). Results indicate that while climate change may initially have positive impacts on ESs, the induced negative impacts of land-use adaptation often overshadow these benefits. We show the effectiveness of a greenhouse gas (GHG) tax of 200e/tCO2eq on agriculture in offsetting the negative effects of land-use adaptation to climate change on ESs. This highlights the importance of integrating economic instru-ments, such as carbon pricing mechanisms, to promote the sustainable management of ESs in the context of climate change.</w:t>
      </w:r>
    </w:p>
    <w:p>
      <w:pPr>
        <w:pStyle w:val="Heading2"/>
      </w:pPr>
      <w:r>
        <w:t>802.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2026:</w:t>
      </w:r>
      <w:r>
        <w:t xml:space="preserve"> When mobility becomes a compromise: intersectional social identities in mobility in Boston and Austin — https://doi.org/10.1016/j.trip.2026.102259</w:t>
      </w:r>
    </w:p>
    <w:p>
      <w:pPr/>
      <w:r>
        <w:rPr>
          <w:b/>
        </w:rPr>
        <w:t>Shared claim-specific concepts:</w:t>
      </w:r>
      <w:r>
        <w:t xml:space="preserve"> mobility, like, travel, planning; EU scope not established. This is a provisional connection, not an outcome finding.</w:t>
      </w:r>
    </w:p>
    <w:p>
      <w:pPr>
        <w:pStyle w:val="SourceNote"/>
      </w:pPr>
      <w:r>
        <w:rPr>
          <w:b/>
        </w:rPr>
        <w:t>Available abstract (not full text):</w:t>
      </w:r>
      <w:r>
        <w:t xml:space="preserve"> Conventional planning centers on the needs of able-bodied, white, middle-class men, overlooking the experiences of those with other social identities. This study applies a lens of intersecting social identities to examine how race, gender, disability, and early-life environment shape college students’ daily mobility in two contrasting U.S. cities: Austin and Boston. Drawing on 28 in-depth interviews (16 in Austin, 12 in Boston), the study reveals how different manifestations of mobility disadvantages are shaped through the intersection of multiple social identities. Although Austin and Boston differ in transit coverage and urban form, both exhibit structural inequities that operate through different mechanisms across the empirical cases. Racialized and gendered vulnerabilities, for example, amplify exposure to harassment, surveillance, and discrimination in public transit, while car-related privilege can be constrained by driving anxiety, disability, or financial limitations. Transgender women in car-limited households face additional constraints due to gendered labor hierarchies within household roles; when combined with disability, these factors can reduce travel radius and heighten dependence on others. Accordingly, conventional methods of identifying travel-disadvantaged populations, such as relying on a single travel indicator like car ownership or transit use, or focusing</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2025:</w:t>
      </w:r>
      <w:r>
        <w:t xml:space="preserve"> Climate Change, Human Rights, and Adaptive Mobility — https://openalex.org/W7167440205</w:t>
      </w:r>
    </w:p>
    <w:p>
      <w:pPr/>
      <w:r>
        <w:rPr>
          <w:b/>
        </w:rPr>
        <w:t>Shared claim-specific concepts:</w:t>
      </w:r>
      <w:r>
        <w:t xml:space="preserve"> contrast, mobility, approaches; EU scope not established. This is a provisional connection, not an outcome finding.</w:t>
      </w:r>
    </w:p>
    <w:p>
      <w:pPr>
        <w:pStyle w:val="SourceNote"/>
      </w:pPr>
      <w:r>
        <w:rPr>
          <w:b/>
        </w:rPr>
        <w:t>Available abstract (not full text):</w:t>
      </w:r>
      <w:r>
        <w:t xml:space="preserve"> The potential for climate change to cause vast human movement is a major global issue. Dominant approaches to climate-related migration take mobility as the starting point, exploring legal frameworks that tend to provide protection for migrants only after they move and overlooking measures that could help avoid forced movement in the first place. In contrast, Climate Change, Human Rights, and Adaptive Mobility provides a new conceptual and legal approach to human mobility in the context of climate change, one that seeks to compel and shape more proactive, anticipatory action. The book anchors its arguments in the international climate change regime, turning to obligations on adaptation found in the United Nations Framework Convention on Climate Change and the Paris Agreement. These obligations, though understudied and underutilized, have the potential to be a powerful legal tool. The book therefore seeks to lend them concrete legal meaning. It draws on international climate change and human rights law to weave together doctrinal analysis that considers treaty interpretation, regime interaction, and principles of environmental law with case studies in Bangladesh, the Pacific Islands, and the Sahel. At its core, the book argues that adaptation obligations require states to take measures to address foreseeable risks and ensure human rights. It further argues that developed countri</w:t>
      </w:r>
    </w:p>
    <w:p>
      <w:pPr/>
      <w:r>
        <w:rPr>
          <w:b/>
        </w:rPr>
        <w:t>POSSIBLE 2025:</w:t>
      </w:r>
      <w:r>
        <w:t xml:space="preserve"> The mobility of the nobility. An introduction — https://doi.org/10.21827/virtus.32.58-70</w:t>
      </w:r>
    </w:p>
    <w:p>
      <w:pPr/>
      <w:r>
        <w:rPr>
          <w:b/>
        </w:rPr>
        <w:t>Shared claim-specific concepts:</w:t>
      </w:r>
      <w:r>
        <w:t xml:space="preserve"> around, mobility, look, travel, alternative, about; EU scope not established. This is a provisional connection, not an outcome finding.</w:t>
      </w:r>
    </w:p>
    <w:p>
      <w:pPr>
        <w:pStyle w:val="SourceNote"/>
      </w:pPr>
      <w:r>
        <w:rPr>
          <w:b/>
        </w:rPr>
        <w:t>Available abstract (not full text):</w:t>
      </w:r>
      <w:r>
        <w:t xml:space="preserve"> The mobility of the nobility An introductionElizabeth's impatience increased; and her thoughts were soon busy in considering the means of visiting Jane, and determining to go to her, though the carriage was not to be had; and as she was no horsewoman, walking was her only alternative.She declared her resolution […] The distance is nothing, when one has a motive; only three miles.I shall be back by dinner. 1 Jane Austen's novel Pride &amp; Prejudice, first published in 1813, perfectly illustrates the mobility of the upper-class elites in late eighteenth-century England.To be sure, the book is first and foremost about social mobility.Elizabeth (or 'Lizzie') Bennet and her sisters are not noble in a strict sense but rather lower-class gentry, and the main thrust of the novel is about the paths they seek to maintain and expand their family's social position within the stratified British elite.Taking a closer look at what that entails, however, exposes just how much social mobility revolved around mobility proper in their day and age.Lizzie has plenty of cause, and lots of opportunities to travel to and fro: from the frequent trips from Longbourn to the plush Netherfield Estate (rented out to the rich Mr. Bingley, her eldest sister's admirer), to the more daring excursion to the Peak District, where she also visits the Pemberley estate belonging to the affluent gentleman -and Lizzie's l</w:t>
      </w:r>
    </w:p>
    <w:p>
      <w:pPr/>
      <w:r>
        <w:rPr>
          <w:b/>
        </w:rPr>
        <w:t>POSSIBLE 2025:</w:t>
      </w:r>
      <w:r>
        <w:t xml:space="preserve"> When mobility matters: a look at earnings dynamics across Italian generations — https://doi.org/10.1111/ecca.70000</w:t>
      </w:r>
    </w:p>
    <w:p>
      <w:pPr/>
      <w:r>
        <w:rPr>
          <w:b/>
        </w:rPr>
        <w:t>Shared claim-specific concepts:</w:t>
      </w:r>
      <w:r>
        <w:t xml:space="preserve"> mobility, look, largely; EU scope visible. This is a provisional connection, not an outcome finding.</w:t>
      </w:r>
    </w:p>
    <w:p>
      <w:pPr>
        <w:pStyle w:val="SourceNote"/>
      </w:pPr>
      <w:r>
        <w:rPr>
          <w:b/>
        </w:rPr>
        <w:t>Available abstract (not full text):</w:t>
      </w:r>
      <w:r>
        <w:t xml:space="preserve"> Abstract Drawing on a matched survey–administrative dataset tracking careers from 1975 to 2018, we examine the trends in intragenerational earnings mobility in Italy over the past 40 years. We compare earnings trajectories from age 35 to age 45 via a refined version of the ‘income risk decomposition’ proposed by Austin Nichols in 2008, distinguishing between ‘good’ and ‘bad’ earnings mobility from an individual welfare perspective. Our findings reveal that the long‐run trend of increasing cross‐sectional earnings inequality in Italy has been accompanied by widening persistent disparities within the same generation. For all cohorts of workers, at least 80% of inequality is permanent, reaching nearly 90% for the most recent cohort. We also uncover that a substantial share of individuals—between 25% and 39%—do not benefit from stable upward income mobility during a crucial career phase. This issue has worsened over time, with the last ten cohorts experiencing higher income instability (%) and declining upward mobility (%), largely explained by the growing prevalence of atypical employment arrangements. Furthermore, using intragenerational Great Gatsby curves, we show that cohorts exposed to greater earnings inequality also face more persistent differences and reduced earnings growth, especially in the aftermath of the Great Recession.</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2024:</w:t>
      </w:r>
      <w:r>
        <w:t xml:space="preserve"> Entangled Future Im/mobilities — https://doi.org/10.14361/9783839473801</w:t>
      </w:r>
    </w:p>
    <w:p>
      <w:pPr/>
      <w:r>
        <w:rPr>
          <w:b/>
        </w:rPr>
        <w:t>Shared claim-specific concepts:</w:t>
      </w:r>
      <w:r>
        <w:t xml:space="preserve"> around, mobility, look, approaches; EU scope not established. This is a provisional connection, not an outcome finding.</w:t>
      </w:r>
    </w:p>
    <w:p>
      <w:pPr>
        <w:pStyle w:val="SourceNote"/>
      </w:pPr>
      <w:r>
        <w:rPr>
          <w:b/>
        </w:rPr>
        <w:t>Available abstract (not full text):</w:t>
      </w:r>
      <w:r>
        <w:t xml:space="preserve"> How are im/mobilities articulated, imagined and practiced in relation to multiple futures? A critical examination of im/mobilities raises questions as to how power relations and crisis-driven futures enable, inhibit or prevent mobility, what meanings are culturally constructed around im/mobilities and how they are experienced. The contributors to this volume look at entangled future mobilities and immobilities using humanities and social science approaches in diverse examples: Afrofuturist poetry, de-extinction projects, dystopian novels, a Uruguayan planned relocation program, lives of rural Zambian women, climate adaptation in Morocco and Austrian financial literacy policy.</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2023:</w:t>
      </w:r>
      <w:r>
        <w:t xml:space="preserve"> Improving Mobility in Marginalised Communities — https://doi.org/10.3390/futuretransp3040074</w:t>
      </w:r>
    </w:p>
    <w:p>
      <w:pPr/>
      <w:r>
        <w:rPr>
          <w:b/>
        </w:rPr>
        <w:t>Shared claim-specific concepts:</w:t>
      </w:r>
      <w:r>
        <w:t xml:space="preserve"> mobility, need, travel; EU scope not established. This is a provisional connection, not an outcome finding.</w:t>
      </w:r>
    </w:p>
    <w:p>
      <w:pPr>
        <w:pStyle w:val="SourceNote"/>
      </w:pPr>
      <w:r>
        <w:rPr>
          <w:b/>
        </w:rPr>
        <w:t>Available abstract (not full text):</w:t>
      </w:r>
      <w:r>
        <w:t xml:space="preserve"> This paper examines how mobility can be re-examined within four communities that face substantial transport barriers. Four case study communities facing mobility exclusion were investigated: (i) an ageing community in South Wales; (ii) a community of people with learning difficulties from across Wales; (iii) female university students in Pakistan; (iv) a deprived neighbourhood in mid-Wales. Using an illuminative evaluation, collating a variety of information from documents associated with the communities, it was identified that transport creates freedom, independence, and contributes to sense of purpose, worth, and can help create community. Barriers to public transport include inaccessibility of the first/last mile, services not running at required times, being delayed, and cancelled. Barriers to active travel include poor infrastructure. Not being able to be mobile affects health, not just with a lack of active travel but also missed health appointments and a lack of access to healthy foods. Already marginalised communities are further disadvantaged by the barriers reducing access to jobs, education, services, shops, and leisure. Communities want support to develop their knowledge into a package that actors can use to develop a solution, often citing the need for quantitative skills, however, other ways of utilising experiential knowledge might be more appropriate.</w:t>
      </w:r>
    </w:p>
    <w:p>
      <w:pPr>
        <w:pStyle w:val="Heading2"/>
      </w:pPr>
      <w:r>
        <w:t>803.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2026:</w:t>
      </w:r>
      <w:r>
        <w:t xml:space="preserve"> Estimating the Cost of Capital of a Listed Indian Tyre Manufacturer — https://doi.org/10.55041/ijsrem67975</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This paper estimates and interprets the cost of capital of GDS Limited for the last Five financial years (FY2020-21 to FY2024-25) and compares the estimated cost of capital with that of its two direct competitors in the Indian tyre industry viz. CRUISE Tyres Limited and VESP Limited. The cost of equity is calculated applying the Capital Asset Pricing Model with bottom-up beta relevered through the Hamada relationship based on each company's capital structure, as reported in consolidated balance sheets (book value) with a cross-check in the market value in the terminal year; the cost of debt is calculated through reports of finance costs and average interest-bearing borrowings and adjusted for effective tax rate; the cost of equity and cost of debt are combined in a weighted average cost of capital using book-value weights, reported in the consolidated balance sheets, with a cross-check in the market value in the terminal year. Over the five years, GDS's WACC is determined to range between 11.78 per cent to 12.44 per cent with a period average of 12.07 per cent. Two opposing factors contribute to CRUISE’s stability. First, the risk-free rate has fallen and risen during the study period. Second, the capital structure has limited debt to a maximum of 19% of total capital. CRUISE’s peer group reveals that a 40% reduction in debt over a four-year period by CRUISE reduced its WACC to</w:t>
      </w:r>
    </w:p>
    <w:p>
      <w:pPr/>
      <w:r>
        <w:rPr>
          <w:b/>
        </w:rPr>
        <w:t>POSSIBLE 2026:</w:t>
      </w:r>
      <w:r>
        <w:t xml:space="preserve"> Integrating ESG into Capital Budgeting : Development of a Sustainability Capital Budgeting Index — https://openalex.org/W7162715662</w:t>
      </w:r>
    </w:p>
    <w:p>
      <w:pPr/>
      <w:r>
        <w:rPr>
          <w:b/>
        </w:rPr>
        <w:t>Shared claim-specific concepts:</w:t>
      </w:r>
      <w:r>
        <w:t xml:space="preserve"> show, weighted, average, capital, wacc, synthetic; EU scope not established. This is a provisional connection, not an outcome finding.</w:t>
      </w:r>
    </w:p>
    <w:p>
      <w:pPr>
        <w:pStyle w:val="SourceNote"/>
      </w:pPr>
      <w:r>
        <w:rPr>
          <w:b/>
        </w:rPr>
        <w:t>Available abstract (not full text):</w:t>
      </w:r>
      <w:r>
        <w:t xml:space="preserve"> Environmental, social and governance (ESG) performance has become increasingly material to corporate finance, yet its integration into project-level investment appraisal remains limited in practice. Traditional capital budgeting techniques are structurally incapable of capturing non-financial dimensions of value, applying uniform discount rates regardless of sustainability risk, and excluding long-horizon ESG- related liabilities by design. Grounded in agency theory, stakeholder theory, legitimacy theory and the resource-based view, the study is guided by four research questions: what limitations do traditional capital budgeting techniques present; which ESG dimensions are financially material; how can financial and sustainability considerations be integrated into a Sustainability Capital Budgeting Index (SCBI); and whether decisions derived from the SCBI differ materially from conventional NPV. The SCBI embeds ESG pillar coefficients and an environmental intensity penalty into a sustainability-adjusted weighted average cost of capital (WACC). A fixed-effects panel regression is estimated on a synthetic dataset of 1,000 firms across nine industries over ten years, with lagged ESG variables to address reverse causality. Environmental and Governance performance show statistically significant positive associations with financial score. Social performance and Environmental Intensit</w:t>
      </w:r>
    </w:p>
    <w:p>
      <w:pPr/>
      <w:r>
        <w:rPr>
          <w:b/>
        </w:rPr>
        <w:t>POSSIBLE 2026:</w:t>
      </w:r>
      <w:r>
        <w:t xml:space="preserve"> Role of Cost Efficiency, Capital Leverage, and Cost of Capital in Determining Shareholders' Value — https://doi.org/10.28991/esj-2026-010-01-027</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The objective of this research is to explore the impact of cost efficiency, capital leverage, and cost of capital on shareholder value regarding the GCC, a dynamic and inventive economy. Data from 41 banks that were listed on the stock exchange from 2015 to 2023 were collected. The Refinitiv Eikon interface provided bank-level data to achieve the aim of this study. GLS with cross-sectional weight as a panel econometric method was applied. The findings display that cost efficiency has a significant impact on shareholder value in the GCC banking sector. Reduced operational expenses, increased asset utilization, and effective tax planning have a positive effect on shareholders' return. Although financing with debt has a minimal effect on GCC banks' productivity, it is nevertheless important for evaluating the market performance, with DMC possessing a negative effect and DTA holding a positive influence. Moreover, revenue generation and the value of shareholders are all continuously improved by an optimum cost of capital (WACC). The outcomes of this study enrich the current literature by proposing a combined framework for assessing cost efficiency, capital leverage, and cost of capital. It also fills the gap in earlier regional research by providing new perspectives for creating shareholder value in the GCC banking industry.</w:t>
      </w:r>
    </w:p>
    <w:p>
      <w:pPr/>
      <w:r>
        <w:rPr>
          <w:b/>
        </w:rPr>
        <w:t>POSSIBLE 2026:</w:t>
      </w:r>
      <w:r>
        <w:t xml:space="preserve"> Analyst Forecasts and the Cost of Capital: Evidence from Indonesian State-Owned Enterprises — https://doi.org/10.59001/pjeb.v5i1.582</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study investigates the determinants of the Weighted Average Cost of Capital (WACC) for Indonesian State-Owned Enterprises (SOEs) under the Indonesia Investment Authority (BP Danantara), focusing on the interplay between capital market analyst forecasts and macroeconomic factors. Utilizing a quantitative explanatory design, the research employs logistic regression on a pooled dataset of financial and non-financial SOEs. The findings reveal distinct sectoral variations in WACC drivers. For non-financial SOEs, inflation is the sole significant factor, exerting a negative effect. Conversely, for financial SOEs, the debt-to-assets (DTA) ratio, firm size, and interest rates significantly and negatively influence WACC within a robust model. Notably, analyst forecasts do not yield a direct significant effect for either sector. The study concludes that WACC determinants are fundamentally sector-specific: financial SOEs are more sensitive to monetary policy and capital structure, whereas non-financial SOEs are primarily influenced by real economic conditions. These results suggest that financial SOE managers should prioritize capital structure optimization and interest rate responsiveness, while non-financial SOEs must focus on operational efficiency. Academically, this research affirms that fundamental factors, rather than short-term analyst sentiment, remain the primary drivers of</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pStyle w:val="Heading2"/>
      </w:pPr>
      <w:r>
        <w:t>804.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2026:</w:t>
      </w:r>
      <w:r>
        <w:t xml:space="preserve"> Rising dust pollution across Europe in a changing climate [Dataset] — https://doi.org/10.20350/digitalcsic/29045</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distribution, many, higher;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pStyle w:val="Heading2"/>
      </w:pPr>
      <w:r>
        <w:t>805.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2026:</w:t>
      </w:r>
      <w:r>
        <w:t xml:space="preserve"> THE EFFECTS OF DISCOVERY LEARNING AND SELF-REGULATED LEARNING ON INNOVATIVE FUSION CUISINE SKILLS IN CULINARY ARTS EDUCATION — https://doi.org/10.18623/rvd.v23.n4.4504</w:t>
      </w:r>
    </w:p>
    <w:p>
      <w:pPr/>
      <w:r>
        <w:rPr>
          <w:b/>
        </w:rPr>
        <w:t>Shared claim-specific concepts:</w:t>
      </w:r>
      <w:r>
        <w:t xml:space="preserve"> scores, fusion, used; EU scope not established. This is a provisional connection, not an outcome finding.</w:t>
      </w:r>
    </w:p>
    <w:p>
      <w:pPr>
        <w:pStyle w:val="SourceNote"/>
      </w:pPr>
      <w:r>
        <w:rPr>
          <w:b/>
        </w:rPr>
        <w:t>Available abstract (not full text):</w:t>
      </w:r>
      <w:r>
        <w:t xml:space="preserve"> Advancements in culinary arts education emphasize active pedagogical strategies to foster innovative fusion cuisine skills, addressing the global gastronomy sector's demand for cultural amalgamation and technological integration. This study investigates the effects of discovery learning augmented by self-regulated learning (SRL) on students' creative competencies, focusing on digital incorporation in developing regions, to bridge gaps in traditional rote-based programs. A mixed-methods explanatory sequential design was employed with 135 fifth-semester culinary arts students at Universitas Negeri Medan. The quantitative phase used a quasi-experimental setup with block randomization into experimental (discovery learning, n=69) and control (traditional instruction, n=66) groups, assessing SRL via adapted MSLQ surveys and innovative skills through portfolio rubrics. The qualitative phase involved semi-structured interviews with 10 students and 5 instructors, analyzed thematically using NVivo. Discovery learning significantly enhanced SRL indicators and innovative fusion skills (mean scores: 87,5 vs. 74,6 for high SRL), with a notable interaction effect (F(2,129)=4,35, p=0,015, partial η²=0,068). Qualitative themes highlighted increased engagement, creativity (e.g., "Rendang Sushi"), SRL practices, and challenges like resource limitations and digital equity issues. Discovery learnin</w:t>
      </w:r>
    </w:p>
    <w:p>
      <w:pPr/>
      <w:r>
        <w:rPr>
          <w:b/>
        </w:rPr>
        <w:t>POSSIBLE 2026:</w:t>
      </w:r>
      <w:r>
        <w:t xml:space="preserve"> Fusion of Orbital and Surface Data for Air Temperature Estimation in Belém Using Machine Learning — https://doi.org/10.5753/wcama.2026.21200</w:t>
      </w:r>
    </w:p>
    <w:p>
      <w:pPr/>
      <w:r>
        <w:rPr>
          <w:b/>
        </w:rPr>
        <w:t>Shared claim-specific concepts:</w:t>
      </w:r>
      <w:r>
        <w:t xml:space="preserve"> best, skill, data, fusion, observations; EU scope not established. This is a provisional connection, not an outcome finding.</w:t>
      </w:r>
    </w:p>
    <w:p>
      <w:pPr>
        <w:pStyle w:val="SourceNote"/>
      </w:pPr>
      <w:r>
        <w:rPr>
          <w:b/>
        </w:rPr>
        <w:t>Available abstract (not full text):</w:t>
      </w:r>
      <w:r>
        <w:t xml:space="preserve"> This study evaluates fusion strategies between ERA5-Land orbital data and INMET surface observations to estimate daily air temperature in Belém, using data from 1994 to 2024. Different Random Forest models were compared, along with SARIMAX, LSTM, and stacking (SARIMAX and RF). The RF model with multivariate fusion achieved the best performance (RMSE = 0.5157 °C; R2 = 0.708; Skill = 6.19%), reducing bias relative to the orbital baseline, while chronological validation confirmed the temporal stability of RF-based models. The results indicate that, under low equatorial thermal variability, tree-based models are the most robust for satellite–surface fusion and thermal downscaling.</w:t>
      </w:r>
    </w:p>
    <w:p>
      <w:pPr/>
      <w:r>
        <w:rPr>
          <w:b/>
        </w:rPr>
        <w:t>POSSIBLE 2026:</w:t>
      </w:r>
      <w:r>
        <w:t xml:space="preserve"> APPLICATION OF DATA MINING BASED ON IMAGE FEATURE FUSION MODEL IN TEACHING EVALUATION — https://doi.org/10.29121/shodhkosh.v7.i4s.2026.7066</w:t>
      </w:r>
    </w:p>
    <w:p>
      <w:pPr/>
      <w:r>
        <w:rPr>
          <w:b/>
        </w:rPr>
        <w:t>Shared claim-specific concepts:</w:t>
      </w:r>
      <w:r>
        <w:t xml:space="preserve"> data, fusion, used; EU scope not established. This is a provisional connection, not an outcome finding.</w:t>
      </w:r>
    </w:p>
    <w:p>
      <w:pPr>
        <w:pStyle w:val="SourceNote"/>
      </w:pPr>
      <w:r>
        <w:rPr>
          <w:b/>
        </w:rPr>
        <w:t>Available abstract (not full text):</w:t>
      </w:r>
      <w:r>
        <w:t xml:space="preserve"> Nowadays, the modernization of education information is also an inevitable development path, and education management information systems have been widely used. The TQ and comprehensive evaluation of education and classrooms from the perspective of students and teachers. However, the traditional teaching assessment system has imperfect aspects. For example, the content of teaching assessment is too broad and the students' evaluation attitude is not objective, etc., which may cause the teaching assessment to lose its meaning. Using the methods of literature, mathematical statistics and questionnaire, this paper deeply studies the application of data mining theory and Image Feature Fusion technology. An application experiment of data mining based on Image Feature Fusion technology in teaching assessment is designed, established a decision table of key factors affecting teaching assessment, through the data preprocessing process and attribute reduction teaching method, the important factors affecting teaching evaluation are analyzed, preparation before class, etc. Finally, through the analysis of these factors, it is learned that students’ dissatisfaction with the current teaching assessment system accounts for 47.87%, and the dissatisfaction of teachers accounts for 31.28%. Therefore, teachers also should strive to improve their professional skills and teaching quality.</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pStyle w:val="Heading2"/>
      </w:pPr>
      <w:r>
        <w:t>806.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2026:</w:t>
      </w:r>
      <w:r>
        <w:t xml:space="preserve"> Participatory temporal urbanism: Reimagining participatory design, place evolution, and sustainable cities — https://doi.org/10.36922/dp026270030</w:t>
      </w:r>
    </w:p>
    <w:p>
      <w:pPr/>
      <w:r>
        <w:rPr>
          <w:b/>
        </w:rPr>
        <w:t>Shared claim-specific concepts:</w:t>
      </w:r>
      <w:r>
        <w:t xml:space="preserve"> participatory, involving, users, understanding; EU scope not established. This is a provisional connection, not an outcome finding.</w:t>
      </w:r>
    </w:p>
    <w:p>
      <w:pPr>
        <w:pStyle w:val="SourceNote"/>
      </w:pPr>
      <w:r>
        <w:rPr>
          <w:b/>
        </w:rPr>
        <w:t>Available abstract (not full text):</w:t>
      </w:r>
      <w:r>
        <w:t xml:space="preserve"> Public participation has long occupied a central position within planning and design theory. From Arnstein’s seminal work on citizen participation to collaborative planning, co-production, and contemporary participatory design approaches, scholars and practitioners have increasingly recognized the importance of involving citizens and users in shaping urban environments. Despite these advances, participation continues to be understood predominantly as an episodic and project-based activity associated with specific interventions, workshops, or consultation processes. Relatively limited attention has been devoted to the temporal dimensions of participation and to how users, places, meanings, and needs evolve over time. This study argues that time remains one of the least-explored dimensions of participatory planning and design. Building on literature from planning theory, participatory design, commons scholarship, care studies, and emerging work on temporality, the study proposes participatory temporal urbanism as a conceptual framework for understanding participation as an ongoing and evolving relationship rather than as a discrete event. The framework introduces five interrelated dimensions: co-creation, deliberation, co-management, co-adaptation, and co-memory. Drawing on concepts such as stewardship, commoning, maintenance, and care, the study further argues that sustainable u</w:t>
      </w:r>
    </w:p>
    <w:p>
      <w:pPr/>
      <w:r>
        <w:rPr>
          <w:b/>
        </w:rPr>
        <w:t>POSSIBLE 2026:</w:t>
      </w:r>
      <w:r>
        <w:t xml:space="preserve"> Blending a Participatory Approach Into Qualitative Research: Principles and Implementation Steps — https://doi.org/10.35844/001c.167252</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Since the 1990s, the authors have been guided in their rigorous qualitative research by a central ethical question: to what extent is it justifiable to collect data solely for academic purposes without contributing to the well-being of the population being studied, particularly vulnerable groups? Based on earlier (participatory) qualitative research publications, the authors describe the blending of a participatory approach into qualitative research. The paper is based on the authors’ earlier and recent additional participatory project experiences, on secondary literature, and on interviews conducted especially for this paper with fellow participatory researchers. All these -global- experiences are included and presented as case studies. The authors elaborate on characteristics and principles of their participatory approach to qualitative research and then distinguish a Participatory Qualitative Research Cycle (ParQRC). This cycle consists of a Participatory Design Cycle, a Qualitative Data Collection and Analysis Cycle, and a Participatory Action Cycle. The different constituting steps, to be taken not in a linear but iterative way, aim at guiding students and researchers and professionals in Participatory Qualitative Research.</w:t>
      </w:r>
    </w:p>
    <w:p>
      <w:pPr>
        <w:pStyle w:val="Heading2"/>
      </w:pPr>
      <w:r>
        <w:t>807.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2026:</w:t>
      </w:r>
      <w:r>
        <w:t xml:space="preserve"> Gender inequalities in high psychological distress vary across European regions and occupational subgroups — https://doi.org/10.1038/s41598-026-54327-0</w:t>
      </w:r>
    </w:p>
    <w:p>
      <w:pPr/>
      <w:r>
        <w:rPr>
          <w:b/>
        </w:rPr>
        <w:t>Shared claim-specific concepts:</w:t>
      </w:r>
      <w:r>
        <w:t xml:space="preserve"> demonstrates, occupational, importance, health, occupations, significant; EU scope visible. This is a provisional connection, not an outcome finding.</w:t>
      </w:r>
    </w:p>
    <w:p>
      <w:pPr>
        <w:pStyle w:val="SourceNote"/>
      </w:pPr>
      <w:r>
        <w:rPr>
          <w:b/>
        </w:rPr>
        <w:t>Available abstract (not full text):</w:t>
      </w:r>
      <w:r>
        <w:t xml:space="preserve"> Gender inequalities in psychological distress have been found in various populations, including occupational groups and countries. There is a lack of studies that compare regions in a uniform operationalisation of distress and integrate occupational groups. 67,641 participants from 36 countries of the European Working Conditions Survey 2021 were analysed. High psychological distress was operationalized using the WHO-5 Well-Being Index. Using predicted probabilities and multilevel regression analysis, gender inequalities between countries, regions and occupational subgroups were calculated. Across most countries, women reported higher psychological distress. The magnitude of gender differences varied between countries, regions and occupations. However, overlapping confidence intervals limit the conclusiveness of the results. When stratifying for both region and occupation type, in the Southern European region and in blue-collar low-skilled occupations gender inequalities were highest. In the significant interaction model, white-collar occupations in Western Europe and blue-collar low-skilled occupations in Southern Europe had the highest gender inequalities. This study demonstrates heterogeneity in the magnitude of gender differences in high psychological distress across Europe and occupational groups. White-collar high-skilled occupations in Western Europe and blue-collar low-s</w:t>
      </w:r>
    </w:p>
    <w:p>
      <w:pPr/>
      <w:r>
        <w:rPr>
          <w:b/>
        </w:rPr>
        <w:t>POSSIBLE 2026:</w:t>
      </w:r>
      <w:r>
        <w:t xml:space="preserve"> Implementing cancer prevention in occupational healthcare: initial insights from occupational healthcare staff in Central and Southern Europe – findings from the CPW project — https://doi.org/10.1186/s12885-026-15607-0</w:t>
      </w:r>
    </w:p>
    <w:p>
      <w:pPr/>
      <w:r>
        <w:rPr>
          <w:b/>
        </w:rPr>
        <w:t>Shared claim-specific concepts:</w:t>
      </w:r>
      <w:r>
        <w:t xml:space="preserve"> occupational, professionals, health; EU scope visible. This is a provisional connection, not an outcome finding.</w:t>
      </w:r>
    </w:p>
    <w:p>
      <w:pPr>
        <w:pStyle w:val="SourceNote"/>
      </w:pPr>
      <w:r>
        <w:rPr>
          <w:b/>
        </w:rPr>
        <w:t>Available abstract (not full text):</w:t>
      </w:r>
      <w:r>
        <w:t xml:space="preserve"> BACKGROUND: Effective primary cancer prevention in occupational health care settings requires strategies tailored to workforce needs and individual risk profiles. Cultural, perceptual, and behavioural factors influence implementation success. Occupational healthcare professionals (OHCPs), with their expertise and regulatory responsibilities, are critical for advancing workplace cancer prevention. This study evaluates the feasibility of primary cancer prevention programs within the Cancer Prevention at Work (CPW) project across Europe from OHCP perspective. METHODS: CPW is a Horizon Europe funded cross-sectional pilot study (2023–2026) conducted in Italy, Romania, Slovakia, and Spain. It focuses on HCV (Hepatitis C Virus) and Hp (Helicobacter pylori) screening and HPV (Human Papillomavirus) counselling among workers. OHCPs involved in program implementation completed a survey assessing their perceptions of the programs, contextual factors, and their professional role in delivery. Responses were recorded on a 5-point Likert scale (1 = strongly disagree, 5 = strongly agree), with higher scores indicating more positive assessments, supportive contexts, and greater OHCP engagement. Data were analysed using descriptive statistics and exploratory analyses. RESULTS: Fifty-five OHCPs completed the survey. Findings suggest that integrating primary cancer prevention into occupational heal</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pStyle w:val="Heading2"/>
      </w:pPr>
      <w:r>
        <w:t>808.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2026:</w:t>
      </w:r>
      <w:r>
        <w:t xml:space="preserve"> SUSTAINABLE BIOFUELS FOR THE DECARBONISATION OF THE TRANSPORT SECTOR IN CITIES — https://doi.org/10.24874/cmvm2026.055</w:t>
      </w:r>
    </w:p>
    <w:p>
      <w:pPr/>
      <w:r>
        <w:rPr>
          <w:b/>
        </w:rPr>
        <w:t>Shared claim-specific concepts:</w:t>
      </w:r>
      <w:r>
        <w:t xml:space="preserve"> decarbonisation, fleet, mobility, vehicles, greenhouse; EU scope not established. This is a provisional connection, not an outcome finding.</w:t>
      </w:r>
    </w:p>
    <w:p>
      <w:pPr>
        <w:pStyle w:val="SourceNote"/>
      </w:pPr>
      <w:r>
        <w:rPr>
          <w:b/>
        </w:rPr>
        <w:t>Available abstract (not full text):</w:t>
      </w:r>
      <w:r>
        <w:t xml:space="preserve"> Decarbonising the transport sector is one of the major challenges in achieving climate neutrality in cities.In addition to high greenhouse gas emissions, this sector has a direct impact on the deterioration of air quality in urban areas.Integrating sustainable biofuels (biodiesel, biomethane, bioethanol, and renewable diesel) is one of the key ways to reduce pollution and achieve carbon neutrality.Modern technologies enable these biofuels to be produced from locally available feedstocks, such as used cooking oil and fats, the organic fraction of municipal waste, sewage sludge, etc.According to 2024 data, a total of 73,016 motor vehicles are registered in Kragujevac, accounting for approximately 30% of the city's final energy consumption.To evaluate the effects of substituting fossil fuels with locally produced alternatives, an analysis was conducted across three key mobility segments: the public transit system, the municipal vehicle fleet, and privately owned vehicles.The research results indicate that the use of sustainable biofuels in suitable blends can significantly reduce CO2 emissions, as well as harmful pollutants.The use of sustainable biofuels represents an important and significant step in the energy transition, contributing to long-term improvements in air quality.</w:t>
      </w:r>
    </w:p>
    <w:p>
      <w:pPr/>
      <w:r>
        <w:rPr>
          <w:b/>
        </w:rPr>
        <w:t>POSSIBLE 2026:</w:t>
      </w:r>
      <w:r>
        <w:t xml:space="preserve"> The Role and Significance of Rail Transport in the Decarbonisation of the EU Transport Sector — https://doi.org/10.3390/smartcities9040064</w:t>
      </w:r>
    </w:p>
    <w:p>
      <w:pPr/>
      <w:r>
        <w:rPr>
          <w:b/>
        </w:rPr>
        <w:t>Shared claim-specific concepts:</w:t>
      </w:r>
      <w:r>
        <w:t xml:space="preserve"> decarbonisation, passenger, expected, share, battery, electric; EU scope visible. This is a provisional connection, not an outcome finding.</w:t>
      </w:r>
    </w:p>
    <w:p>
      <w:pPr>
        <w:pStyle w:val="SourceNote"/>
      </w:pPr>
      <w:r>
        <w:rPr>
          <w:b/>
        </w:rPr>
        <w:t>Available abstract (not full text):</w:t>
      </w:r>
      <w:r>
        <w:t xml:space="preserve"> Globally, the transport sector accounts for almost a quarter of CO2 emissions from fuel combustion and generates large amounts of pollutants, placing significant pressure on the environment and human health. By 2050, the European Green Deal requires a 90% reduction in transport-related emissions, making sustainability necessary across all modes of transport. Based on the relevant literature, this study examines the role and potential of railways in decarbonising the EU transport sector. Railway is highly efficient, consuming just 1.9% of transport sector energy while handling 16.9% of freight and 5.1% of passenger transport in the EU, yet is responsible for only 0.4% of total emissions. According to studies, greenhouse gas emissions can be reduced by improving energy efficiency, using low-carbon or renewable energy, and expanding train electrification. The greatest potential for decarbonisation lies in a modal shift to rail. However, this requires significant infrastructure investment: raising line speeds to at least 160 km/h, expanding networks, building terminals, digitalisation, and alignment with TEN-T standards. Although the EU supports the modal shift with funding programmes, the transition is not progressing as expected—the share of road freight transport increased from 74% in 2013 to 78% in 2023. Stronger investment is needed in Member States’ national policies for the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decarbonisation, electric, together;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pStyle w:val="Heading2"/>
      </w:pPr>
      <w:r>
        <w:t>809.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other, member, states, policies;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Technology transfers within the European defence industry : a transferring firm’s perspective — https://openalex.org/W7132235623</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Defence expenditures and defence equipment procurement have increased within the EU after the Russian attack on Ukraine in 2022. The European Union has launched many initiatives to support collaboration between member states and to increase joint defence equipment acquisitions. Defence equipment procurements have some special features that make it distinctive from other industries. The customer is a government and that government requests, based on security of supply, that the seller of the defence equipment does cooperation with local firms, including technology transfers to local partners. The customer requests that they have the capability to produce, maintain and operate the acquired defence equipment in all conditions, also during the time of crisis. This thesis examines technology transfers within the European defence industry from a transferring firm’s perspective. The main research question of this thesis is: What is the role of technology transfers to a European defence industry firm? That question is answered by examining why European defence industry firms engage in technology transfers and how does the technology transfer process take place. First, a literature review on technology transfer was conducted during which four technology transfer dimensions were identified: 1) the transfer object, 2) the transfer actors, 3) the transfer mechanisms, and 4) the transfer co</w:t>
      </w:r>
    </w:p>
    <w:p>
      <w:pPr/>
      <w:r>
        <w:rPr>
          <w:b/>
        </w:rPr>
        <w:t>POSSIBLE 2026:</w:t>
      </w:r>
      <w:r>
        <w:t xml:space="preserve"> Financial, innovation and fiscal drivers of ecological efficiency across Western and Eastern European Union member states — https://doi.org/10.1007/s44274-026-01111-6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Abstract This study quantifies how green finance, financial development, green technology innovation efficiency and environmental taxes shape ecological efficiency in the European Union, and tests whether these effects differ between Western and Eastern member states. The sample covers all 27 member states over 2000–2023, giving 648 country-year observations. Ecological efficiency is measured by a dynamic slack-based measure model that treats reused water and waste incinerated for energy recovery as carry-overs, and green technology innovation efficiency by a slack-based measure model. The second-stage model regresses the logarithm of ecological efficiency on the logarithms of the four drivers, controlling for trade openness, industrial structure, human development and urbanization, and is estimated by feasible generalized least squares; robustness is assessed by system generalized method of moments, censored and bootstrapped truncated regressions, estimators robust to cross-sectional dependence, and specifications without controls. Mean ecological efficiency is 0.790, with Luxembourg, Germany and Italy highest and Bulgaria, Slovakia and Hungary lowest, and Eastern scores remain persistently below Western scores. Green finance, financial development and environmental taxes raise ecological efficiency in the full sample and in the West, whereas in the East these effects are stat</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pStyle w:val="Heading2"/>
      </w:pPr>
      <w:r>
        <w:t>810.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2026:</w:t>
      </w:r>
      <w:r>
        <w:t xml:space="preserve"> Sustainable Infrastructure Investment: Financial Drivers, Policy Dynamics and Socio-Economic Challenges — https://doi.org/10.61093/sec.10(1).27-41.2026</w:t>
      </w:r>
    </w:p>
    <w:p>
      <w:pPr/>
      <w:r>
        <w:rPr>
          <w:b/>
        </w:rPr>
        <w:t>Shared claim-specific concepts:</w:t>
      </w:r>
      <w:r>
        <w:t xml:space="preserve"> socio-economic, technological, drivers, identified, less, sustainable; EU scope not established. This is a provisional connection, not an outcome finding.</w:t>
      </w:r>
    </w:p>
    <w:p>
      <w:pPr>
        <w:pStyle w:val="SourceNote"/>
      </w:pPr>
      <w:r>
        <w:rPr>
          <w:b/>
        </w:rPr>
        <w:t>Available abstract (not full text):</w:t>
      </w:r>
      <w:r>
        <w:t xml:space="preserve"> Green finance is an important tool that would help in reducing environmental degradation and promoting sustainable development as a means of reducing the burning socio-economic challenges inherent in rapidly urbanizing nations where infrastructure development must align with net zero emissions targets by 2070 to ensure long term ecological balance and economic resilience. Although many advances have been made in regulations and production of renewable energy in India, environmentally friendly financing in the infrastructure sector is not thoroughly studied regarding socio-economic challenges and the specific interaction of financial drivers within this developing economic context leaving a critical research gap for policymakers. This paper determines key determinants that can affect the uptake of green finance by Indian infrastructure companies using primary empirical data to come up with context-dependent information for stakeholders interested in aligning operations with sustainability goals and national developmental priorities. Primary data was gathered in 2025 in India using a structured questionnaire from 54 valid responses obtained from loan disbursement professionals in the banking sector including credit analysts and senior decision-makers across public and private institutions following rigorous data screening procedures and validation. Data analysis was done using SP</w:t>
      </w:r>
    </w:p>
    <w:p>
      <w:pPr/>
      <w:r>
        <w:rPr>
          <w:b/>
        </w:rPr>
        <w:t>POSSIBLE 2026:</w:t>
      </w:r>
      <w:r>
        <w:t xml:space="preserve"> Socio-Economic Drivers of Herpetofauna Resource Utilization Around Hadejia Wetlands National Park, Jigawa State Nigeria — https://doi.org/10.70882/josrar.2026.v3i4.276</w:t>
      </w:r>
    </w:p>
    <w:p>
      <w:pPr/>
      <w:r>
        <w:rPr>
          <w:b/>
        </w:rPr>
        <w:t>Shared claim-specific concepts:</w:t>
      </w:r>
      <w:r>
        <w:t xml:space="preserve"> socio-economic, drivers, management, factors, positive, sustainable; EU scope not established. This is a provisional connection, not an outcome finding.</w:t>
      </w:r>
    </w:p>
    <w:p>
      <w:pPr>
        <w:pStyle w:val="SourceNote"/>
      </w:pPr>
      <w:r>
        <w:rPr>
          <w:b/>
        </w:rPr>
        <w:t>Available abstract (not full text):</w:t>
      </w:r>
      <w:r>
        <w:t xml:space="preserve"> Herpetofauna are among the most endangered vertebrate taxa globally, however ethnobiological data and the socioeconomic drivers influencing its utilization around sub-Saharan regions remain undocumented especially Hadejia Wetlands National Park. This study explored the socio economic inducing factors towards the traditional usage of the Herpetofauna in the study area. Cross sectional survey method was employed for the information was through the aid of structured questionnaires and key-informant interviews in communities neighboring to the park, three hundred (300) copies of questionnaires were administered across the seven (7) sampled communities and the effects of socioeconomic variables on herpetofauna utilization were evaluated using Nominal, and binary logistics regressiona. Ethnozoological findings demonstrated that herpetofauna are extensively utilized for medicinal, nutritional, cultural, and spiritual purposes. The nominal regression results indicated that farmland size was the only variable that significantly influenced herpetofauna utilization at the 5% level of significance (p &lt; 0.05). Specifically, farmland size recorded a positive regression coefficient (B = 0.299) with a statistically significant Wald value (Wald = 9.596, p = 0.002). Utilization patterns were significantly associated with respondents’ education level, occupation, age, and cultural beliefs. The re</w:t>
      </w:r>
    </w:p>
    <w:p>
      <w:pPr/>
      <w:r>
        <w:rPr>
          <w:b/>
        </w:rPr>
        <w:t>POSSIBLE 2026:</w:t>
      </w:r>
      <w:r>
        <w:t xml:space="preserve"> Preserving agrobiodiversity: socio-cultural and economic drivers of landrace conservation in Odisha, India — https://doi.org/10.3389/fsufs.2026.1769950</w:t>
      </w:r>
    </w:p>
    <w:p>
      <w:pPr/>
      <w:r>
        <w:rPr>
          <w:b/>
        </w:rPr>
        <w:t>Shared claim-specific concepts:</w:t>
      </w:r>
      <w:r>
        <w:t xml:space="preserve"> socio-economic, drivers, two, quantitative; EU scope not established. This is a provisional connection, not an outcome finding.</w:t>
      </w:r>
    </w:p>
    <w:p>
      <w:pPr>
        <w:pStyle w:val="SourceNote"/>
      </w:pPr>
      <w:r>
        <w:rPr>
          <w:b/>
        </w:rPr>
        <w:t>Available abstract (not full text):</w:t>
      </w:r>
      <w:r>
        <w:t xml:space="preserve"> Introduction Paddy landraces play a vital role in sustaining agrobiodiversity, climate resilience, and the socio-cultural heritage of farming communities. Odisha is recognized as one of India’s richest regions for traditional rice diversity, with the highest registration of landraces and farmer varieties. Understanding their conservation status and socio-economic importance is essential for designing strategies that strengthen both livelihoods and biodiversity conservation. Methods The study was conducted in Odisha state of India. Odisha ranks first in maximum registration of landraces and farmer varieties. Two regions, western and eastern, were selected, with five villages randomly chosen from each region. For focus group discussions and four-square analysis, 15 custodian farmers were selected from each village, totalling 150 in Odisha. The study evaluates the conservation status and socio-economic significance of paddy landraces across Western and Eastern Odisha using a multi-criteria sampling approach. Four-Square Analysis, Focus Group Discussions, and a Value-Added Quantitative Score (AddValQS) were employed to assess biodiversity patterns and economic significance. Results The research identifies distinct regional biodiversity patterns: Western Odisha maintains a diverse array of specialized varieties (e.g., Kalabati, Kusumkali) valued for medicinal and physiological trait</w:t>
      </w:r>
    </w:p>
    <w:p>
      <w:pPr/>
      <w:r>
        <w:rPr>
          <w:b/>
        </w:rPr>
        <w:t>POSSIBLE 2026:</w:t>
      </w:r>
      <w:r>
        <w:t xml:space="preserve"> Empirical Examination of Socio-Economic Drivers of Migration in Nigeria: The Case of Jigawa State — https://doi.org/10.70861/ujed20260301017</w:t>
      </w:r>
    </w:p>
    <w:p>
      <w:pPr/>
      <w:r>
        <w:rPr>
          <w:b/>
        </w:rPr>
        <w:t>Shared claim-specific concepts:</w:t>
      </w:r>
      <w:r>
        <w:t xml:space="preserve"> socio-economic, drivers, sustainable; EU scope not established. This is a provisional connection, not an outcome finding.</w:t>
      </w:r>
    </w:p>
    <w:p>
      <w:pPr>
        <w:pStyle w:val="SourceNote"/>
      </w:pPr>
      <w:r>
        <w:rPr>
          <w:b/>
        </w:rPr>
        <w:t>Available abstract (not full text):</w:t>
      </w:r>
      <w:r>
        <w:t xml:space="preserve"> Rural-urban migration remains a significant development challenge in many developing countries, including Nigeria. This study examines the socio-economic determinants of rural-urban migration and their implications for rural development in Jigawa South-west, Jigawa State, focusing on the Dutse, Kiyawa, and Miga Local Government Areas. Primary data were collected through structured questionnaires administered to selected respondents. Descriptive statistics and multiple regression analysis were used to analyse the data. The findings show that age, educational attainment, employment opportunities, and marital status significantly influence migration decisions. The study further reveals that migration produces mixed outcomes for rural communities, including labour shortages in agriculture and changes in household income patterns. The paper concludes that improving rural infrastructure, expanding employment opportunities, and strengthening local economic activities can help reduce excessive migration and support sustainable rural development</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pStyle w:val="Heading2"/>
      </w:pPr>
      <w:r>
        <w:t>811.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2026:</w:t>
      </w:r>
      <w:r>
        <w:t xml:space="preserve"> Continental-scale bias correction and random forest downscaling of CMIP6 precipitation across Europe — https://doi.org/10.1080/10106049.2026.2657618</w:t>
      </w:r>
    </w:p>
    <w:p>
      <w:pPr/>
      <w:r>
        <w:rPr>
          <w:b/>
        </w:rPr>
        <w:t>Shared claim-specific concepts:</w:t>
      </w:r>
      <w:r>
        <w:t xml:space="preserve"> projections, precipitation, regional, climate; EU scope visible. This is a provisional connection, not an outcome finding.</w:t>
      </w:r>
    </w:p>
    <w:p>
      <w:pPr>
        <w:pStyle w:val="SourceNote"/>
      </w:pPr>
      <w:r>
        <w:rPr>
          <w:b/>
        </w:rPr>
        <w:t>Available abstract (not full text):</w:t>
      </w:r>
      <w:r>
        <w:t xml:space="preserve"> This study evaluated bias-correction-based downscaling approaches for precipitation data from 11 high-resolution CMIP6 models across Europe. The empirical quantile mapping technique demonstrated superior performance by aligning the model outputs with observed precipitation data. Random forest-empirical quantile mapping model outperformed the random forest model, particularly for low rainfall intensities (0–5 mm/day), and exhibited residual errors closer to zero across most European regions. Precipitation overestimations by CMIP6 models in Central and Eastern Europe were significantly reduced through the application of empirical quantile mapping, random forest and random forest empirical quantile mapping approaches. Seasonal analysis revealed lower residual errors in summer than in winter for the evaluated methods. Future projections will provide insights into the reduced overestimation of high quantiles, leading to reliable precipitation estimates. The proposed methodological framework suggests that integrating bias correction complemented by machine learning techniques enhances the accuracy of regional precipitation downscaling, which is crucial for climate risk management in Europe.</w:t>
      </w:r>
    </w:p>
    <w:p>
      <w:pPr/>
      <w:r>
        <w:rPr>
          <w:b/>
        </w:rPr>
        <w:t>POSSIBLE 2026:</w:t>
      </w:r>
      <w:r>
        <w:t xml:space="preserve"> Revisiting Extreme Precipitation of European Summer 2012: The Role of Atlantic Tropical Storm Debby — https://doi.org/10.3390/meteorology5040035</w:t>
      </w:r>
    </w:p>
    <w:p>
      <w:pPr/>
      <w:r>
        <w:rPr>
          <w:b/>
        </w:rPr>
        <w:t>Shared claim-specific concepts:</w:t>
      </w:r>
      <w:r>
        <w:t xml:space="preserve"> projections, precipitation, over, continent, climate; EU scope visible. This is a provisional connection, not an outcome finding.</w:t>
      </w:r>
    </w:p>
    <w:p>
      <w:pPr>
        <w:pStyle w:val="SourceNote"/>
      </w:pPr>
      <w:r>
        <w:rPr>
          <w:b/>
        </w:rPr>
        <w:t>Available abstract (not full text):</w:t>
      </w:r>
      <w:r>
        <w:t xml:space="preserve"> The summer of 2012 in Europe was characterized by sharp contrasts in precipitation. The United Kingdom recorded its wettest summer season (June–August) since 1912. Spain faced drought and wildfires, as summer precipitation levels there were the second lowest in the last 60 years. These anomalies demonstrate an unexpectedly rapid northward shift of the precipitation zone across Europe. The shift contradicted, however, prevailing climate change projections, according to which severe summer drying across the continent and a slower trend toward increased wetting of northern Europe have been expected. The physical mechanisms responsible for the extreme trend remain not clear. It is worth noting that a significant part of 2012 summer precipitation occurred from mid-June to mid-July. Hurricane Chris and Tropical Storm Debby also formed in the North Atlantic in June of that year. This paper presents evidence that the extreme climate behavior of the summer of 2012 and the anomalous summer precipitation distribution in Europe could have been largely determined by the intense transport of moist air from the tropical Atlantic associated with the formation of Tropical Storm Debby, which should be considered among the main drivers of intense flooding events over northwestern and southeastern Europe during the 2012 summer season.</w:t>
      </w:r>
    </w:p>
    <w:p>
      <w:pPr/>
      <w:r>
        <w:rPr>
          <w:b/>
        </w:rPr>
        <w:t>POSSIBLE 2026:</w:t>
      </w:r>
      <w:r>
        <w:t xml:space="preserve"> ClimRisk.eu: Regional climate projections for Europe — https://doi.org/10.5194/ems2026-518</w:t>
      </w:r>
    </w:p>
    <w:p>
      <w:pPr/>
      <w:r>
        <w:rPr>
          <w:b/>
        </w:rPr>
        <w:t>Shared claim-specific concepts:</w:t>
      </w:r>
      <w:r>
        <w:t xml:space="preserve"> projections, precipitation, ensemble, resolution, regional, climate;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Ensemble boosting of extreme precipitation in the Alps — https://doi.org/10.5194/egusphere-egu26-10755</w:t>
      </w:r>
    </w:p>
    <w:p>
      <w:pPr/>
      <w:r>
        <w:rPr>
          <w:b/>
        </w:rPr>
        <w:t>Shared claim-specific concepts:</w:t>
      </w:r>
      <w:r>
        <w:t xml:space="preserve"> projections, precipitation, extremes, ensemble, resolution, climate; EU scope visible. This is a provisional connection, not an outcome finding.</w:t>
      </w:r>
    </w:p>
    <w:p>
      <w:pPr>
        <w:pStyle w:val="SourceNote"/>
      </w:pPr>
      <w:r>
        <w:rPr>
          <w:b/>
        </w:rPr>
        <w:t>Available abstract (not full text):</w:t>
      </w:r>
      <w:r>
        <w:t xml:space="preserve"> The Alps, with their complex topography, important geographic location and varying climatic influences have become a highly vulnerable region. Especially extreme precipitation and its associated impacts - from floods to landslides - are directly amplified by this distinct local environment.Because observational timeseries are rather short and sample only limited locations, the impact-producing extreme tail of the precipitation distribution remains largely unexplored. In addition, the non-stationarity of the climate system makes data from a past climate less useful for gaining insights into current and future conditions. Coarse resolution global climate models can be used to produce long simulations including rare extreme events, but important processes such as topographic forcing and deep convection are poorly resolved, which limits physical interpretability. A different approach is needed to produce robust and actionable climate information on the local scales required for stress testing, early warning, adaptation and risk mitigation.We suggest expanding the method of Ensemble Boosting into the realm of high-resolution modeling. We employ a global ICON setup with 10-20 km grid spacing with a two-way nested kilometer-scale European domain. Our initial goal is to simulate the 2013 Northern Alps flooding using ERA5 initial conditions. We asses lead time sensitivities for reinitia</w:t>
      </w:r>
    </w:p>
    <w:p>
      <w:pPr/>
      <w:r>
        <w:rPr>
          <w:b/>
        </w:rPr>
        <w:t>POSSIBLE 2026:</w:t>
      </w:r>
      <w:r>
        <w:t xml:space="preserve"> Future Changes in Severe Frontal Precipitation Events over Europe and Their Drivers — https://doi.org/10.5194/egusphere-2026-1712</w:t>
      </w:r>
    </w:p>
    <w:p>
      <w:pPr/>
      <w:r>
        <w:rPr>
          <w:b/>
        </w:rPr>
        <w:t>Shared claim-specific concepts:</w:t>
      </w:r>
      <w:r>
        <w:t xml:space="preserve"> projections, precipitation, extremes, over, regional, climate; EU scope visible. This is a provisional connection, not an outcome finding.</w:t>
      </w:r>
    </w:p>
    <w:p>
      <w:pPr>
        <w:pStyle w:val="SourceNote"/>
      </w:pPr>
      <w:r>
        <w:rPr>
          <w:b/>
        </w:rPr>
        <w:t>Available abstract (not full text):</w:t>
      </w:r>
      <w:r>
        <w:t xml:space="preserve"> Abstract. Atmospheric fronts are closely linked to extreme precipitation across the mid-latitudes, which is projected to intensify in many regions under global warming. Understanding the physical drivers of these changes is essential to improve confidence in climate projections. Here, we analyze projected changes in seasonal heavy and extreme frontal precipitation events over Europe using the CMIP6 and EURO-CORDEX ensembles, combining event frequency analysis with frontal composite cross-sections to assess the changes of the underlying thermodynamic and dynamic processes. We find that the number of heavy frontal precipitation events increases by up to 50 % per degree of global warming, while extreme events are projected to more than double per degree. Large-scale circulation changes account for most regional reductions in frontal extremes, but contribute only weakly to the widespread increases. Thermodynamic changes, however, dominate the intensification of extremes. Increases in specific humidity are the primary driver of more intense events, while changes in the frontal circulation are minimal, likely because a more stable atmosphere counteracts potential strengthening from enhanced latent heat release.</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pStyle w:val="Heading2"/>
      </w:pPr>
      <w:r>
        <w:t>812.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2026:</w:t>
      </w:r>
      <w:r>
        <w:t xml:space="preserve"> United Kingdom — https://doi.org/10.1007/978-3-032-12610-8_7</w:t>
      </w:r>
    </w:p>
    <w:p>
      <w:pPr/>
      <w:r>
        <w:rPr>
          <w:b/>
        </w:rPr>
        <w:t>Shared claim-specific concepts:</w:t>
      </w:r>
      <w:r>
        <w:t xml:space="preserve"> united, kingdom, emissions, within, framework; EU scope visible. This is a provisional connection, not an outcome finding.</w:t>
      </w:r>
    </w:p>
    <w:p>
      <w:pPr>
        <w:pStyle w:val="SourceNote"/>
      </w:pPr>
      <w:r>
        <w:rPr>
          <w:b/>
        </w:rPr>
        <w:t>Available abstract (not full text):</w:t>
      </w:r>
      <w:r>
        <w:t xml:space="preserve"> This chapter examines climate policy efforts across four UK jurisdictions that joined the Under2 Coalition at different timepoints: founding member Wales, early joiner Scotland, and later joiners Northern Ireland and Isle of Man. Operating within the UK’s constitutionally asymmetric devolution framework, these subnational entities demonstrate varied climate leadership trajectories shaped by differential legislative powers, political contexts, and institutional capacities. Wales exhibits normative and cognitive leadership through pioneering an innovative intergenerational approach to climate action despite constitutional entanglement with English law limiting implementation capacity. Scotland, though only an early Under2 Coalition joiner, demonstrates the strongest climate ambition of all nations, driven by independence aspirations and serving as European Under2 Coalition co-chair, though recent difficulties in meeting the GHG emissions reduction target prompted the adoption of carbon budgets. Northern Ireland’s delayed policy-based climate action reflects post-conflict recovery priorities and repeated Assembly suspensions, while Isle of Man exemplifies followership through policy emulation and reliance on external expertise. The findings reveal mixed support for our two propositions regarding founding member advantages, highlighting how constitutional autonomy and political sta</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pStyle w:val="Heading2"/>
      </w:pPr>
      <w:r>
        <w:t>813.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2026:</w:t>
      </w:r>
      <w:r>
        <w:t xml:space="preserve"> Education and training of home hemodialysis patients in Europe: a scoping review — https://doi.org/10.33393/gcnd.2026.3589</w:t>
      </w:r>
    </w:p>
    <w:p>
      <w:pPr/>
      <w:r>
        <w:rPr>
          <w:b/>
        </w:rPr>
        <w:t>Shared claim-specific concepts:</w:t>
      </w:r>
      <w:r>
        <w:t xml:space="preserve"> training, two, account; EU scope visible. This is a provisional connection, not an outcome finding.</w:t>
      </w:r>
    </w:p>
    <w:p>
      <w:pPr>
        <w:pStyle w:val="SourceNote"/>
      </w:pPr>
      <w:r>
        <w:rPr>
          <w:b/>
        </w:rPr>
        <w:t>Available abstract (not full text):</w:t>
      </w:r>
      <w:r>
        <w:t xml:space="preserve"> Introduction: Home hemodialysis (HHD) began in the 1960s; it has largely moved to the dialysis centers in recentdecades, particularly across Europe. HHD patients account for &lt;2% of the dialysis patient population. Trainingprograms aimed at addressing the benefits, enablers and obstacles of home hemodialysis may therefore be relevantwhen considering this modality of renal replacement therapy (RRT). The aim was to conduct a scopingreview of studies about training in HHD patients.Methods: Using Arksey and O’Malley’s framework, three databases were searched on CINAHL, PubMed andScopus. The search included studies published in English from August 2013 to August 2023.Results: Five studies met the scoping review criteria (two observational, two qualitative and one narrative review).Three education themes were identified: technique and management of the dialysis machine, self-cannulationof arterio-venous fistulas and safety.Conclusion: The educational fields described represent a systematic approach to foster the growing use of homehemodialysis, but to date, further research is needed to investigate the feasibility and effects of educationaltraining to understand if they meet the educational needs of patients. Finally, in Europe, there are obstacles tothe implementation of home hemodialysis concerning health costs, logistics, but above all, the lack of specializedand dedicated medical </w:t>
      </w:r>
    </w:p>
    <w:p>
      <w:pPr/>
      <w:r>
        <w:rPr>
          <w:b/>
        </w:rPr>
        <w:t>POSSIBLE 2026:</w:t>
      </w:r>
      <w:r>
        <w:t xml:space="preserve"> Training Practices and Organisational Citizenship Behaviour in The Informal Sector in Nigeria — https://doi.org/10.64388/irev9i11-1717234</w:t>
      </w:r>
    </w:p>
    <w:p>
      <w:pPr/>
      <w:r>
        <w:rPr>
          <w:b/>
        </w:rPr>
        <w:t>Shared claim-specific concepts:</w:t>
      </w:r>
      <w:r>
        <w:t xml:space="preserve"> four, regarding, training, developed, design, driving; EU scope not established. This is a provisional connection, not an outcome finding.</w:t>
      </w:r>
    </w:p>
    <w:p>
      <w:pPr>
        <w:pStyle w:val="SourceNote"/>
      </w:pPr>
      <w:r>
        <w:rPr>
          <w:b/>
        </w:rPr>
        <w:t>Available abstract (not full text):</w:t>
      </w:r>
      <w:r>
        <w:t xml:space="preserve"> The informal sector serves as a structural cornerstone of both developed and emerging labour markets, functioning as a primary engine for global employment generation, socioeconomic survival, and macroeconomic expansion. However, despite the systemic importance of informal work, scholarly inquiry remains disproportionately focused on formal institutions. There exists a significant empirical gap regarding how human capital development influences employee attitudinal and behavioral outcomes within the informal economy-specifically in Nigeria, a context defined by a vast and heterogeneous informal workforce. To address this gap, the present study investigates the effect of training practices on Organizational Citizenship Behavior (OCB) in selected bread production business in Akungba-Akoko, Ondo State. Adopting a cross-sectional survey design and a census sampling approach, the study gathered data from 30 respondents, comprising managers and employees across four selected bread-making enterprises. The data were subjected to rigorous descriptive and inferential statistical analysis to determine the predictive power of training practices. The findings reveal that, in aggregate, training practices constitute a significant predictor of helping behavior among employees (R2 = 0.249 (F-val. = 8.048, p &lt; 0.005). However, a more granular examination of specific modalities suggests that the</w:t>
      </w:r>
    </w:p>
    <w:p>
      <w:pPr/>
      <w:r>
        <w:rPr>
          <w:b/>
        </w:rPr>
        <w:t>POSSIBLE 2026:</w:t>
      </w:r>
      <w:r>
        <w:t xml:space="preserve"> Placebo and nocebo in clinical practice: An online cross-sectional survey of healthcare professionals from European countries on views, practices and training needs — https://doi.org/10.1371/journal.pone.0338905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BACKGROUND: Placebo and nocebo effects significantly influence health outcomes, yet healthcare professionals receive limited training and guidance on their mechanisms and clinical application, creating a gap in education and practical understanding. Conducted within the European PANACEA Consortium, this study evaluated healthcare professionals' knowledge, attitudes, and practices regarding placebo and nocebo effects, and assessed their needs in further education. METHODS: An online cross-sectional survey among a European multi-country convenience sample of healthcare professionals collected data assessing participants' knowledge, perceptions, and experiences regarding placebo and nocebo effects; their application and ethical considerations in clinical practice; and investigated educational needs and interest in further training. Quantitative data were analyzed using descriptive statistics, and thematic analysis was applied to the free-text responses. RESULTS: Amongst 807 participants, 71.7% reported taking advantage of placebo effects in their practice, and over half of participants (55.8%) observing nocebo effects. Participants reported feeling somewhat confident (53.3%) in harnessing placebo effects with 47.5% feeling confident in preventing nocebo effects. The majority of respondents had not received formal training on placebo and nocebo effects, with most expressing an inte</w:t>
      </w:r>
    </w:p>
    <w:p>
      <w:pPr/>
      <w:r>
        <w:rPr>
          <w:b/>
        </w:rPr>
        <w:t>POSSIBLE 2026:</w:t>
      </w:r>
      <w:r>
        <w:t xml:space="preserve"> Attitudes and practices of veterinarians regarding feline pain management in Western vs Eastern Europe — https://doi.org/10.1177/1098612x261484766</w:t>
      </w:r>
    </w:p>
    <w:p>
      <w:pPr/>
      <w:r>
        <w:rPr>
          <w:b/>
        </w:rPr>
        <w:t>Shared claim-specific concepts:</w:t>
      </w:r>
      <w:r>
        <w:t xml:space="preserve"> regarding, practice, developed; EU scope visible. This is a provisional connection, not an outcome finding.</w:t>
      </w:r>
    </w:p>
    <w:p>
      <w:pPr>
        <w:pStyle w:val="SourceNote"/>
      </w:pPr>
      <w:r>
        <w:rPr>
          <w:b/>
        </w:rPr>
        <w:t>Available abstract (not full text):</w:t>
      </w:r>
      <w:r>
        <w:t xml:space="preserve"> OBJECTIVES: This study aimed to report and compare attitudes and practices of veterinarians regarding feline pain management in Eastern and Western Europe. METHODS: A questionnaire was developed and divided into demographic data, drug availability/administration, and pain management practices. The questionnaire went through content and face validity and was translated into several languages. An internet-based survey was created, and responses were collected using a convenience sampling method. Data were analyzed using multiple correspondence analysis. RESULTS: In total, 833 participants from Europe were included. Most respondents indicated good knowledge of acute pain assessment and recognition (n = 478, 57.4%). The Feline Grimace Scale was the most commonly used instrument to assess acute pain (n = 346, 41.5%). Chronic pain scoring instruments were not used by 48.5% (n = 404) of participants. Meloxicam and robenacoxib were the most used non-steroidal anti-inflammatory drugs (NSAIDs) for chronic pain management. Limited knowledge of pain assessment, non-use of NSAIDs in cats undergoing surgery, and postoperative use of opioids were more closely associated with Eastern than Western Europe. Reported good knowledge of pain management, pre- and intraoperative use of NSAIDs, use of pain scales and preoperative opioids, having a specialty diploma, and working in a cat-friendly practi</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2025:</w:t>
      </w:r>
      <w:r>
        <w:t xml:space="preserve"> Operational Practices and Related Issues Regarding Intellectual Property Education and Training at Selected Universities in Zimbabwe — https://doi.org/10.6017/ijahe.v12i1.20767</w:t>
      </w:r>
    </w:p>
    <w:p>
      <w:pPr/>
      <w:r>
        <w:rPr>
          <w:b/>
        </w:rPr>
        <w:t>Shared claim-specific concepts:</w:t>
      </w:r>
      <w:r>
        <w:t xml:space="preserve"> four, regarding, training; EU scope not established. This is a provisional connection, not an outcome finding.</w:t>
      </w:r>
    </w:p>
    <w:p>
      <w:pPr>
        <w:pStyle w:val="SourceNote"/>
      </w:pPr>
      <w:r>
        <w:rPr>
          <w:b/>
        </w:rPr>
        <w:t>Available abstract (not full text):</w:t>
      </w:r>
      <w:r>
        <w:t xml:space="preserve"> The quality of an Intellectual Property (IP) educational programme largely depends on the level of experience and interest of the IP educator. However, in most universities in Zimbabwe there seems to be operational glitches since IP education and training is conducted in diﬀerent disciplines and mostly by staﬀ without practical skills nor prior technical background in IP. The study sought to investigate the operational practices in relation to IP education and training within the universities. A survey of four universities was carried out with a sample of lecturers (692), research ofcers (4), IP ofcer (1), and faculty librarians (4). Questionnaires were administered to the lecturers while interviews were administered to the IP ofcer, research ofcers and faculty librarians. The questionnaire response rate was 52.9% (366 lecturers) while all the nine selected participants were interviewed. The results indicated that 147 (40%) lecturers were unaware of departments responsible for IP education and training within their universities. The interview results suggested that the IP ofce, the library, the research ofce and teaching departments were responsible for IP education and training in the universities.</w:t>
      </w:r>
    </w:p>
    <w:p>
      <w:pPr/>
      <w:r>
        <w:rPr>
          <w:b/>
        </w:rPr>
        <w:t>POSSIBLE 2025:</w:t>
      </w:r>
      <w:r>
        <w:t xml:space="preserve"> Problem-Based Learning in the Disciplines of Applied Genetics, General Chemistry and Inorganic Chemistry — https://doi.org/10.56147/jbhs.2.4.60</w:t>
      </w:r>
    </w:p>
    <w:p>
      <w:pPr/>
      <w:r>
        <w:rPr>
          <w:b/>
        </w:rPr>
        <w:t>Shared claim-specific concepts:</w:t>
      </w:r>
      <w:r>
        <w:t xml:space="preserve"> four, regarding, chemistry, training, developed, two; EU scope not established. This is a provisional connection, not an outcome finding.</w:t>
      </w:r>
    </w:p>
    <w:p>
      <w:pPr>
        <w:pStyle w:val="SourceNote"/>
      </w:pPr>
      <w:r>
        <w:rPr>
          <w:b/>
        </w:rPr>
        <w:t>Available abstract (not full text):</w:t>
      </w:r>
      <w:r>
        <w:t xml:space="preserve"> The research analyzed the application of the problem-based learning method in the disciplines of Applied genetics, general chemistry and inorganic chemistryat two higher education institutions in Benguela, Angola, over four consecutive academic years, highlighting how this methodology can contribute to improving learning and developing integrative skills. The study followed a mixed methods research format and used document analysis, participant observationanda questionnaire. The results revealed that the problem-based learning method contributes to developing students’ ability to analyzeand interpret concrete situations, encourages teamwork, integrates theory, research, practiceandreal-world aspects and requires the mobilization of diverse basic knowledge and skills and the integration of competencies. The results also demonstrated that this methodology effectively contributes to the training profile defined for the courses studied. This study is part of a program that has been developed within the scope of the challenges facing higher education in Angola, regarding the current perspectives of science teaching that prioritize problem-based learning with a view to building knowledge and developing integrative skills.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pStyle w:val="Heading2"/>
      </w:pPr>
      <w:r>
        <w:t>814.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2025:</w:t>
      </w:r>
      <w:r>
        <w:t xml:space="preserve"> OPPORTUNITIES OF TRANSBOUNDARY ENVIRONMENTAL COOPERATION IN THE CONTEXT OF THE EUROPEAN INTEGRATION AND POST-WAR GREEN RECOVERY OF UKRAINE — https://doi.org/10.17721/1728-2721.2025.92-93.5</w:t>
      </w:r>
    </w:p>
    <w:p>
      <w:pPr/>
      <w:r>
        <w:rPr>
          <w:b/>
        </w:rPr>
        <w:t>Shared claim-specific concepts:</w:t>
      </w:r>
      <w:r>
        <w:t xml:space="preserve"> cooperation, countries, help; EU scope visible. This is a provisional connection, not an outcome finding.</w:t>
      </w:r>
    </w:p>
    <w:p>
      <w:pPr>
        <w:pStyle w:val="SourceNote"/>
      </w:pPr>
      <w:r>
        <w:rPr>
          <w:b/>
        </w:rPr>
        <w:t>Available abstract (not full text):</w:t>
      </w:r>
      <w:r>
        <w:t xml:space="preserve"> Background. The article emphasizes the relevance of transboundary environmental cooperation for Ukraine in the context of new reality caused by Russian aggression: accelerated integration into the European Union (EU) against the backdrop of recovery process. Given Ukraine's geopolitical location and shared borders with 4 EU countries (Poland, Slovakia, Hungary and Romania) and 1 EU candidate (Moldova), transboundary cooperation presents significant opportunities. Methods. The following methods were employed in this study: analysis, synthesis, observation, and comparison to identify current trends and model prospects of environmental transboundary cooperation. Results. It was analyzed the state of Ukraine's transboundary environmental cooperation before the war. The role of Euroregions established with 4 EU neighboring countries and Moldova ("Carpathians," "Bug," "Upper Prut," and "Dniester") and the European Grouping of Territorial Cooperation (EGTC) with Hungary ("Tisza") as organizational forms of cooperation for implementing joint ecological initiatives is highlighted. The study examines the impact of Russia’s full-scale invasion on transboundary environmental collaboration, including shifts in priorities, emerging challenges, and, at the same time, new opportunities for cross-border environmental partnerships. The new opportunities are considered in the context of recovery </w:t>
      </w:r>
    </w:p>
    <w:p>
      <w:pPr/>
      <w:r>
        <w:rPr>
          <w:b/>
        </w:rPr>
        <w:t>POSSIBLE 2025:</w:t>
      </w:r>
      <w:r>
        <w:t xml:space="preserve"> Knowledge and entrepreneurship propensity in Central European countries: An analysis in universities — https://doi.org/10.1016/j.jik.2025.100758</w:t>
      </w:r>
    </w:p>
    <w:p>
      <w:pPr/>
      <w:r>
        <w:rPr>
          <w:b/>
        </w:rPr>
        <w:t>Shared claim-specific concepts:</w:t>
      </w:r>
      <w:r>
        <w:t xml:space="preserve"> support, countries; EU scope visible. This is a provisional connection, not an outcome finding.</w:t>
      </w:r>
    </w:p>
    <w:p>
      <w:pPr>
        <w:pStyle w:val="SourceNote"/>
      </w:pPr>
      <w:r>
        <w:rPr>
          <w:b/>
        </w:rPr>
        <w:t>Available abstract (not full text):</w:t>
      </w:r>
      <w:r>
        <w:t xml:space="preserve"> The motives for starting a business among university students represent a current and important topic of scientific research. A key scientific premise of this approach is that significant research has demonstrated the importance of entrepreneurial activities by university-educated entrepreneurs in contributing to economic and social development worldwide. This study aims to identify the key factors that determine the propensity of university students to engage in entrepreneurship in selected Central European countries and to present a comprehensive model. The empirical research, focused on investigating university students’ attitudes towards entrepreneurial opportunities, was conducted in the V4 countries (Slovakia, Hungary, Poland, and the Czech Republic) between March and June 2024. The research included 2310 respondents, defined as students currently studying at higher education institutions providing economic-social, university, or college education. Data collection was conducted using Google Forms. Structural equation modelling (SEM) was used to evaluate the statistical hypotheses. The strongest influence on university students’ propensity to engage in entrepreneurship was demonstrated by government support for entrepreneurship. The second most significant factor was the quality of the macroeconomic environment, followed by access to external financing. The final statistic</w:t>
      </w:r>
    </w:p>
    <w:p>
      <w:pPr/>
      <w:r>
        <w:rPr>
          <w:b/>
        </w:rPr>
        <w:t>POSSIBLE 2025:</w:t>
      </w:r>
      <w:r>
        <w:t xml:space="preserve"> Medical ‘othering’: qualitative evidence synthesis of health services experiences among women affected by female genital mutilation/cutting in Europe — https://doi.org/10.1101/2025.08.13.25333558</w:t>
      </w:r>
    </w:p>
    <w:p>
      <w:pPr/>
      <w:r>
        <w:rPr>
          <w:b/>
        </w:rPr>
        <w:t>Shared claim-specific concepts:</w:t>
      </w:r>
      <w:r>
        <w:t xml:space="preserve"> support, countries, affected; EU scope visible. This is a provisional connection, not an outcome finding.</w:t>
      </w:r>
    </w:p>
    <w:p>
      <w:pPr>
        <w:pStyle w:val="SourceNote"/>
      </w:pPr>
      <w:r>
        <w:rPr>
          <w:b/>
        </w:rPr>
        <w:t>Available abstract (not full text):</w:t>
      </w:r>
      <w:r>
        <w:t xml:space="preserve"> ABSTRACT Migration from countries with high female genital mutilation/cutting (FGM/C) prevalence to Europe has increased attention to health services needs and support for affected women. We explored literature on this foregrounding affected women’s voices, including 37 sources of 11,662 identified. Our findings are synthesised in three themes: medical ‘othering,’ challenged communication, and migration implications. Migrant women affected by FGM/C often struggled navigating health systems that were inflexible to their needs, with health providers often highlighting cultural differences instead of focusing on their health needs in potentially traumatic ways. Women also described feeling torn between conflicting FGM/C cultural norms, their health, and care practices in Europe.</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2024:</w:t>
      </w:r>
      <w:r>
        <w:t xml:space="preserve"> On International Cooperation — https://doi.org/10.3386/w33161</w:t>
      </w:r>
    </w:p>
    <w:p>
      <w:pPr/>
      <w:r>
        <w:rPr>
          <w:b/>
        </w:rPr>
        <w:t>Shared claim-specific concepts:</w:t>
      </w:r>
      <w:r>
        <w:t xml:space="preserve"> cooperation, countries, over; EU scope not established. This is a provisional connection, not an outcome finding.</w:t>
      </w:r>
    </w:p>
    <w:p>
      <w:pPr>
        <w:pStyle w:val="SourceNote"/>
      </w:pPr>
      <w:r>
        <w:rPr>
          <w:b/>
        </w:rPr>
        <w:t>Available abstract (not full text):</w:t>
      </w:r>
      <w:r>
        <w:t xml:space="preserve"> A simple dynamic game is used for analyzing international environmental problems and climate agreements.Different countries are, over time, emitting as well as investing in green technology.In this framework, we can analyze the business-as-usual outcome, short vs. long term agreements, self-enforcing agreements, participation, compliance, alternative designs, and the development from the Kyoto Protocol to the Paris Agreement.The text should be accessible to students at any level.</w:t>
      </w:r>
    </w:p>
    <w:p>
      <w:pPr>
        <w:pStyle w:val="Heading2"/>
      </w:pPr>
      <w:r>
        <w:t>815.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2026:</w:t>
      </w:r>
      <w:r>
        <w:t xml:space="preserve"> Does policy matter : A study on the Swedish energy policy with a focus on nuclear power — https://openalex.org/W7134996966</w:t>
      </w:r>
    </w:p>
    <w:p>
      <w:pPr/>
      <w:r>
        <w:rPr>
          <w:b/>
        </w:rPr>
        <w:t>Shared claim-specific concepts:</w:t>
      </w:r>
      <w:r>
        <w:t xml:space="preserve"> nuclear, power, reactors, within, events, question; EU scope visible. This is a provisional connection, not an outcome finding.</w:t>
      </w:r>
    </w:p>
    <w:p>
      <w:pPr>
        <w:pStyle w:val="SourceNote"/>
      </w:pPr>
      <w:r>
        <w:rPr>
          <w:b/>
        </w:rPr>
        <w:t>Available abstract (not full text):</w:t>
      </w:r>
      <w:r>
        <w:t xml:space="preserve"> This master’s thesis examines the relationship between Swedish energy policy and its impact on the energy market, with a particular focus on the nuclear power sector. The central research question addressed is: "To what extent do political decisions influence the energy sector?" Through an in-depth analysis of historical data, policy frameworks, and market dynamics, the study investigates how political decisions shape the operational outcomes, (e.g. Real-life decision, running operations and investments) particularly concerning nuclear power in Sweden. The research is framed by a statement made by Sweden’s former Minister for Climate and Environment in 2022, which claimed that the decision to close reactors at the Ringhals nuclear power plant was driven solely by market forces rather than governmental policy changes. This assertion serves as a focal point for exploring the interplay between political decisions and market mechanisms (e.g. How the market behaves upon political decisions) in shaping energy outcomes. The thesis also delves into historical events related to nuclear power on a global scale and their influence on global public opinion and safety considerations within the nuclear industry and in particular how these opinions have been considered from a Swedish perspective. A comparative analysis with France is undertaken, as both Sweden and France embarked on ambitious</w:t>
      </w:r>
    </w:p>
    <w:p>
      <w:pPr/>
      <w:r>
        <w:rPr>
          <w:b/>
        </w:rPr>
        <w:t>POSSIBLE 2026:</w:t>
      </w:r>
      <w:r>
        <w:t xml:space="preserve"> India’s Nuclear Status: Policy, Power and Projection in 1974 — https://openalex.org/W7218061616</w:t>
      </w:r>
    </w:p>
    <w:p>
      <w:pPr/>
      <w:r>
        <w:rPr>
          <w:b/>
        </w:rPr>
        <w:t>Shared claim-specific concepts:</w:t>
      </w:r>
      <w:r>
        <w:t xml:space="preserve"> nuclear, power, drivers, conditions; EU scope not established. This is a provisional connection, not an outcome finding.</w:t>
      </w:r>
    </w:p>
    <w:p>
      <w:pPr>
        <w:pStyle w:val="SourceNote"/>
      </w:pPr>
      <w:r>
        <w:rPr>
          <w:b/>
        </w:rPr>
        <w:t>Available abstract (not full text):</w:t>
      </w:r>
      <w:r>
        <w:t xml:space="preserve"> India’s nuclear programme can trace its origin to March 1944 and its three-stage efforts in technology were established by Homi Jehangir Bhabha when he founded the nuclear research centre, the Tata Institute of Fundamental Research. After independence, the most distinguished feature of Indian nuclear policy has been determination to be selfreliant and retain a wide measure of autonomy in nuclear matters and the main drivers of India’s nuclear posture are its geopolitical competition with China, and its simmering rivalry with Pakistan which has influenced India’s international security conditions and gradually encouraged the development of nuclear programme. India’s nuclear weapons are deeply rooted in the 1962 humiliation, which was followed two years later by its first nuclear test in 1964. It necessitated the development of India’s nuclear programme to deter another attack by China and finally the former began a designed work in 1965 which culminated in publicly demonstrating India’s nuclear capability through the peaceful nuclear explosion of 1974. The paper analyses systematically the development of India’s nuclear policy, power and expression in its nuclear test.</w:t>
      </w:r>
    </w:p>
    <w:p>
      <w:pPr/>
      <w:r>
        <w:rPr>
          <w:b/>
        </w:rPr>
        <w:t>POSSIBLE 2026:</w:t>
      </w:r>
      <w:r>
        <w:t xml:space="preserve"> Structural Dependence and Attitudinal Divergence: A Comparative Analysis of Nuclear Power Acceptance between Highly- and Lowly-Nuclear-Power-Dependent Countries in Europe — https://doi.org/10.31637/epsir-2026-2972</w:t>
      </w:r>
    </w:p>
    <w:p>
      <w:pPr/>
      <w:r>
        <w:rPr>
          <w:b/>
        </w:rPr>
        <w:t>Shared claim-specific concepts:</w:t>
      </w:r>
      <w:r>
        <w:t xml:space="preserve"> nuclear, power, electricity; EU scope visible. This is a provisional connection, not an outcome finding.</w:t>
      </w:r>
    </w:p>
    <w:p>
      <w:pPr>
        <w:pStyle w:val="SourceNote"/>
      </w:pPr>
      <w:r>
        <w:rPr>
          <w:b/>
        </w:rPr>
        <w:t>Available abstract (not full text):</w:t>
      </w:r>
      <w:r>
        <w:t xml:space="preserve"> Introduction: Nuclear energy remains one of the most contested energy sources globally, and public acceptance is critical for energy policymakers. This study addresses a gap in the literature by comparing public acceptance between Highly-Nuclear-Power-Dependent Countries (HNPDCs) and Lowly-Nuclear-Power-Dependent Countries (LNPDCs) in Europe. Methodology: Using Eurobarometer 72.2 data (2009, N = 26,663; 27 EU member states), we conducted OLS regression analyses for each group, supplemented by country-level macro-indicator comparisons. HNPDCs are defined as countries where nuclear power exceeds 30% of total electricity production. Results: Perceived benefit and trust are the strongest positive predictors of nuclear acceptance; perceived risk exerts the strongest negative effect in both groups. In HNPDCs, proximity to a nuclear facility and self-assessed information level significantly predict acceptance; in LNPDCs, educational attainment plays a more prominent role. Discussion: Nuclear dependency shapes distinct cognitive pathways for attitude formation. HNPDCs exhibit higher acceptance, higher perceived risk and benefit, and stronger trust, yet also greater organized environmental opposition. Conclusions: Nuclear dependency shapes both the level and determinant structure of public attitudes, with important implications for context-sensitive energy communication strategies.</w:t>
      </w:r>
    </w:p>
    <w:p>
      <w:pPr/>
      <w:r>
        <w:rPr>
          <w:b/>
        </w:rPr>
        <w:t>POSSIBLE 2026:</w:t>
      </w:r>
      <w:r>
        <w:t xml:space="preserve"> Power Trip: The Big Tech Push for Nuclear-Powered Data Centers — https://doi.org/10.5325/jinfopoli.16.2026.0012</w:t>
      </w:r>
    </w:p>
    <w:p>
      <w:pPr/>
      <w:r>
        <w:rPr>
          <w:b/>
        </w:rPr>
        <w:t>Shared claim-specific concepts:</w:t>
      </w:r>
      <w:r>
        <w:t xml:space="preserve"> nuclear, power, electricity, article; EU scope not established. This is a provisional connection, not an outcome finding.</w:t>
      </w:r>
    </w:p>
    <w:p>
      <w:pPr>
        <w:pStyle w:val="SourceNote"/>
      </w:pPr>
      <w:r>
        <w:rPr>
          <w:b/>
        </w:rPr>
        <w:t>Available abstract (not full text):</w:t>
      </w:r>
      <w:r>
        <w:t xml:space="preserve"> Abstract In the 2020s, the big tech industry requires skyrocketing amounts of electricity to fuel data centers that support power-hungry new technologies like artificial intelligence (AI) and cryptocurrency. The American power grid is unlikely to fulfill near-future big tech energy demands, so industry has turned to lobbying efforts to boost nuclear energy and expedite the associated regulatory and permitting processes. This article argues that a rapid revival and expansion of nuclear power is unlikely in the near future for political, economic, and structural reasons.</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power, reactors, within;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pStyle w:val="Heading2"/>
      </w:pPr>
      <w:r>
        <w:t>816.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2026:</w:t>
      </w:r>
      <w:r>
        <w:t xml:space="preserve"> Green hydrogen pathways for a net-zero future: technologies, circular economy integration, life-cycle performance and safety dimensions — https://doi.org/10.1039/d5ra09599a</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This review critically evaluates the technological, environmental, and policy dimensions of green hydrogen using an integrated framework grounded in green chemistry, the circular economy, and the sustainable development goals. Rather than treating green hydrogen as a universal energy solution, the review synthesises advances in production, storage, transport, safety, and policy instruments to assess where and under what conditions hydrogen deployment is sustainable. Conventional, biological, electrolytic, photocatalytic, and waste-derived pathways are compared in terms of efficiency, lifecycle emissions, resource intensity, material criticality, and toxicity. Storage and distribution options including compressed and liquefied hydrogen, chemical carriers, and porous materials are assessed for energy density, safety, recyclability, and infrastructure readiness. Life-cycle assessment data are integrated to identify key hotspots in global warming potential, water use, cumulative energy demand, and human toxicity. Policy frameworks, including India's National Green Hydrogen Mission, are examined with emphasis on implementation mechanisms, certification, and industrial integration. The analysis demonstrates that no single pathway satisfies all sustainability criteria, highlighting the need for targeted deployment, system integration, and regional optimisation. Embedding green chemist</w:t>
      </w:r>
    </w:p>
    <w:p>
      <w:pPr/>
      <w:r>
        <w:rPr>
          <w:b/>
        </w:rPr>
        <w:t>POSSIBLE 2026:</w:t>
      </w:r>
      <w:r>
        <w:t xml:space="preserve"> The interaction of public-private partnerships (PPP) and SDG 17 (Partnership for the Goals) in achieving sustainable development — https://doi.org/10.1007/s43545-026-01525-2</w:t>
      </w:r>
    </w:p>
    <w:p>
      <w:pPr/>
      <w:r>
        <w:rPr>
          <w:b/>
        </w:rPr>
        <w:t>Shared claim-specific concepts:</w:t>
      </w:r>
      <w:r>
        <w:t xml:space="preserve"> legal, framework, sustainable, line; EU scope not established. This is a provisional connection, not an outcome finding.</w:t>
      </w:r>
    </w:p>
    <w:p>
      <w:pPr>
        <w:pStyle w:val="SourceNote"/>
      </w:pPr>
      <w:r>
        <w:rPr>
          <w:b/>
        </w:rPr>
        <w:t>Available abstract (not full text):</w:t>
      </w:r>
      <w:r>
        <w:t xml:space="preserve"> Abstract While the United Nations has identified partnerships as key means to achieve the Sustainable Development Goals (SDGs), as illustrated in SDG 17, the contemporary academic discourse on partnerships in line with public-private partnerships (PPPs) indicates that legal, regulatory, and contractual problems threaten the efficacy of PPPs as a tool for achieving sustainable development, yet underexplored. In this regard, we offer a model for mitigating partnership issues to improve their efficacy in achieving the UN SDGs. To achieve this, we draw on our subject matter expertise and contemporary academic discourse on the topic to conceptually illustrate our understanding of current PPP governance issues and potential solutions, thereby better positioning them to meet the UN SDGs. This article is therefore positioned as a conceptual paper informed by an illustrative synthesis of PPP, SDG, governance, legal, regulatory, and contractual scholarship. The contribution is not to provide an exhaustive evidence map of the literature, but to develop the PPP Governance Triad (PGT) as an organising framework for linking contractual design, applicable law, regulatory oversight, and power relations to SDG-aligned partnership outcomes. We set a research agenda on the governance of PPPs to encourage research on SDG 17 in accounting, governance and management journals, where there has been a </w:t>
      </w:r>
    </w:p>
    <w:p>
      <w:pPr/>
      <w:r>
        <w:rPr>
          <w:b/>
        </w:rPr>
        <w:t>POSSIBLE 2026:</w:t>
      </w:r>
      <w:r>
        <w:t xml:space="preserve"> Emerging Technologies and International Law: DAO and AI Research in the Context of Globalisation — https://doi.org/10.60923/issn.2724-6299/24290</w:t>
      </w:r>
    </w:p>
    <w:p>
      <w:pPr/>
      <w:r>
        <w:rPr>
          <w:b/>
        </w:rPr>
        <w:t>Shared claim-specific concepts:</w:t>
      </w:r>
      <w:r>
        <w:t xml:space="preserve"> legal, among, sustainable; EU scope not established. This is a provisional connection, not an outcome finding.</w:t>
      </w:r>
    </w:p>
    <w:p>
      <w:pPr>
        <w:pStyle w:val="SourceNote"/>
      </w:pPr>
      <w:r>
        <w:rPr>
          <w:b/>
        </w:rPr>
        <w:t>Available abstract (not full text):</w:t>
      </w:r>
      <w:r>
        <w:t xml:space="preserve"> The global political economy shaped by globalization is an environment that entails both potentials and limitations for research approaches. Important themes range from sustainable development goals, green transition, social justice disparities, technological issues to conflicts and complex emergencies. International law researchers deal with all these issues. International law and legal sciences as part of social sciences progress in a polysemic interplay with global trends. Research shapes values, beliefs and norms, and vice versa. To allow for the interplay in the creation of meaning by research activity on the one hand and cultural consciousnesses on the other, this paper discusses inter-disciplinarity – broadly understood – in research approaches using international legal research and emerging technologies, in particular artificial intelligence (AI) and decentralised autonomous organisations based on blockchain technology, as examplary fields and themes. Since all sciences are part of cultural life of societies, they are mutually embedded in and dynamically connected to other societal forces. Globalization is a transnational social force that comes about in a complex orchestration among other forces, institutions and phenomena whether legal, cultural, political, economic, social or all. To isolate it or its effects on a research theme would be extremely difficult if not ou</w:t>
      </w:r>
    </w:p>
    <w:p>
      <w:pPr/>
      <w:r>
        <w:rPr>
          <w:b/>
        </w:rPr>
        <w:t>POSSIBLE 2026:</w:t>
      </w:r>
      <w:r>
        <w:t xml:space="preserve"> Evaluating the efficiency of countries in achieving the Sustainable Development Goals using data envelopment analysis — https://doi.org/10.1057/s41599-026-08395-2</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All UN member states are committed to achieving the 17 Sustainable Development Goals (SDGs) under the 2030 Agenda for Sustainable Development, but global progress has fallen seriously behind schedule. This article proposes a multi-indicator framework to evaluate national SDG performance by integrating outcome-based indicators (i.e., SDG scores), trend-based indicators (i.e., estimated years), and efficiency-oriented indicators (i.e., static and dynamic efficiency) that account for heterogeneous realistic constraints. Methodologically, SDG scores are calculated based on the SDG Index, estimated years are derived by linear least squares fitting, static efficiency is measured via DEA-CCR and DEA-BCC models, and dynamic efficiency is assessed through the global DEA-Malmquist model. Applying this framework to 132 countries from 2011 to 2023 reveals significant heterogeneity in SDG performance across countries, which is further reflected in differences by development level, geographic region, and participation in international organizations. The results indicate a significant gap between current trajectories and the 2030 SDG targets, a gap that is particularly pronounced in the developing countries. Developed countries maintain higher baseline performances but show signs of decelerating improvement. Developing countries, meanwhile, are characterized by faster efficiency gains, yet th</w:t>
      </w:r>
    </w:p>
    <w:p>
      <w:pPr/>
      <w:r>
        <w:rPr>
          <w:b/>
        </w:rPr>
        <w:t>POSSIBLE 2026:</w:t>
      </w:r>
      <w:r>
        <w:t xml:space="preserve"> The Global Sport and Sustainable Development Goals Baseline and Initial Impact Report — https://doi.org/10.14217/tlke7905</w:t>
      </w:r>
    </w:p>
    <w:p>
      <w:pPr/>
      <w:r>
        <w:rPr>
          <w:b/>
        </w:rPr>
        <w:t>Shared claim-specific concepts:</w:t>
      </w:r>
      <w:r>
        <w:t xml:space="preserve"> framework, contribute, sustainable; EU scope not established. This is a provisional connection, not an outcome finding.</w:t>
      </w:r>
    </w:p>
    <w:p>
      <w:pPr>
        <w:pStyle w:val="SourceNote"/>
      </w:pPr>
      <w:r>
        <w:rPr>
          <w:b/>
        </w:rPr>
        <w:t>Available abstract (not full text):</w:t>
      </w:r>
      <w:r>
        <w:t xml:space="preserve"> This report evaluates how physical education, physical activity and sport-related policies might contribute to the Sustainable Development Goals (SDGs), providing a baseline for measurement. It represents the first attempt to develop a sport and SDG measurement tool, offering an innovative framework for assessing the impact of sports on sustainable development.</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pStyle w:val="Heading2"/>
      </w:pPr>
      <w:r>
        <w:t>817.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2026:</w:t>
      </w:r>
      <w:r>
        <w:t xml:space="preserve"> New Zeolitic Imidazolate Framework‐Derived N‐Doped Carbon LiCl Composites for Sorption Thermal Batteries Utilizing Solar Energy — https://doi.org/10.1002/cey2.70256</w:t>
      </w:r>
    </w:p>
    <w:p>
      <w:pPr/>
      <w:r>
        <w:rPr>
          <w:b/>
        </w:rPr>
        <w:t>Shared claim-specific concepts:</w:t>
      </w:r>
      <w:r>
        <w:t xml:space="preserve"> show, incipient, decrease; EU scope not established. This is a provisional connection, not an outcome finding.</w:t>
      </w:r>
    </w:p>
    <w:p>
      <w:pPr>
        <w:pStyle w:val="SourceNote"/>
      </w:pPr>
      <w:r>
        <w:rPr>
          <w:b/>
        </w:rPr>
        <w:t>Available abstract (not full text):</w:t>
      </w:r>
      <w:r>
        <w:t xml:space="preserve"> ABSTRACT The potential of sorption thermal batteries utilizing solar energy is increasingly recognized, but developing cost‐effective, stable, and high‐performance storage materials remains a major challenge. Here, we demonstrate for the first time the use of zeolitic imidazolate framework (ZIF)‐derived nitrogen‐doped carbons (ZDCs) as hosts for LiCl‐embedded water sorbent composites. ZIF‐90 and ZIF‐94 were synthesized in acetone–water solvent mixtures and subsequently pyrolyzed at 950°C in argon to obtain N‐doped disordered carbons with specific surface areas up to 842 m 2 g −1 , hierarchical porosity, and maximal water adsorption capacity of up to 0.69 g g −1 . The structural features of the carbons were elucidated by transmission electron microscopy, X‐ray photoelectron spectroscopy, Raman, and solid‐state nuclear magnetic resonance spectroscopy. The composites with LiCl, prepared via incipient wetness impregnation, exhibited excellent cycling stability and showed no deliquescence or decrease in water uptake over 50 cycles under adsorption at 30°C, desorption at 120°C, and condensation/evaporation at 10°C. Remarkably, under these conditions, an energy storage density of 966.9 kWh m −3 can be achieved. These results show that ZDC‐LiCl composites represent a promising class of stable, high‐performance materials for efficient sorption thermal batteries.</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2025:</w:t>
      </w:r>
      <w:r>
        <w:t xml:space="preserve"> DESIGN AND EXPERIMENTAL OPTIMIZATION OF A CONTINUOUS VIBRATION-BASED LYCIUM BARBARUM L. HARVESTING DEVICE — https://doi.org/10.35633/inmateh-77-56</w:t>
      </w:r>
    </w:p>
    <w:p>
      <w:pPr/>
      <w:r>
        <w:rPr>
          <w:b/>
        </w:rPr>
        <w:t>Shared claim-specific concepts:</w:t>
      </w:r>
      <w:r>
        <w:t xml:space="preserve"> rate, findings, existing, compared; EU scope not established. This is a provisional connection, not an outcome finding.</w:t>
      </w:r>
    </w:p>
    <w:p>
      <w:pPr>
        <w:pStyle w:val="SourceNote"/>
      </w:pPr>
      <w:r>
        <w:rPr>
          <w:b/>
        </w:rPr>
        <w:t>Available abstract (not full text):</w:t>
      </w:r>
      <w:r>
        <w:t xml:space="preserve"> Compared with manual harvesting of Lycium barbarum, existing large-scale harvesters have achieved a certain degree of efficiency improvement. Nevertheless, their intermittent operation mode remains a bottleneck restricting overall harvesting performance. To address this issue, a continuous vibration-based L. barbarum harvesting device was developed in this study. Plackett–Burman experiments indicated that vibration angle, vibration frequency, and the spacing between the upper and lower vibrating rods were the primary factors affecting the harvesting performance. Further parameter optimization experiments were carried out by considering the harvesting rate of ripe fruits, the mis-harvesting rate of unripe fruits, and the damage rate of ripe fruits. The optimal parameter combination was determined as a vibration angle of 46°, a vibration frequency of 9 Hz, and a spacing of 62 mm between the upper and lower vibrating rods. Based on these parameters, performance verification tests were conducted. The results showed that the harvesting rate of ripe fruits reached 85.40%, the mis-harvesting rate of unripe fruits was 4.61%, and the damage rate of ripe fruits was 3.19%. These findings provide technical and equipment support for the development of continuous mechanized harvesting of L. barbarum.</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2024:</w:t>
      </w:r>
      <w:r>
        <w:t xml:space="preserve"> Improving the productivity and competitiveness of banana plantations through efficient irrigation systems — https://doi.org/10.24294/jipd.v8i11.8228</w:t>
      </w:r>
    </w:p>
    <w:p>
      <w:pPr/>
      <w:r>
        <w:rPr>
          <w:b/>
        </w:rPr>
        <w:t>Shared claim-specific concepts:</w:t>
      </w:r>
      <w:r>
        <w:t xml:space="preserve"> rate, incipient, increases; EU scope not established. This is a provisional connection, not an outcome finding.</w:t>
      </w:r>
    </w:p>
    <w:p>
      <w:pPr>
        <w:pStyle w:val="SourceNote"/>
      </w:pPr>
      <w:r>
        <w:rPr>
          <w:b/>
        </w:rPr>
        <w:t>Available abstract (not full text):</w:t>
      </w:r>
      <w:r>
        <w:t xml:space="preserve"> The Urabá region, known for its banana production, faces significant challenges due to seasonal droughts that affect crop productivity. The implementation of innovative technologies, such as efficient irrigation systems, is presented as a potential solution to improve the sustainability and profitability of plantations. This study validates the implementation of an irrigation system in a banana (Musa spp.) plantation located in the region of Urabá, in order to meet the water needs of the crop during periods of drought. A case study was carried out in a banana plantation in the region of Urabá, considering the maximum and minimum monthly losses due to drought, and a random sample was used to measure the weight before and after the implementation of the irrigation system, in order to carry out an economic analysis. The study shows that the implementation of a sprinkler irrigation system increases the average weight of the harvested bunches by 20%, which is reflected in an annual increase of 30.3% of exported boxes, obtaining satisfactory results in terms of internal rate of return, cost-benefit ratio and return on investment. The implementation of irrigation systems makes it possible to increase competitiveness in international markets, especially in regions such as Urabá, where the use of these technologies is still incipient.</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2023:</w:t>
      </w:r>
      <w:r>
        <w:t xml:space="preserve"> Restorative diets: a methodological exploration comparing historical and contemporary salmon harvest rates — https://doi.org/10.5751/es-13870-280229</w:t>
      </w:r>
    </w:p>
    <w:p>
      <w:pPr/>
      <w:r>
        <w:rPr>
          <w:b/>
        </w:rPr>
        <w:t>Shared claim-specific concepts:</w:t>
      </w:r>
      <w:r>
        <w:t xml:space="preserve"> harvest, findings, existing, compared, historical; EU scope not established. This is a provisional connection, not an outcome finding.</w:t>
      </w:r>
    </w:p>
    <w:p>
      <w:pPr>
        <w:pStyle w:val="SourceNote"/>
      </w:pPr>
      <w:r>
        <w:rPr>
          <w:b/>
        </w:rPr>
        <w:t>Available abstract (not full text):</w:t>
      </w:r>
      <w:r>
        <w:t xml:space="preserve"> Along the coast of what has come to be known as British Columbia, First Nations face persistent challenges related to the state of the fisheries on which they depend. Fisheries management strategies imposed by the colonial-through-to-federal governance regimes have been implicated in contributing to the challenges, and are rejected by many coastal First Nations who are reasserting governance authority over their fisheries. In particular, the current management approach continues to set ceilings on First Nations’ harvest rates (e.g., food, social, and ceremonial allocation). Too often the evidence used to determine such ceilings reflects diets and fishing practices deeply disrupted by social-ecological change, including, but not limited to, colonialism and climate change. Through this paper we use the example of salmon to propose harvest rates more consistent with less disrupted diets, what we refer to as restorative diets. Methodologically, we use empirical records on historical diets as a basis for envisioning what restorative diets might look like and for considering the magnitude of the difference between harvest rates consistent with such diets compared to contemporary diets. We do so by developing a model of restorative harvest rates in reference to caloric needs, the proportion of diets historically contributed by salmon, and the amount of salmon harvested per calorie, wh</w:t>
      </w:r>
    </w:p>
    <w:p>
      <w:pPr>
        <w:pStyle w:val="Heading2"/>
      </w:pPr>
      <w:r>
        <w:t>818.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2024:</w:t>
      </w:r>
      <w:r>
        <w:t xml:space="preserve"> Are European Elections Still Second-Order? A Study of Spain and Portugal — https://doi.org/10.52224/21845263/rev42a2</w:t>
      </w:r>
    </w:p>
    <w:p>
      <w:pPr/>
      <w:r>
        <w:rPr>
          <w:b/>
        </w:rPr>
        <w:t>Shared claim-specific concepts:</w:t>
      </w:r>
      <w:r>
        <w:t xml:space="preserve"> order, question; EU scope visible. This is a provisional connection, not an outcome finding.</w:t>
      </w:r>
    </w:p>
    <w:p>
      <w:pPr>
        <w:pStyle w:val="SourceNote"/>
      </w:pPr>
      <w:r>
        <w:rPr>
          <w:b/>
        </w:rPr>
        <w:t>Available abstract (not full text):</w:t>
      </w:r>
      <w:r>
        <w:t xml:space="preserve"> This paper addresses the issue of ‘second order’ elections as applied to the electoral results of the 2019 and 2024 European Parliament elections in the Iberian states. Specifically, it aims to analyse whether these elections can be classified within this category. To achieve this objective and answer the research question, we have analysed through descriptive statistics the information related to three study variables extracted from the conceptual model adopted: level of electoral participation; strategic or affective orientation and motivation of the vote; level of support for the ruling party. The results show contrasting trends in relation to the expected values. In conclusion, we must point out the impossibility of effectively framing the elections analysed in the second-order category. We can affirm that the analytical model traditionally used presents important limitations in contexts of change and recomposition in party systems.</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2023:</w:t>
      </w:r>
      <w:r>
        <w:t xml:space="preserve"> Out-of-round railway wheels and polygonisation — https://doi.org/10.1080/00423114.2023.2194544</w:t>
      </w:r>
    </w:p>
    <w:p>
      <w:pPr/>
      <w:r>
        <w:rPr>
          <w:b/>
        </w:rPr>
        <w:t>Shared claim-specific concepts:</w:t>
      </w:r>
      <w:r>
        <w:t xml:space="preserve"> potential, main, material; EU scope not established. This is a provisional connection, not an outcome finding.</w:t>
      </w:r>
    </w:p>
    <w:p>
      <w:pPr>
        <w:pStyle w:val="SourceNote"/>
      </w:pPr>
      <w:r>
        <w:rPr>
          <w:b/>
        </w:rPr>
        <w:t>Available abstract (not full text):</w:t>
      </w:r>
      <w:r>
        <w:t xml:space="preserve"> Out-of-roundness in railway wheels, in particular polygonal wear resulting in regular, multi-lobed, out-of-round wheels, has become a significant problem in recent years.It is of concern to railway operators due to the increased noise and vibration it can cause.This polygonisation is caused by cyclic wear but the exact mechanism leading to this type of wear is not fully understood.It appears to be the result of dynamic linking between a resonance or other periodic excitation in the coupled vehicle-track system and the existing wear at the wheel.This paper reviews the developing body of research being carried out in many countries by research groups, manufacturers and operators.Some examples of polygonisation on different types of railway vehicles are reported including feight trains, urban transit trains and high-speed trains.The main theories for the formation mechanisms are presented and the current measurement methods, computer simulation techniques and the effects and potential mitigation methods are reviewed.In parallel, the mechanisms and consequences of discrete wheel tread irregularities, such as wheel flats and material fall-out due to rolling contact fatigue cracking, are addressed.</w:t>
      </w:r>
    </w:p>
    <w:p>
      <w:pPr/>
      <w:r>
        <w:rPr>
          <w:b/>
        </w:rPr>
        <w:t>POSSIBLE 2023:</w:t>
      </w:r>
      <w:r>
        <w:t xml:space="preserve"> Round Robin based Arbitration Mechanism for Signaling Approach based Router Architecture — https://doi.org/10.17762/ijritcc.v11i10.8666</w:t>
      </w:r>
    </w:p>
    <w:p>
      <w:pPr/>
      <w:r>
        <w:rPr>
          <w:b/>
        </w:rPr>
        <w:t>Shared claim-specific concepts:</w:t>
      </w:r>
      <w:r>
        <w:t xml:space="preserve"> approach, explore, value; EU scope not established. This is a provisional connection, not an outcome finding.</w:t>
      </w:r>
    </w:p>
    <w:p>
      <w:pPr>
        <w:pStyle w:val="SourceNote"/>
      </w:pPr>
      <w:r>
        <w:rPr>
          <w:b/>
        </w:rPr>
        <w:t>Available abstract (not full text):</w:t>
      </w:r>
      <w:r>
        <w:t xml:space="preserve"> In Network-on-Chip the effectiveness of the network resource allocation is demonstrated by the flow control mechanism. There are two types of flow control mechanisms: buffered and bufferless. Compared to buffered flow control methods, buffer less flow control mechanisms are easier to use, need less power, and take up less space. When there are congestion and resource conflicts, it experiences higher packet loss and packet misrouting inside the network. A good buffered control mechanism useful as it overcomes the limitations of buffer less mechanism. There are numerous buffered and bufferless flow control methods available. In this paper, signaling-based Virtual Output Queue Router Arbiter Mechanism is used to explore credit-based flow control. This mechanism worked on new concept that is “stress value”. This information is generated in the form of credit whenever any input buffer has free space. Then, using this credit data, the node's stress value is determined. Free buffer space takes precedence over stress value if it is bigger. The stress value will increase if there is less available buffer space. To handle the congestion problem, the signaling block then sends this stress value to a neighboring router. To help the arbitrator make a more accurate decision, the crediting system constantly operates in tandem with arbitration.</w:t>
      </w:r>
    </w:p>
    <w:p>
      <w:pPr/>
      <w:r>
        <w:rPr>
          <w:b/>
        </w:rPr>
        <w:t>POSSIBLE 2023:</w:t>
      </w:r>
      <w:r>
        <w:t xml:space="preserve"> Disrupting European politics? Rhetorical analysis of MEP Manon Aubry’s politicising strategies in Twitter — https://doi.org/10.1080/14782804.2023.2177836</w:t>
      </w:r>
    </w:p>
    <w:p>
      <w:pPr/>
      <w:r>
        <w:rPr>
          <w:b/>
        </w:rPr>
        <w:t>Shared claim-specific concepts:</w:t>
      </w:r>
      <w:r>
        <w:t xml:space="preserve"> approach, question, potential, material; EU scope visible. This is a provisional connection, not an outcome finding.</w:t>
      </w:r>
    </w:p>
    <w:p>
      <w:pPr>
        <w:pStyle w:val="SourceNote"/>
      </w:pPr>
      <w:r>
        <w:rPr>
          <w:b/>
        </w:rPr>
        <w:t>Available abstract (not full text):</w:t>
      </w:r>
      <w:r>
        <w:t xml:space="preserve"> This article takes a conceptual approach to EU politicisation and analyses the empirical case study of MEP Manon Aubry’s use of Twitter as political activity from a rhetorical perspective. A self-proclaimed ‘activist deputy’ representing La France Insoumise is illustrated of using politicising strategies in Twitter after the European elections in 2019 to assume the representative role of a ‘disruptive outsider’. Here rhetorical analysis is used to answer the question: to what extent Aubry’s use of Twitter was a case of disruption, and whether or not it contributes to EU politicisation? Aubry, who was threatened of a sanction by the President of the European Parliament for inciting the occupation of the plenary by Extinction Rebellion, argued that her political freedom and free speech were under threat. Although the analysis is limited to only one MEP, examining the case study is an effort into conceptualising and advancing future research on disruption in European politics with a contribution in the EU politicisation literature. The aim here is not to provide evidence of how widespread this kind of politicisation is, but it offers material for further research on political careers in the EP aiming at understanding the role of newcomers as potential ‘disruptive outsiders’.</w:t>
      </w:r>
    </w:p>
    <w:p>
      <w:pPr/>
      <w:r>
        <w:rPr>
          <w:b/>
        </w:rPr>
        <w:t>POSSIBLE 2023:</w:t>
      </w:r>
      <w:r>
        <w:t xml:space="preserve"> Why we need a gradient approach to word order — https://doi.org/10.1515/ling-2021-0098</w:t>
      </w:r>
    </w:p>
    <w:p>
      <w:pPr/>
      <w:r>
        <w:rPr>
          <w:b/>
        </w:rPr>
        <w:t>Shared claim-specific concepts:</w:t>
      </w:r>
      <w:r>
        <w:t xml:space="preserve"> approach, order, potential; EU scope not established. This is a provisional connection, not an outcome finding.</w:t>
      </w:r>
    </w:p>
    <w:p>
      <w:pPr>
        <w:pStyle w:val="SourceNote"/>
      </w:pPr>
      <w:r>
        <w:rPr>
          <w:b/>
        </w:rPr>
        <w:t>Available abstract (not full text):</w:t>
      </w:r>
      <w:r>
        <w:t xml:space="preserve"> Abstract This article argues for a gradient approach to word order, which treats word order preferences, both within and across languages, as a continuous variable. Word order variability should be regarded as a basic assumption, rather than as something exceptional. Although this approach follows naturally from the emergentist usage-based view of language, we argue that it can be beneficial for all frameworks and linguistic domains, including language acquisition, processing, typology, language contact, language evolution and change, and formal approaches. Gradient approaches have been very fruitful in some domains, such as language processing, but their potential is not fully realized yet. This may be due to practical reasons. We discuss the most pressing methodological challenges in corpus-based and experimental research of word order and propose some practical solutions.</w:t>
      </w:r>
    </w:p>
    <w:p>
      <w:pPr/>
      <w:r>
        <w:rPr>
          <w:b/>
        </w:rPr>
        <w:t>POSSIBLE 2023:</w:t>
      </w:r>
      <w:r>
        <w:t xml:space="preserve"> Homopositivity Across Europe: Predictors, Pathways, and Moderators — https://doi.org/10.1007/s10508-023-02531-8</w:t>
      </w:r>
    </w:p>
    <w:p>
      <w:pPr/>
      <w:r>
        <w:rPr>
          <w:b/>
        </w:rPr>
        <w:t>Shared claim-specific concepts:</w:t>
      </w:r>
      <w:r>
        <w:t xml:space="preserve"> approach, order, key, include; EU scope visible. This is a provisional connection, not an outcome finding.</w:t>
      </w:r>
    </w:p>
    <w:p>
      <w:pPr>
        <w:pStyle w:val="SourceNote"/>
      </w:pPr>
      <w:r>
        <w:rPr>
          <w:b/>
        </w:rPr>
        <w:t>Available abstract (not full text):</w:t>
      </w:r>
      <w:r>
        <w:t xml:space="preserve">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pPr>
        <w:pStyle w:val="Heading2"/>
      </w:pPr>
      <w:r>
        <w:t>819.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significant, shape, not, shifts;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2026:</w:t>
      </w:r>
      <w:r>
        <w:t xml:space="preserve"> Preschool Inclusion: Factors Shaping Teachers’ Attitudes — https://doi.org/10.15507/1991-9468.26303.593-610</w:t>
      </w:r>
    </w:p>
    <w:p>
      <w:pPr/>
      <w:r>
        <w:rPr>
          <w:b/>
        </w:rPr>
        <w:t>Shared claim-specific concepts:</w:t>
      </w:r>
      <w:r>
        <w:t xml:space="preserve"> objective, significant, factors; EU scope not established. This is a provisional connection, not an outcome finding.</w:t>
      </w:r>
    </w:p>
    <w:p>
      <w:pPr>
        <w:pStyle w:val="SourceNote"/>
      </w:pPr>
      <w:r>
        <w:rPr>
          <w:b/>
        </w:rPr>
        <w:t>Available abstract (not full text):</w:t>
      </w:r>
      <w:r>
        <w:t xml:space="preserve"> Introduction. The importance of developing an inclusive educational environment focused on ensuring equal development opportunities for all children determines the relevance of this study. The research problem is the lack of information on the conditions under which teachers’ attitudes toward inclusion in preschool education are shaped. The objective is to analyze the factors mediating preschool teachers’ attitudes toward the inclusion of children with special educational needs.Materials and Methods. The study was conducted in the spring and summer of 2024 using an online survey of 2,595 preschool teachers from seven federal districts. The relationship between the respondents’ socio-demographic characteristics and integrated indicators of attitudes toward inclusion was examined using linear regression analysis. Respondents’ perceptions of the organizational environment were examined using principal component analysis. The Teacher Attitudes to Inclusion scale was used, along with an adapted 11-item questionnaire assessing teachers’ attitudes toward inclusion across three original subscales (MBI, QES, CAT).Results. Respondents’ attitudes toward preschool inclusion were associated with their age, experience working with children under six, and education level. A regression model revealed a point effect of experience. Respondents in older age groups and with secondary vocational an</w:t>
      </w:r>
    </w:p>
    <w:p>
      <w:pPr/>
      <w:r>
        <w:rPr>
          <w:b/>
        </w:rPr>
        <w:t>POSSIBLE 2026:</w:t>
      </w:r>
      <w:r>
        <w:t xml:space="preserve"> On national and civilizational identification: polemical notes on R. Brubaker’s concept, drawing on the ideas of L.M. Drobizheva — https://doi.org/10.22378/he.2026-11-1.101-115</w:t>
      </w:r>
    </w:p>
    <w:p>
      <w:pPr/>
      <w:r>
        <w:rPr>
          <w:b/>
        </w:rPr>
        <w:t>Shared claim-specific concepts:</w:t>
      </w:r>
      <w:r>
        <w:t xml:space="preserve"> identification, outline, areas; EU scope visible. This is a provisional connection, not an outcome finding.</w:t>
      </w:r>
    </w:p>
    <w:p>
      <w:pPr>
        <w:pStyle w:val="SourceNote"/>
      </w:pPr>
      <w:r>
        <w:rPr>
          <w:b/>
        </w:rPr>
        <w:t>Available abstract (not full text):</w:t>
      </w:r>
      <w:r>
        <w:t xml:space="preserve"> This article is intended as a polemical essay. The presented points have two main objectives. The first one is to outline the areas of agreement and scholarly disagreement between the author and the ideas of renowned ethnosociologist Rogers Brubaker, expressed in his 2017 article on two types of political identity (nationalist and civilizational). The paper argues with the American sociologist that civilizationalism is supposedly displacing nationalism in the political strategy of right-wing populists in Europe. The author is even more dubious about attempts to equate the civilizational ideology of European right-wing populists with the civilizational ideas of Russian right-wing forces. From the author’s point of view, such an equation is inconsistent with reality and fails to take into account Russia’s historical and cultural characteristics. Secondly, the article is motivated by the author’s desire to remind the ethnosociological community of a number of important theoretical and methodological propositions by L.M. Drobizheva regarding the particular aspects of civic and state identification in Russia and the differences between Russian principles of such identification and those that developed within Western political culture. The distinguished Russian sociologist and ethnologist’s ideas are extremely relevant in the context of contemporary discussions about the specifics of</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2025:</w:t>
      </w:r>
      <w:r>
        <w:t xml:space="preserve"> Personality and the Use of Artificial Intelligence as Factors Shaping Decision-Making — https://doi.org/10.35808/ersj/4292</w:t>
      </w:r>
    </w:p>
    <w:p>
      <w:pPr/>
      <w:r>
        <w:rPr>
          <w:b/>
        </w:rPr>
        <w:t>Shared claim-specific concepts:</w:t>
      </w:r>
      <w:r>
        <w:t xml:space="preserve"> objective, attempt, factors, shape, polish; EU scope not established. This is a provisional connection, not an outcome finding.</w:t>
      </w:r>
    </w:p>
    <w:p>
      <w:pPr>
        <w:pStyle w:val="SourceNote"/>
      </w:pPr>
      <w:r>
        <w:rPr>
          <w:b/>
        </w:rPr>
        <w:t>Available abstract (not full text):</w:t>
      </w:r>
      <w:r>
        <w:t xml:space="preserve"> Purpose: The main objective of the article, identified with the research problem, was to identify the relationships between personality and decision-making.An attempt was also made to determine, in the light of the literature on the subject, whether personality and the use of artificial intelligence shape decision-making.Design/Methodology/Approach: In order to solve the research problem and verify the hypothesis that personality and the use of artificial intelligence shape decision-making, the methods of analysis and criticism of literature, diagnostic survey and statistical methods were used.Empirical, quantitative and qualitative research was conducted using a survey on a sample of 4,217 people from Generations X, Y and Z.The Polish adaptation of the Ten Item Personality Inventory (TIPI) -TIPI-PL was used for personality assessment.Decision-making ability, like other competency variables, was measured on the basis of self-assessment on a seven-point Likert scale.The relationships between variables were examined using Pearson's linear correlation coefficient.Findings: It was found that people who rate their decision-making abilities higher also rate their willingness to run their own business, their ability to work/run a business in Economy 4.0, their commitment to their work and employer higher, but also feel more "overwhelmed" by technological progress.It turned out that th</w:t>
      </w:r>
    </w:p>
    <w:p>
      <w:pPr/>
      <w:r>
        <w:rPr>
          <w:b/>
        </w:rPr>
        <w:t>POSSIBLE 2025:</w:t>
      </w:r>
      <w:r>
        <w:t xml:space="preserve"> Orientalist Translation of the Holy Qur‘an: Between Objective Cognitive Neutrality and Ideological Employment — https://doi.org/10.56334/sei/8.5.02</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This article aims to uncover the underlying motivations behind the interest of Orientalists in translating the Quran.It distinguishes between the cognitive, cultural, and religious aspects of these translations and the potential ideological and colonial backgrounds they may carry.In this context, the research addresses several points that enable a better understanding of the nature and goals of these translations, including an analysis of the general features distinguishing Orientalist translations of the Quran, and the identification of the methodologies used in their production-whether they adhere to scientific accuracy and objectivity, or lean toward bias and subjective viewpoints.The article also discusses the major consequences of transferring the Quranic text into European languages, attempting to determine whether these translations aim to interpret the Quran as a religious reference, or if they seek to shape and frame the consciousness of Muslim populations in ways that serve projects of dominance and control.</w:t>
      </w:r>
    </w:p>
    <w:p>
      <w:pPr>
        <w:pStyle w:val="Heading2"/>
      </w:pPr>
      <w:r>
        <w:t>820.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2026:</w:t>
      </w:r>
      <w:r>
        <w:t xml:space="preserve"> Predicting Tesla’s stock based on machine learning — https://doi.org/10.54097/v4g7nt55</w:t>
      </w:r>
    </w:p>
    <w:p>
      <w:pPr/>
      <w:r>
        <w:rPr>
          <w:b/>
        </w:rPr>
        <w:t>Shared claim-specific concepts:</w:t>
      </w:r>
      <w:r>
        <w:t xml:space="preserve"> based, current, takes, stock; EU scope not established. This is a provisional connection, not an outcome finding.</w:t>
      </w:r>
    </w:p>
    <w:p>
      <w:pPr>
        <w:pStyle w:val="SourceNote"/>
      </w:pPr>
      <w:r>
        <w:rPr>
          <w:b/>
        </w:rPr>
        <w:t>Available abstract (not full text):</w:t>
      </w:r>
      <w:r>
        <w:t xml:space="preserve"> This article emphasizes that when using economic theories to predict stocks, a certain logical sequence needs to be followed. Among the many well-known stocks, Tesla's stock is highly volatile. If the stock prediction can be relatively accurate, it will better demonstrate the feasibility of using machine learning to predict stocks. Therefore, the paper takes the prediction of Tesla's stock using machine learning as an example. First, machine learning was used to analyze the data distribution, and then it was used to analyze the data relationships. Based on the results of the first two steps, the model needed for prediction was derived, and then the prediction model (LSTM) was used to accurately predict the stock price fluctuations of Tesla over the past five years. The experimental results indicate that the model has good predictive performance. Finally, it points out the current shortcomings of using machine learning to predict stocks and the future directions for improvement.</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current, state, outcomes,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pStyle w:val="Heading2"/>
      </w:pPr>
      <w:r>
        <w:t>821.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2026:</w:t>
      </w:r>
      <w:r>
        <w:t xml:space="preserve"> Virtual reality to aid recovery from critical illness: a feasibility trial of a rehabilitation intervention co-developed with key stakeholders — https://doi.org/10.1136/bmjopen-2026-119613</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Improved survival from critical illness has led to an increase in patients with long-term physical and psychological morbidity. Postintensive care rehabilitation services are variable and it is recognised that there is a need for inclusive and accessible interventions to support recovery after critical illness. We engaged with people with lived experience of critical care admission to co-produce a virtual reality mediated intervention (ViRtual REality to AiD recoverY post intensive care unit (ICU) (VR READY). OBJECTIVES: included assessment of the feasibility and acceptability of selected outcome measures for use in future efficacy and cost-effectiveness studies for ICU recovery. DESIGN: The co-developed intervention (VR READY) was evaluated in a single arm, non-randomised feasibility trial with embedded process evaluation in patients leaving critical care. SETTING: District General Hospital in Wales. PARTICIPANTS: Adults who had been admitted to an ICU requiring organ support for more than 48 hours during their current hospital admission. Patients were approached at the point of stepping down from the ICU to a general ward (±48 hours). 87 patients were screened for eligibility, 37 were approached and 22 participants were recruited. INTERVENTION: Participants were asked to use VR READY for at least 5 min per day for 14 days. PRIMARY AND SECONDARY OUTCOME MEASURES: T</w:t>
      </w:r>
    </w:p>
    <w:p>
      <w:pPr/>
      <w:r>
        <w:rPr>
          <w:b/>
        </w:rPr>
        <w:t>POSSIBLE 2026:</w:t>
      </w:r>
      <w:r>
        <w:t xml:space="preserve"> Feasibility and Acceptability of Link Worker–Led Social Prescribing for Urban Older Adults at Risk of Social Isolation: A Feasibility Study in Japan — https://doi.org/10.1155/hsc/1973687</w:t>
      </w:r>
    </w:p>
    <w:p>
      <w:pPr/>
      <w:r>
        <w:rPr>
          <w:b/>
        </w:rPr>
        <w:t>Shared claim-specific concepts:</w:t>
      </w:r>
      <w:r>
        <w:t xml:space="preserve"> feasibility, acceptability; EU scope not established. This is a provisional connection, not an outcome finding.</w:t>
      </w:r>
    </w:p>
    <w:p>
      <w:pPr>
        <w:pStyle w:val="SourceNote"/>
      </w:pPr>
      <w:r>
        <w:rPr>
          <w:b/>
        </w:rPr>
        <w:t>Available abstract (not full text):</w:t>
      </w:r>
      <w:r>
        <w:t xml:space="preserve"> Background Social prescribing connects patients to nonmedical support services to improve their social and emotional well‐being. However, this approach has yet to be systematically implemented and evaluated in Japan. This study evaluated the acceptability and feasibility of a pilot social prescribing programme for urban older adults at high risk of social isolation in Japan. Methods This single‐arm study involved individuals in Suginami Ward of Tokyo aged ≥ 65 years with chronic diseases who were at high risk of social isolation. Participants received social prescribing, comprising referrals to social resources by link workers, utilisation of public baths and monthly group walking activities. Link workers, community navigators providing preventive and continuity‐based support between healthcare and community settings (distinct from social workers who specialise in high‐risk cases and statutory or institutional interventions), connected participants to local social resources. Acceptability indicators were participation, eligibility and completion rates, while exploratory outcome measures included a binary social isolation criterion (face‐to‐face or non–face‐to‐face contact less than once per week), the Japanese version of the Subjective Happiness Scale and the Eleven‐Check Questionnaire for frailty. Results Of the 24 potential candidates, 22 participated in the initial assessmen</w:t>
      </w:r>
    </w:p>
    <w:p>
      <w:pPr/>
      <w:r>
        <w:rPr>
          <w:b/>
        </w:rPr>
        <w:t>POSSIBLE 2026:</w:t>
      </w:r>
      <w:r>
        <w:t xml:space="preserve"> From Colonial Support to Strategic Replacement: U.S. Foreign Aid and The Transformation of American Policy in Vietnam, 1949–1955 — https://doi.org/10.5281/zenodo.21835769</w:t>
      </w:r>
    </w:p>
    <w:p>
      <w:pPr/>
      <w:r>
        <w:rPr>
          <w:b/>
        </w:rPr>
        <w:t>Shared claim-specific concepts:</w:t>
      </w:r>
      <w:r>
        <w:t xml:space="preserve"> aid, informed, united; EU scope not established. This is a provisional connection, not an outcome finding.</w:t>
      </w:r>
    </w:p>
    <w:p>
      <w:pPr>
        <w:pStyle w:val="SourceNote"/>
      </w:pPr>
      <w:r>
        <w:rPr>
          <w:b/>
        </w:rPr>
        <w:t>Available abstract (not full text):</w:t>
      </w:r>
      <w:r>
        <w:t xml:space="preserve"> This article examines the transformation of U.S. foreign aid to Vietnam between 1949 and 1955, arguing that American assistance evolved beyond military and economic support into a mechanism of strategic replacement through which the United States gradually supplanted French influence. Existing scholarship has largely interpreted U.S. aid during the First Indochina War either as an extension of Cold War containment or as financial support for French military operations, paying comparatively little attention to the institutional processes through which aid reshaped political authority and administrative governance. Drawing upon archival materials from Vietnam and the United States, official government publications, diplomatic records, and statistical evidence, the study adopts a qualitative historical approach informed by historical institutionalism. The findings demonstrate that organizations such as the Military Assistance Advisory Group (MAAG), the Mutual Security Agency (MSA), the United States Operations Mission (USOM), and the Counterpart Fund created an integrated institutional framework through which Washington expanded its influence over military assistance, financial governance, and state administration. Although U.S. aid failed to secure French victory in the First Indochina War, it established the institutional foundations that enabled the United States to emerge as t</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2025:</w:t>
      </w:r>
      <w:r>
        <w:t xml:space="preserve"> Alpha-Stim AID Cranial Electrotherapy Stimulation (CES) for Anxiety in Chronic Breathlessness: A Qualitative Exploration of Feasibility, Usability, and Acceptability — https://doi.org/10.4236/psych.2025.1611075</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Anxiety is common in people living with chronic breathlessness. Cranial Electrotherapy Stimulation (CES) with the Alpha-Stim Anxiety, Insomnia, Depression (AID) has evidence of effectiveness in the treatment of anxiety disorders, but little is known about its feasibility, usability, and acceptability for people living with anxiety associated with chronic breathlessness. Aim: To explore individuals’ experiences of using Alpha-Stim AID to manage their anxiety associated with their breathlessness. Methods: Participants were recruited from two hospices, with advanced chronic respiratory disease and breathlessness and anxiety, and followed either a Set Dose Regime (SDR) or a Personalised Dose Regime (PDR). Semi-structured interview with 15 participants who had used Alpha-Stim AID (SDR and/or PDR) daily for eight weeks were analysed thematically using the predefined domains of feasibility, usability, and acceptability. Results: Feasibility: the Alpha-Stim AID was readily integrated into daily routines, providing a valued hour of calmness and fostering adherence to Alpha-Stim AID use. Usability: most participants reported benefits including reduced anxiety, improved mood, better sleep, and subtle mindset shifts such as cognitive reframing, although a minority reported limited impact. Acceptability: The device was perceived as simple to use and intuitive and associated with</w:t>
      </w:r>
    </w:p>
    <w:p>
      <w:pPr/>
      <w:r>
        <w:rPr>
          <w:b/>
        </w:rPr>
        <w:t>POSSIBLE 2025:</w:t>
      </w:r>
      <w:r>
        <w:t xml:space="preserve"> A decision aid is not the quick fix for improving shared decision-making in advanced Parkinson’s disease: results of a mixed methods feasibility study — https://doi.org/10.1007/s00415-025-12972-x</w:t>
      </w:r>
    </w:p>
    <w:p>
      <w:pPr/>
      <w:r>
        <w:rPr>
          <w:b/>
        </w:rPr>
        <w:t>Shared claim-specific concepts:</w:t>
      </w:r>
      <w:r>
        <w:t xml:space="preserve"> aid, feasibility, acceptability; EU scope not established. This is a provisional connection, not an outcome finding.</w:t>
      </w:r>
    </w:p>
    <w:p>
      <w:pPr>
        <w:pStyle w:val="SourceNote"/>
      </w:pPr>
      <w:r>
        <w:rPr>
          <w:b/>
        </w:rPr>
        <w:t>Available abstract (not full text):</w:t>
      </w:r>
      <w:r>
        <w:t xml:space="preserve"> BACKGROUND: Choosing a device-assisted treatment for persons with Parkinson's disease (PwPD) is a complex decision. We developed a shared decision-making (SDM) intervention to facilitate this decision. In this study, we evaluate the feasibility of this intervention from the patients' perspective. METHODS: We performed a multi-center, mixed-methods feasibility study with an uncontrolled pre-post-intervention design. Five neurologists and seven Parkinson nurse specialists from five Dutch hospitals participated. We aimed to enroll 20 PwPD in the usual-care group receiving decision support as usual, and 20 PwPD receiving the SDM intervention. The intervention consisted of a patient decision aid and a training for professionals. We evaluated feasibility by measuring acceptability, level of implementation, efficacy and the study procedures. For data collection, we used questionnaires, interviews, cognitive testing, consultation recordings, fieldnotes, and usage of the patient decision aid. RESULTS: We included 19 PwPD in the usual-care group and 13 in the intervention group. Acceptability was good and implementation levels at the patient level were adequate: 92% of the participants used the patient decision aid, of which 77% the website and 69% the value clarification tool. The intervention improved PwPD's knowledge on treatment options, however, it did not improve SDM. The SDM inter</w:t>
      </w:r>
    </w:p>
    <w:p>
      <w:pPr>
        <w:pStyle w:val="Heading2"/>
      </w:pPr>
      <w:r>
        <w:t>822.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2026:</w:t>
      </w:r>
      <w:r>
        <w:t xml:space="preserve"> ENSURING CYBER RESILIENCE OF CRITICAL INFRASTRUCTURE FACILITIES IN THE EUROPEAN UNION: REGULATORY AND LEGAL ASPECT — https://doi.org/10.5281/zenodo.19383483</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Security is the basis for the European way of life. While the challenges of achieving and maintaining security have always been present, in recent years the security situation in the EU has become increasingly complex. The use of and dependence on information and communication technologies have become fundamental aspects in all sectors of economic activity and society in light of the ever increasing interconnectedness and interdependence of Member State public administrations, businesses and citizens across sectors and borders, simultaneously introducing possible vulnerabilities. The magnitude, frequency and impact of cybersecurity incidents, including supply chain attacks for the purposes of cyberespionage, ransomware or disruption, are increasing at Union and global level. They represent a major threat to the functioning of network and information systems. In view of the fast-evolving threat landscape, the threat of possible large-scale cybersecurity incidents causing significant disruption or damage to critical infrastructure demands a heightened preparedness of the Union’s cybersecurity framework. That threat goes beyond Russia’s war of aggression against Ukraine, and is likely to persist given the multiplicity of actors involved in current geopolitical tensions. Such incidents can impede the provision of public services as cyberattacks are frequently targeted at local, reg</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Transport Infrastructure and Policy Evaluation — https://doi.org/10.3386/w34096</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How beneficial are transport infrastructure investments and other transport policies?This chapter develops a framework whose goal is to survey and synthesize the answers that regional and urban economists have given to this question.Emphasis is placed on theoretical results about sufficient statistics that capture approximate impacts in both distorted and undistorted economies, as well as how new advances in data collection and causal inference are poised to leverage these theoretical results and thereby modernize and extend standard templates for infrastructure and policy evaluation.The chapter concludes with discussions of optimal policy, political economy, and practical matters of infrastructure provision.</w:t>
      </w:r>
    </w:p>
    <w:p>
      <w:pPr/>
      <w:r>
        <w:rPr>
          <w:b/>
        </w:rPr>
        <w:t>POSSIBLE 2025:</w:t>
      </w:r>
      <w:r>
        <w:t xml:space="preserve"> Reduction of Cloud infrastructure power consumption through dynamic resource provisioning — https://doi.org/10.70675/4d7ce7e9z1009z4296z8dd8z301febed8677</w:t>
      </w:r>
    </w:p>
    <w:p>
      <w:pPr/>
      <w:r>
        <w:rPr>
          <w:b/>
        </w:rPr>
        <w:t>Shared claim-specific concepts:</w:t>
      </w:r>
      <w:r>
        <w:t xml:space="preserve"> infrastructure, improving, other, around; EU scope not established. This is a provisional connection, not an outcome finding.</w:t>
      </w:r>
    </w:p>
    <w:p>
      <w:pPr>
        <w:pStyle w:val="SourceNote"/>
      </w:pPr>
      <w:r>
        <w:rPr>
          <w:b/>
        </w:rPr>
        <w:t>Available abstract (not full text):</w:t>
      </w:r>
      <w:r>
        <w:t xml:space="preserve"> The Information and Communication Technologies (ICT) sector contributes significantly to climate change. In 2020, this sector was responsible for between 2.1% and 3.9% of greenhouse gas (GHG) emissions. More than its current contribution, this sector is growing rapidly economically, and the GHG emissions and other environmental impacts it produces are also increasing. Datacenters are responsible for a non-negligible portion of the ICT sector's impact: estimated global emissions in 2020 vary between 18% and 45% depending on the study, part of which is linked to their electricity consumption. In 2024, the International Energy Agency (IEA) estimates the total electricity consumption of datacenters at 416TWh, or around 1.4% of global electricity consumption.In order to limit the growth in data centers power consumption, a number of energy efficiency methods have been introduced. These energy efficiency levers concern both IT equipment and technical infrastructures such as cooling systems. Nevertheless, today's datacenters are integrating increasing computing and storage power to meet growing user demand. Quite often, these infrastructures are sized by datacenter operators to meet the theoretical maximum demand in order to respect quality of service. This leads to an overall oversizing of cloud infrastructures, and consequently a waste of resources and electricity.Virtual Machine (V</w:t>
      </w:r>
    </w:p>
    <w:p>
      <w:pPr/>
      <w:r>
        <w:rPr>
          <w:b/>
        </w:rPr>
        <w:t>POSSIBLE 2025:</w:t>
      </w:r>
      <w:r>
        <w:t xml:space="preserve"> International standards for the provision of social services — https://doi.org/10.24144/2788-6018.2025.05.1.69</w:t>
      </w:r>
    </w:p>
    <w:p>
      <w:pPr/>
      <w:r>
        <w:rPr>
          <w:b/>
        </w:rPr>
        <w:t>Shared claim-specific concepts:</w:t>
      </w:r>
      <w:r>
        <w:t xml:space="preserve"> infrastructure, provision, important, improving; EU scope visible. This is a provisional connection, not an outcome finding.</w:t>
      </w:r>
    </w:p>
    <w:p>
      <w:pPr>
        <w:pStyle w:val="SourceNote"/>
      </w:pPr>
      <w:r>
        <w:rPr>
          <w:b/>
        </w:rPr>
        <w:t>Available abstract (not full text):</w:t>
      </w:r>
      <w:r>
        <w:t xml:space="preserve"> The article provides a description of international standards for social services as a component of individuals’ social protection. It was concluded that the formation of a system of social service standards as objects of legal definition within the framework of international/European acts is an important prerequisite for the development of effective legal mechanisms for the implementation of the rights of recipients of such services. It was noted that harmonization of national legislation with international and European standards contributes to Ukraine’s integration into the relevant legal space. It was emphasized that providing individuals/families with social services is an integral part of ensuring their decent standard of living. It was stressed that social standards relate to active policies concerning individuals (promoting employment, independence, self-reliance, etc.), as well as the development of a social services system (institutional capacity, involvement of various sectors, interaction between the state and civil society). It was emphasized that the use of best international practices and international social standards will contribute to improving social guarantees for vulnerable groups. It was noted that international acts define a broad framework of obligations standardized by the global community regarding the provision of social services in such a way that eac</w:t>
      </w:r>
    </w:p>
    <w:p>
      <w:pPr/>
      <w:r>
        <w:rPr>
          <w:b/>
        </w:rPr>
        <w:t>POSSIBLE 2025:</w:t>
      </w:r>
      <w:r>
        <w:t xml:space="preserve"> Decarbonising the Inland Waterways: A Review of Fuel-Agnostic Energy Provision and the Infrastructure Challenges — https://doi.org/10.3390/en18195146</w:t>
      </w:r>
    </w:p>
    <w:p>
      <w:pPr/>
      <w:r>
        <w:rPr>
          <w:b/>
        </w:rPr>
        <w:t>Shared claim-specific concepts:</w:t>
      </w:r>
      <w:r>
        <w:t xml:space="preserve"> infrastructure, provision, but, over; EU scope not established. This is a provisional connection, not an outcome finding.</w:t>
      </w:r>
    </w:p>
    <w:p>
      <w:pPr>
        <w:pStyle w:val="SourceNote"/>
      </w:pPr>
      <w:r>
        <w:rPr>
          <w:b/>
        </w:rPr>
        <w:t>Available abstract (not full text):</w:t>
      </w:r>
      <w:r>
        <w:t xml:space="preserve"> Inland Waterway Transport (IWT) is widely recognised as an energy-efficient freight mode, yet its decarbonisation is increasingly constrained not by propulsion technology, but by the absence of infrastructure capable of delivering clean energy where and when it is needed. This paper presents a structured review of over a decade of academic, policy and technical literature, identifying systemic gaps in current decarbonisation strategies. The analysis shows that most pilot projects are vessel-specific, and poorly scalable, with infrastructure planning rarely based on vessel-level energy demand data, leaving energy provision as an afterthought. Current approaches overemphasise technology readiness while neglecting the complexity of aligning supply chains, operational diversity, and infrastructure deployment. This review reframes IWT decarbonisation as a problem of provision, not propulsion. It calls for demand-led, demand driven, fuel agnostic infrastructure models and proposes a roadmap that integrates technical, operational, and policy considerations. Without rethinking energy access as a core design challenge—on par with vessel systems and regulatory standards—the sector risks investing in stranded assets and missing climate and modal shift targets. Aligning vessel operations with dynamic, scalable energy delivery systems is essential to achieve a commercially viable, fully dec</w:t>
      </w:r>
    </w:p>
    <w:p>
      <w:pPr>
        <w:pStyle w:val="Heading2"/>
      </w:pPr>
      <w:r>
        <w:t>823.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2025:</w:t>
      </w:r>
      <w:r>
        <w:t xml:space="preserve"> Exploring Environmental Unwellbeing - Wellbeing in Landscapes — https://openalex.org/W7204500890</w:t>
      </w:r>
    </w:p>
    <w:p>
      <w:pPr/>
      <w:r>
        <w:rPr>
          <w:b/>
        </w:rPr>
        <w:t>Shared claim-specific concepts:</w:t>
      </w:r>
      <w:r>
        <w:t xml:space="preserve"> therefore, important, explore, different, affect; EU scope visible. This is a provisional connection, not an outcome finding.</w:t>
      </w:r>
    </w:p>
    <w:p>
      <w:pPr>
        <w:pStyle w:val="SourceNote"/>
      </w:pPr>
      <w:r>
        <w:rPr>
          <w:b/>
        </w:rPr>
        <w:t>Available abstract (not full text):</w:t>
      </w:r>
      <w:r>
        <w:t xml:space="preserve"> Wellbeing is part of the WHO definition of health since 1948. Enhancing it ought therefore to be an important goal for individuals, groups, and societies. Measures of it inform our knowledge, and it is therefore essential to also include “unwellbeing” in assessments. Such knowledge is fundamental to understanding its status, counteracting negative conditions, and surveying how it may interact with a range of human facets, including the prevention and development of diseases. Appraisals of environmental unwellbeing–wellbeing can also be of great value in education, aiming to explore different types of landscapes, raise awareness, and foster reflections on how different spatial units and environmental conditions affect us and what this may be due to. For that purpose, a novel scale is described and used in two sets of ratings in a peri-urban green landscape in Greater Stockholm, Sweden. The results show that core areas in two historic parks (Haga and Ulriksdal) provided environmental wellbeing, whereas in a third area (Annelund), half of the appraisals indicated environmental unwellbeing. Further experience in monitoring this variable with scales across a range of environmental settings suggests a clear value in its use in education, research, and societal evaluations.</w:t>
      </w:r>
    </w:p>
    <w:p>
      <w:pPr/>
      <w:r>
        <w:rPr>
          <w:b/>
        </w:rPr>
        <w:t>POSSIBLE 2025:</w:t>
      </w:r>
      <w:r>
        <w:t xml:space="preserve"> Renewable Energy for Climate Policy? The Impact of Low- Carbon Industries on National Climate Politics — https://openalex.org/W4412209511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rise of low-carbon industries promises to transform the political economy of climate politics and provide renewed political energy for climate action. The core idea is that the expansion of domestic low-carbon industries will generate powerful coalitions of firms and citizens that benefit economically from this ‘green growth’ and support a rapid phaseout of fossil fuels. Through green industrial policy, more and more governments seek to leverage this dynamic and overcome the obstacles to stringent climate regulation indirectly by subsidising these industries. Nevertheless, these propositions remain largely untested. This dissertation asks how the rise of domestic low-carbon industries affects national climate politics and provides the most comprehensive answer to date. It proposes that structural, institutional, and informational barriers may undercut these expected effects, and it substantiates this through four empirical studies from which three central findings emerge. First, there is no evidence that the economic importance of domestic renewable energy industries is systematically associated with countries’ enactment of more stringent climate policies. Second, low-carbon business interests prioritise lobbying on narrow green industrial policies and are vastly outnumbered by high-carbon interests when they lobby on broader climate policies. Third, citizens who experience</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r>
        <w:rPr>
          <w:b/>
        </w:rPr>
        <w:t>POSSIBLE 2024:</w:t>
      </w:r>
      <w:r>
        <w:t xml:space="preserve"> China’s Sustainable Energy Transition Path to Low-Carbon Renewable Infrastructure Manufacturing under Green Trade Barriers — https://doi.org/10.3390/su16083387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Facing green trade barriers from developed nations, particularly the EU, based on product carbon footprints, China’s renewable energy industries confront significant challenges in transitioning towards sustainability and low carbon emissions. This study delves into the carbon footprint of China’s renewable infrastructure, evaluating wind turbines, photovoltaic (PV) panels, and lithium batteries across varied decarbonization scenarios, emphasizing both production and international trade transportation. The initial findings for 2022 indicate baseline carbon footprints of 990,701 kg CO2-eq/MW for wind turbines, 2994.97 kg CO2-eq/kWp for PV panels, and 67.53 kg CO2-eq/kWh for batteries. Projections for 2050 suggest that decarbonization advancements could slash these footprints by up to 36.1% for wind turbines, 76.7% for PV panels, and 72.5% for batteries, closely mirroring the EU’s 2050 low-carbon benchmarks. Considerable carbon footprints from both domestic and international transportation have been quantified, underscoring the importance of logistic decarbonization. Based on these results, it is concluded that China’s steadfast commitment to a sustainable and climate-ambitious development path can provide globally competitive, low-carbon renewable infrastructure after 2030. The study advocates for a collaborative approach to product decarbonization across international trade, as </w:t>
      </w:r>
    </w:p>
    <w:p>
      <w:pPr>
        <w:pStyle w:val="Heading2"/>
      </w:pPr>
      <w:r>
        <w:t>824.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2026:</w:t>
      </w:r>
      <w:r>
        <w:t xml:space="preserve"> Fit‐for‐purpose risk assessment for low‐concern active substances and uses — https://doi.org/10.2903/sp.efsa.2026.en-9791</w:t>
      </w:r>
    </w:p>
    <w:p>
      <w:pPr/>
      <w:r>
        <w:rPr>
          <w:b/>
        </w:rPr>
        <w:t>Shared claim-specific concepts:</w:t>
      </w:r>
      <w:r>
        <w:t xml:space="preserve"> purpose, assessment, structured; EU scope not established. This is a provisional connection, not an outcome finding.</w:t>
      </w:r>
    </w:p>
    <w:p>
      <w:pPr>
        <w:pStyle w:val="SourceNote"/>
      </w:pPr>
      <w:r>
        <w:rPr>
          <w:b/>
        </w:rPr>
        <w:t>Available abstract (not full text):</w:t>
      </w:r>
      <w:r>
        <w:t xml:space="preserve"> Abstract This report describes a harmonised, stepwise methodology for the fit‐for‐purpose risk assessment of low‐concern active substances (LCASs), developed in response to EFSA's call GP/EFSA/PLANTS/2023/04. LCASs include substances such as semiochemicals, botanicals, inorganics, peptides, and double‐stranded RNA (dsRNA), which generally have lower risk profiles than conventional active substances. However, the current risk assessment framework – primarily designed for conventional substances – often lacks the flexibility required to appropriately address LCASs. The approach described here is based on problem formulation using generic pathways to harm. It offers a structured methodology aimed at harmonising case‐by‐case assessments based on the specific properties of individual LCASs. This approach supports both qualitative and quantitative assessments and covers hazards other than conventional toxicity, such as suffocation, desiccation and RNA interference. To apply this approach in practice, a problem formulation toolbox is provided, comprising three main elements: 1. Generic pathways to harm 2. Generic analysis plans, including the Analysis plan tool 3. Guidance on likelihood assessment</w:t>
      </w:r>
    </w:p>
    <w:p>
      <w:pPr/>
      <w:r>
        <w:rPr>
          <w:b/>
        </w:rPr>
        <w:t>POSSIBLE 2024:</w:t>
      </w:r>
      <w:r>
        <w:t xml:space="preserve"> Reviewing assessment strategies in European dental schools — https://doi.org/10.1016/j.jdent.2024.105091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OBJECTIVES: Effectively assessing dental students' knowledge and skills is an important part of their education. Assessment techniques available to teachers, have become more diverse as new technologies are introduced. This study aimed to investigate what dental educators thought about current and future assessment techniques. METHODS: This was a mixed method study; quantitative data being collected at an annual dental educators' conference, via on-screen questions requesting: i) demographic information; ii) type of student assessment currently used; iii) impact of Covid-19 on student assessment, and iv) future perceptions of assessment. Questions were posed in real time using the 'Vevox' platform. Descriptive statistical analysis was employed. Qualitative data were collected on 'post-its' and analysed thematically. RESULTS: 101 participants attended the study. 59.1% (n = 60) had &gt;11 years' experience. 64% (n = 55) considered their summative and formative assessments were effective in developing student learning. Few participants reported students' involvement in creating their own assessments (n = 8; 9.75%). 41.68% (n = 36) participants agreed it was a good idea for students to be involved in developing assessments, but only 9.75% (n = 8) reported it was already happening. Qualitative data indicated a reluctance to wholeheartedly embrace technology (including AI) when planning</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2021:</w:t>
      </w:r>
      <w:r>
        <w:t xml:space="preserve"> Exposure Assessment of Climate Extremes over the Europe–Mediterranean Region — https://doi.org/10.3390/atmos12050633</w:t>
      </w:r>
    </w:p>
    <w:p>
      <w:pPr/>
      <w:r>
        <w:rPr>
          <w:b/>
        </w:rPr>
        <w:t>Shared claim-specific concepts:</w:t>
      </w:r>
      <w:r>
        <w:t xml:space="preserve"> purpose, assessment, about; EU scope visible. This is a provisional connection, not an outcome finding.</w:t>
      </w:r>
    </w:p>
    <w:p>
      <w:pPr>
        <w:pStyle w:val="SourceNote"/>
      </w:pPr>
      <w:r>
        <w:rPr>
          <w:b/>
        </w:rPr>
        <w:t>Available abstract (not full text):</w:t>
      </w:r>
      <w:r>
        <w:t xml:space="preserve"> The use of a compact set of climate change indexes enhances our understanding of the combined impacts of extreme climatic conditions. In this study, we developed the modified Climate Extremes Index (mCEI) to obtain unified information about different types of extremes. For this purpose, we calculated 10 different climate change indexes considering the temperature extremes, extreme precipitation, and moisture surplus and drought over the Europe–Mediterranean (EURO–MED) region for the 1979–2016 period. As a holistic approach, mCEI provides spatiotemporal information, and the high-resolution grid-based data allow us to accomplish detailed country-based and city-based analyses. The analyses indicate that warm temperature extremes rise significantly over the EURO–MED region at a rate of 1.9% decade−1, whereas the cold temperature extremes decrease. Extreme drought has a significant increasing trend of 3.8% decade−1. Although there are regional differences, extreme precipitation indexes have a significant increasing tendency. According to the mCEI, the major hotspots for the combined extremes are the Mediterranean coasts, the Balkan countries, Eastern Europe, Iceland, western Russia, western Turkey, and western Iraq. The decadal changes of mCEI for these regions are in the range of 3–5% decade−1. The city-scale analysis based on urbanized locations reveals that Fes (Morocco), Izmir (</w:t>
      </w:r>
    </w:p>
    <w:p>
      <w:pPr/>
      <w:r>
        <w:rPr>
          <w:b/>
        </w:rPr>
        <w:t>POSSIBLE 2021:</w:t>
      </w:r>
      <w:r>
        <w:t xml:space="preserve"> The UK Integrated Assessment Model for source apportionment and air pollution policy applications to PM2.5 — https://doi.org/10.1016/j.envint.2021.106515</w:t>
      </w:r>
    </w:p>
    <w:p>
      <w:pPr/>
      <w:r>
        <w:rPr>
          <w:b/>
        </w:rPr>
        <w:t>Shared claim-specific concepts:</w:t>
      </w:r>
      <w:r>
        <w:t xml:space="preserve"> purpose, illustrate, assessment, used; EU scope visible. This is a provisional connection, not an outcome finding.</w:t>
      </w:r>
    </w:p>
    <w:p>
      <w:pPr>
        <w:pStyle w:val="SourceNote"/>
      </w:pPr>
      <w:r>
        <w:rPr>
          <w:b/>
        </w:rPr>
        <w:t>Available abstract (not full text):</w:t>
      </w:r>
      <w:r>
        <w:t xml:space="preserve"> Source apportionment and the effect of reducing individual sources is important input for the development of strategies to address air pollution. The UK Integrated Assessment Model, UKIAM, has been developed for this purpose as a flexible framework, combining information from different atmospheric dispersion models to cover different pollutant contributions, and span the range from European to local scale. In this paper we describe the UKIAM as developed for SO2, NOx, NH3, PM2.5 and VOCs. We illustrate its versatility and application with assessment of current PM2.5 concentrations and exposure of the UK population, as a case-study that has been used as the starting point to investigate potential improvement towards attainment of the WHO guideline of 10 µg/m3.</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825.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2025:</w:t>
      </w:r>
      <w:r>
        <w:t xml:space="preserve"> Spatial distribution and drivers of renewable energies in European regions — https://doi.org/10.1016/j.eneco.2025.108340</w:t>
      </w:r>
    </w:p>
    <w:p>
      <w:pPr/>
      <w:r>
        <w:rPr>
          <w:b/>
        </w:rPr>
        <w:t>Shared claim-specific concepts:</w:t>
      </w:r>
      <w:r>
        <w:t xml:space="preserve"> renewable, resource; EU scope visible. This is a provisional connection, not an outcome finding.</w:t>
      </w:r>
    </w:p>
    <w:p>
      <w:pPr>
        <w:pStyle w:val="SourceNote"/>
      </w:pPr>
      <w:r>
        <w:rPr>
          <w:b/>
        </w:rPr>
        <w:t>Available abstract (not full text):</w:t>
      </w:r>
      <w:r>
        <w:t xml:space="preserve"> The energy transition is a complex process that varies significantly among European regions. This research uses spatial econometric panel models to investigate the evolution of wind and photovoltaic (PV) energy in Europe throughout the 21st century by identifying the main drivers (socioeconomic, institutional, geographic and demographic factors) of renewable energy capacity in European regions. The study reveals high heterogeneity in the development of these renewable energy sources . GDP per capita shows a positive relationship with both technologies, while the opposite is found for population density. While natural resource factors considered here do not seem to considerable impact the location of wind and PV farms, the pattern of territorial technology diffusion through spatial spillovers stand out as a determining factor in the wind and photovoltaic energy place-based evolutionary processes.</w:t>
      </w:r>
    </w:p>
    <w:p>
      <w:pPr/>
      <w:r>
        <w:rPr>
          <w:b/>
        </w:rPr>
        <w:t>POSSIBLE 2025:</w:t>
      </w:r>
      <w:r>
        <w:t xml:space="preserve"> Resource regimes and the success of local renewable energy projects — https://doi.org/10.1016/j.ecolecon.2025.108843</w:t>
      </w:r>
    </w:p>
    <w:p>
      <w:pPr/>
      <w:r>
        <w:rPr>
          <w:b/>
        </w:rPr>
        <w:t>Shared claim-specific concepts:</w:t>
      </w:r>
      <w:r>
        <w:t xml:space="preserve"> biomass, renewable, resource; EU scope not established. This is a provisional connection, not an outcome finding.</w:t>
      </w:r>
    </w:p>
    <w:p>
      <w:pPr>
        <w:pStyle w:val="SourceNote"/>
      </w:pPr>
      <w:r>
        <w:rPr>
          <w:b/>
        </w:rPr>
        <w:t>Available abstract (not full text):</w:t>
      </w:r>
      <w:r>
        <w:t xml:space="preserve"> While national governments and parliaments adopt policies to speed up the development of renewable energies, the local implementation of renewable energy projects often faces economic, ecological, and social challenges. The existing literature primarily focuses on conditions which foster local acceptance and policy integration to explain the (non-)realization of renewable energy projects. In contrast, property rights have not yet been explicitly considered as conditions. This study applies the institutional resource regime approach to investigate the joint impact of property rights and public policies on the local implementation of renewable energy projects. Drawing on a comparison of twelve cases which encompass solar, wind, biomass, and geothermal energy projects in three countries, the results show the importance of property rights within the project area, and the insufficiency of public policies alone to facilitate successful renewable energy projects. More specifically, public landownership and revenue sharing increase the chances of project success, as this entails the involvement of local democratic institutions and supports the resilience of project promotors against political contestation.</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pStyle w:val="Heading2"/>
      </w:pPr>
      <w:r>
        <w:t>826.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2026:</w:t>
      </w:r>
      <w:r>
        <w:t xml:space="preserve"> How Police-Led Recorded Investigative Interviews are Analysed: A Systematic Mapping Review — https://doi.org/10.17605/osf.io/skuvb</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The objective of this systematic mapping review is to examine how police-led recorded investigative interviews have been empirically studied across disciplinary traditions. The review focuses specifically on recorded interviews conducted by sworn police officers or by police trainees acting in the interviewer role within institutional policing or formal police training contexts. Both real-world interviews and police-training mock interviews are included, provided they are police-led and institutionally situated. The review maps the types of recorded data analysed (e.g., real-world versus police-training mock interviews; suspect, witness, or victim interviews; audio versus video recordings; transcript derivation practices), the analytic approaches applied to those data, and recurring combinations of data type, analytic framework, and study design. No meta-analysis or outcome synthesis is planned. Findings will be presented as a structured descriptive mapping of methodological patterns across the literature.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2025:</w:t>
      </w:r>
      <w:r>
        <w:t xml:space="preserve"> Team transcribing: an approach to analysing and interpreting online acquaintance interviews as collaborative achievements — https://doi.org/10.1016/j.rmal.2025.100250</w:t>
      </w:r>
    </w:p>
    <w:p>
      <w:pPr/>
      <w:r>
        <w:rPr>
          <w:b/>
        </w:rPr>
        <w:t>Shared claim-specific concepts:</w:t>
      </w:r>
      <w:r>
        <w:t xml:space="preserve"> data, interviews, analysed; EU scope not established. This is a provisional connection, not an outcome finding.</w:t>
      </w:r>
    </w:p>
    <w:p>
      <w:pPr>
        <w:pStyle w:val="SourceNote"/>
      </w:pPr>
      <w:r>
        <w:rPr>
          <w:b/>
        </w:rPr>
        <w:t>Available abstract (not full text):</w:t>
      </w:r>
      <w:r>
        <w:t xml:space="preserve"> Despite applied linguists’ understanding of interview data as collaboratively co-constructed, less attention has focused on how the interviewer’s involvement in the communicative event of an interview might go on to shape the ways in which the data is transcribed, analysed and interpreted, with implications for the generation of new knowledge. This article puts forward a team transcribing approach which addresses potential biases and partialities, and highlights how new knowledge is collaboratively achieved through recognising and valuing the diversity of voices within a team. The approach is illustrated through discussion of a research project, Mobile Conversations in Context (MoCo), which combined online video-recorded acquaintance interviews with analysis of diary and mobile messaging data. The interview data was collaboratively transcribed and analysed by two researchers on the team who brought different perspectives to the data: R1 who conducted the interviews and produced initial transcripts; and R2 who multimodally annotated and analysed the transcripts. Our collaboration stretched from initial conversations to the process of writing this paper and revealed the different ways in which interviewees resisted being positioned by the interviewer as mobile messaging users and informants, which in turn highlighted assumptions and attitudes which shaped their mobile messaging p</w:t>
      </w:r>
    </w:p>
    <w:p>
      <w:pPr>
        <w:pStyle w:val="Heading2"/>
      </w:pPr>
      <w:r>
        <w:t>827.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2025:</w:t>
      </w:r>
      <w:r>
        <w:t xml:space="preserve"> Cluster Analysis of the Transition to Climate Neutrality in the European Union — https://doi.org/10.1002/sd.70064</w:t>
      </w:r>
    </w:p>
    <w:p>
      <w:pPr/>
      <w:r>
        <w:rPr>
          <w:b/>
        </w:rPr>
        <w:t>Shared claim-specific concepts:</w:t>
      </w:r>
      <w:r>
        <w:t xml:space="preserve"> approach, climate;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2023:</w:t>
      </w:r>
      <w:r>
        <w:t xml:space="preserve"> Cost-effective adaptation strategies to rising river flood risk in Europe — https://doi.org/10.1038/s41558-022-01540-0</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pStyle w:val="Heading2"/>
      </w:pPr>
      <w:r>
        <w:t>828.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2024:</w:t>
      </w:r>
      <w:r>
        <w:t xml:space="preserve"> European viper bites: clinical management from pre-hospitalisation to follow-up a narrative review — https://doi.org/10.21037/jeccm-24-81</w:t>
      </w:r>
    </w:p>
    <w:p>
      <w:pPr/>
      <w:r>
        <w:rPr>
          <w:b/>
        </w:rPr>
        <w:t>Shared claim-specific concepts:</w:t>
      </w:r>
      <w:r>
        <w:t xml:space="preserve"> key, conclusions, use; EU scope visible. This is a provisional connection, not an outcome finding.</w:t>
      </w:r>
    </w:p>
    <w:p>
      <w:pPr>
        <w:pStyle w:val="SourceNote"/>
      </w:pPr>
      <w:r>
        <w:rPr>
          <w:b/>
        </w:rPr>
        <w:t>Available abstract (not full text):</w:t>
      </w:r>
      <w:r>
        <w:t xml:space="preserve"> Background and Objective: Venomous snakebites in Europe are mainly due to Viperidae species of the genus Vipera. They represent a medical emergency that needs to be treated in both out-of-hospital and emergency rooms. The immediate and long-term clinical sequelae can be dramatic. This represents a neglected public health risk with poorly defined incidence, morbidity, and mortality. For these reasons, the prehospital and hospital clinical approach is important. This paper aims to provide the clinician with essential information, updated according to the latest literature, on the management of these patients. Methods: The data for this narrative review are derived from a careful search of the following scientific databases such as PubMed, MedlinePlus, Cochrane Library. Key Content and Findings: We read 484 titles of scientific articles using the keywords: Viper bites: symptoms and treatment. Duplicate articles were excluded and the most relevant articles for our work were selected. Conclusions: In conclusion, it is important that the patient is brought to the emergency room and that prehospitalization maneuvers are correct. The use of snake antivenom should not be practiced in all patients but only in severity classes 2 and 3. In addition, hospitalization and eventual snake antivenom administration should be followed up over time.</w:t>
      </w:r>
    </w:p>
    <w:p>
      <w:pPr>
        <w:pStyle w:val="Heading2"/>
      </w:pPr>
      <w:r>
        <w:t>829.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RESEARCH ON FACTORS INFLUENCING THE STATE BUDGET AND ECONOMIC GROWTH IN THE EUROPEAN UNION — https://doi.org/10.65631/jes.1.2026.9</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2026:</w:t>
      </w:r>
      <w:r>
        <w:t xml:space="preserve"> RESEARCH ON FACTORS INFLUENCING THE STATE BUDGET AND ECONOMIC GROWTH IN THE EUROPEAN UNION — https://doi.org/10.65631/jes.2.2026.6</w:t>
      </w:r>
    </w:p>
    <w:p>
      <w:pPr/>
      <w:r>
        <w:rPr>
          <w:b/>
        </w:rPr>
        <w:t>Shared claim-specific concepts:</w:t>
      </w:r>
      <w:r>
        <w:t xml:space="preserve"> factors, influence, union; EU scope visible. This is a provisional connection, not an outcome finding.</w:t>
      </w:r>
    </w:p>
    <w:p>
      <w:pPr>
        <w:pStyle w:val="SourceNote"/>
      </w:pPr>
      <w:r>
        <w:rPr>
          <w:b/>
        </w:rPr>
        <w:t>Available abstract (not full text):</w:t>
      </w:r>
      <w:r>
        <w:t xml:space="preserve"> Our study delves into factors that influence state budget elements (revenue, spending) and economic growth across EU‑27 during the period 2011‑2021. With the help of panel data modelling and secondary data provided by reliable regional and international bodies, we showed that government revenue, government expenditure and gross domestic product per capita were significantly impacted by macroeconomic indicators related to institutional quality, namely: government effectiveness; political stability and absence of violence/terrorism; regulatory quality; voice and accountability. The longitudinal study delves into strategies that public authorities can use to improve budgetary resources, outlays and the way in which economies function.</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factors, presents, significant, part, due;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between;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pStyle w:val="Heading2"/>
      </w:pPr>
      <w:r>
        <w:t>830.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2026:</w:t>
      </w:r>
      <w:r>
        <w:t xml:space="preserve"> GHG emissions of all world countries — https://doi.org/10.2760/7717504</w:t>
      </w:r>
    </w:p>
    <w:p>
      <w:pPr/>
      <w:r>
        <w:rPr>
          <w:b/>
        </w:rPr>
        <w:t>Shared claim-specific concepts:</w:t>
      </w:r>
      <w:r>
        <w:t xml:space="preserve"> ghg, lulucf, removals;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2025:</w:t>
      </w:r>
      <w:r>
        <w:t xml:space="preserve"> Evaluating the Effectiveness of the European Union’s 2040 Climate Target: Policy Ambitions versus Implementation Challenges — https://doi.org/10.71145/rjsp.v3i3.348</w:t>
      </w:r>
    </w:p>
    <w:p>
      <w:pPr/>
      <w:r>
        <w:rPr>
          <w:b/>
        </w:rPr>
        <w:t>Shared claim-specific concepts:</w:t>
      </w:r>
      <w:r>
        <w:t xml:space="preserve"> ghg, reduction, target, only, energy, however; EU scope visible. This is a provisional connection, not an outcome finding.</w:t>
      </w:r>
    </w:p>
    <w:p>
      <w:pPr>
        <w:pStyle w:val="SourceNote"/>
      </w:pPr>
      <w:r>
        <w:rPr>
          <w:b/>
        </w:rPr>
        <w:t>Available abstract (not full text):</w:t>
      </w:r>
      <w:r>
        <w:t xml:space="preserve"> As the level of ambition was increased, in July 2025, the European Commission set out a new binding greenhouse gas (GHG) reduction objective of - 90% by 2040 with respect to 1990, and it became an intermediate step on the road to climate neutrality by 2050 (European Commission, 2025). The paper is a critical evaluation of the effectiveness of this target and involves the engagement of the architecture of EU climate governance, the European Climate Law, the Fit for 55 package, the ETS, CBAM, the RE-Power-EU, and the Clean Industrial Deal and the implementation barriers: (1) economic competitiveness, (2) a political positioning difference among the member states, and (3) the pressure on simplification of regulations. The study provides qualitative research design influenced by the Comparative Public Policy Theory and Governance Theory to examine policy documents, reports of the interested stakeholders, literature reviews, and case-related information. Findings reveal the imbalance between aspiration and achievement like the poor enforcement mechanisms, lack of equality in compliance with the absence of sufficient incentives to go out of the ETS to reduce emissions. It is advisable that the enforcement be tightened, the burden sharing systems are strengthened as well as expanding the just transition plans. The paper adds new literature to the EU climate management by providing a s</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2024:</w:t>
      </w:r>
      <w:r>
        <w:t xml:space="preserve"> Technical Requirements for 2023 IMO GHG Strategy — https://doi.org/10.3390/su16072766</w:t>
      </w:r>
    </w:p>
    <w:p>
      <w:pPr/>
      <w:r>
        <w:rPr>
          <w:b/>
        </w:rPr>
        <w:t>Shared claim-specific concepts:</w:t>
      </w:r>
      <w:r>
        <w:t xml:space="preserve"> ghg, emission, reduction, target; EU scope not established. This is a provisional connection, not an outcome finding.</w:t>
      </w:r>
    </w:p>
    <w:p>
      <w:pPr>
        <w:pStyle w:val="SourceNote"/>
      </w:pPr>
      <w:r>
        <w:rPr>
          <w:b/>
        </w:rPr>
        <w:t>Available abstract (not full text):</w:t>
      </w:r>
      <w:r>
        <w:t xml:space="preserve"> The 80th session of the IMO Maritime Environment Protection Committee (MEPC 80) adopted the 2023 IMO Strategy on the Reduction of GHG Emissions from Ships (2023 IMO GHG Strategy), with enhanced targets to tackle harmful emissions. This study strives to provide an exact interpretation of the target of the 2023 IMO GHG Strategy and reveal the technical requirements therein. Decarbonization targets were expressed in IMO GHG emission scenarios for specifications. Model calculations and parameterizations were in line with IMO GHG reduction principles and decarbonizing practices in the shipping sector to avoid the prejudicial tendency of alternative fuels and the overestimated integral efficiency of short-term measures in existing predictions. IMO DCS data were used for the first time to gain reliable practical efficiencies of newly adopted regulations and further reduce the model uncertainty. The results demonstrated that the decarbonization goals for emission intensity were actually 51.5–62.5% in the IMO GHG reduction scenarios, which was much higher than the IMO recommended value of 40% as the target. Combined with the continuous applications of short-term measures, onshore power and regulations were required to contribute their maximum potential no later than the year 2030. Even so, considerable penetration (15.0–26.0%) of alternative fuels will be required by 2030 to achieve the</w:t>
      </w:r>
    </w:p>
    <w:p>
      <w:pPr/>
      <w:r>
        <w:rPr>
          <w:b/>
        </w:rPr>
        <w:t>POSSIBLE 2024:</w:t>
      </w:r>
      <w:r>
        <w:t xml:space="preserve"> Low carbon certification of agricultural production using field GHG measurements. Development of an integrated framework with emphasis on mediterranean products — https://doi.org/10.1016/j.cscee.2024.100666</w:t>
      </w:r>
    </w:p>
    <w:p>
      <w:pPr/>
      <w:r>
        <w:rPr>
          <w:b/>
        </w:rPr>
        <w:t>Shared claim-specific concepts:</w:t>
      </w:r>
      <w:r>
        <w:t xml:space="preserve"> implementing, ghg, reduction; EU scope visible. This is a provisional connection, not an outcome finding.</w:t>
      </w:r>
    </w:p>
    <w:p>
      <w:pPr>
        <w:pStyle w:val="SourceNote"/>
      </w:pPr>
      <w:r>
        <w:rPr>
          <w:b/>
        </w:rPr>
        <w:t>Available abstract (not full text):</w:t>
      </w:r>
      <w:r>
        <w:t xml:space="preserve"> The urgent need to mitigate greenhouse gas (GHG) emissions in agriculture has prompted the development of certification systems aimed at promoting sustainable and low carbon practices. Although several low carbon certification systems for agricultural products exist in the European Union (EU), their adequacy for accurately measuring, evaluating, reporting, and verifying agricultural emissions and sequestration as well as associated carbon/GHG reduction credits at the farm level remains limited. This study presents a standardized approach to low carbon certification of agricultural production developed under the ClimaMED LIFE project, focusing on the integration of field-site GHG measurements (CO2, CH4, N2O emissions) into the certification framework. In this context, a six-stage low carbon certification system that incorporates a Tier 3 methodology encompassing several innovative on-site data collection and analysis technologies such as Light Detection and Ranging (LiDAR) and Internet of Things (IoT) telemetry is proposed. This integrated approach has been developed for five agricultural products, i.e. olive trees, grapes, cereals, pistachios and vegetables cultivated in the Mediterranean region based on several low-carbon practices implemented and monitored at farm level (15 pilot fields in total). This study also explores the challenges and opportunities associated with imple</w:t>
      </w:r>
    </w:p>
    <w:p>
      <w:pPr/>
      <w:r>
        <w:rPr>
          <w:b/>
        </w:rPr>
        <w:t>POSSIBLE 2024:</w:t>
      </w:r>
      <w:r>
        <w:t xml:space="preserve"> Distributing the Dutch Reduction Targets — https://doi.org/10.1007/978-3-031-59427-4_3</w:t>
      </w:r>
    </w:p>
    <w:p>
      <w:pPr/>
      <w:r>
        <w:rPr>
          <w:b/>
        </w:rPr>
        <w:t>Shared claim-specific concepts:</w:t>
      </w:r>
      <w:r>
        <w:t xml:space="preserve"> reduction; EU scope not established. This is a provisional connection, not an outcome finding.</w:t>
      </w:r>
    </w:p>
    <w:p>
      <w:pPr>
        <w:pStyle w:val="SourceNote"/>
      </w:pPr>
      <w:r>
        <w:rPr>
          <w:b/>
        </w:rPr>
        <w:t>Available abstract (not full text):</w:t>
      </w:r>
      <w:r>
        <w:t xml:space="preserve"> Abstract Allocating the carbon budget is a fundamental issue of distributive justice in global climate policy. At the national level, the carbon budget is often translated into sectoral reduction targets. In this chapter, we ask how the reduction targets should be distributed amongst the industrial, electricity, agriculture and land use, mobility, and built environment sectors. From a perspective of distributive justice, we ask which sectors need to reduce the most carbon emissions if we are to achieve the national targets?</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pStyle w:val="Heading2"/>
      </w:pPr>
      <w:r>
        <w:t>831.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2025:</w:t>
      </w:r>
      <w:r>
        <w:t xml:space="preserve"> Methods to assess on-farm biosecurity in Europe and beyond — https://doi.org/10.1016/j.prevetmed.2025.106486</w:t>
      </w:r>
    </w:p>
    <w:p>
      <w:pPr/>
      <w:r>
        <w:rPr>
          <w:b/>
        </w:rPr>
        <w:t>Shared claim-specific concepts:</w:t>
      </w:r>
      <w:r>
        <w:t xml:space="preserve"> also, assess, different, between;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2024:</w:t>
      </w:r>
      <w:r>
        <w:t xml:space="preserve"> Cost–Benefit Analysis of Distributed Energy Systems Considering the Monetization of Indirect Benefits — https://doi.org/10.3390/su16020820</w:t>
      </w:r>
    </w:p>
    <w:p>
      <w:pPr/>
      <w:r>
        <w:rPr>
          <w:b/>
        </w:rPr>
        <w:t>Shared claim-specific concepts:</w:t>
      </w:r>
      <w:r>
        <w:t xml:space="preserve"> also; EU scope not established. This is a provisional connection, not an outcome finding.</w:t>
      </w:r>
    </w:p>
    <w:p>
      <w:pPr>
        <w:pStyle w:val="SourceNote"/>
      </w:pPr>
      <w:r>
        <w:rPr>
          <w:b/>
        </w:rPr>
        <w:t>Available abstract (not full text):</w:t>
      </w:r>
      <w:r>
        <w:t xml:space="preserve"> Driven by market value, a co-benefits assessment framework to encompass various benefits arising from distributed energy systems is developed. Using a monetization approach, a quantitative analysis model is established to evaluate both direct and indirect benefits. According to the simulation results of typical distributed energy systems, the distributed photovoltaic (PV) system demonstrates superior economic performance compared with the gas-fired distributed energy system, highlighting its potential for widespread commercialization. Moreover, the inclusion of indirect benefits significantly enhances the economic viability of the distributed energy system. While the PV system exhibits a more favorable promotional impact, it also renders the gas-fired distributed energy system commercially feasible.</w:t>
      </w:r>
    </w:p>
    <w:p>
      <w:pPr/>
      <w:r>
        <w:rPr>
          <w:b/>
        </w:rPr>
        <w:t>POSSIBLE 2024:</w:t>
      </w:r>
      <w:r>
        <w:t xml:space="preserve"> Monetizing Animal Welfare Impacts for Benefit–Cost Analysis — https://doi.org/10.1017/bca.2024.19</w:t>
      </w:r>
    </w:p>
    <w:p>
      <w:pPr/>
      <w:r>
        <w:rPr>
          <w:b/>
        </w:rPr>
        <w:t>Shared claim-specific concepts:</w:t>
      </w:r>
      <w:r>
        <w:t xml:space="preserve"> assess, different, between, political, allows; EU scope not established. This is a provisional connection, not an outcome finding.</w:t>
      </w:r>
    </w:p>
    <w:p>
      <w:pPr>
        <w:pStyle w:val="SourceNote"/>
      </w:pPr>
      <w:r>
        <w:rPr>
          <w:b/>
        </w:rPr>
        <w:t>Available abstract (not full text):</w:t>
      </w:r>
      <w:r>
        <w:t xml:space="preserve"> Abstract Animal welfare is often ignored in decision-making, despite widespread agreement about its importance. This is partly because of a lack of quantitative methods to assess the impacts of policies on humans and nonhumans alike on a common scale. At the same time, recent work in economics, philosophy, and animal welfare science has made progress on the fundamental theoretical challenge of estimating the well-being potential of different species on a single scale. By combining these estimates of each species’ well-being potential with assessments of how various policies impact the quality of life for these species, along with the number of animals affected, we can arrive at a framework for estimating the impact of policies on animal health and well-being. This framework allows for a quantifiable comparison between policies affecting humans and animals. For instance, it enables us to compare human QALYs to animal QALYs tailored to specific species. Hence, the intrinsic value of animal welfare impacts of policies can be monetized on the same scale as market and non-market impact for humans, facilitating benefit–cost analysis. Many challenges remain though, including issues of population ethics, political feasibility, and new complexities in addressing equity and uncertainty.</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pStyle w:val="Heading2"/>
      </w:pPr>
      <w:r>
        <w:t>832.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2025:</w:t>
      </w:r>
      <w:r>
        <w:t xml:space="preserve"> Policy Design, Diffusion, and Policy Instrument Attitudes — https://doi.org/10.1111/ropr.70032</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Policymakers are in the constant struggle to design policies that appropriately address societal, economic, and ecological needs. Literature on policy design has contributed to the field of policy studies with a systematization of possible policy instruments (Howlett 2004, 2023; Acciai and Capano 2021; Capano and Howlett 2020). But how do policymakers decide whether and which policy to implement and how does the public respond to different policy instruments? These questions will be treated in the fourth issue of this year's Review of Policy Research volume from different perspectives. The first part of this issue focuses on governments and what influences their decision to implement or not implement certain policies. In line with research on policy diffusion (Marsh and Sharman 2009; Mallinson 2021; Mistur et al. 2023), the first three papers illustrate how the decisions of neighboring regions can influence (local) governments to follow the same approach. The subsequent papers address how compatibility with already established policies through path dependence (Beyer 2010; Pierson 2014), institutional capacity (Toshkov et al. 2021; Khan and Hussain 2024), and policy learning (Dunlop et al. 2018; Crow et al. 2023; Zaki et al. 2023) shape policymakers' decisions, and what constitutes effective policymaking. The second part of this issue turns toward citizens as the recipients of p</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pStyle w:val="Heading2"/>
      </w:pPr>
      <w:r>
        <w:t>833.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production, technological;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2025:</w:t>
      </w:r>
      <w:r>
        <w:t xml:space="preserve"> DASNordicSLR - Sea Level Projections for Northern Europe — https://doi.org/10.31223/x5tj24</w:t>
      </w:r>
    </w:p>
    <w:p>
      <w:pPr/>
      <w:r>
        <w:rPr>
          <w:b/>
        </w:rPr>
        <w:t>Shared claim-specific concepts:</w:t>
      </w:r>
      <w:r>
        <w:t xml:space="preserve"> water, level, based, projections, four;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An Enhanced Framework for Improving SWOT-based Surface Water Level and River Slope Estimations — https://doi.org/10.24400/527896/a03-2025.4246</w:t>
      </w:r>
    </w:p>
    <w:p>
      <w:pPr/>
      <w:r>
        <w:rPr>
          <w:b/>
        </w:rPr>
        <w:t>Shared claim-specific concepts:</w:t>
      </w:r>
      <w:r>
        <w:t xml:space="preserve"> water, level, develop; EU scope visible. This is a provisional connection, not an outcome finding.</w:t>
      </w:r>
    </w:p>
    <w:p>
      <w:pPr>
        <w:pStyle w:val="SourceNote"/>
      </w:pPr>
      <w:r>
        <w:rPr>
          <w:b/>
        </w:rPr>
        <w:t>Available abstract (not full text):</w:t>
      </w:r>
      <w:r>
        <w:t xml:space="preserve"> The Surface Water and Ocean Topography (SWOT) satellite, launched in 2022, provides unprecedented observations of water surface elevation (WSE), river width, and slope for global rivers. The project DETECT-REDS (DETECT-REfecct-Discharge-Storage) continues the REFECCT project of the SWOT Science Team 2020-2023. The central hypothesis is that SWOT and SAR altimetry outperform conventional altimetry with new products to monitor surface water and study hydrodynamic processes. The main objective is to evaluate the scientific usability of the SWOT data in inland waters, with a specific focus on applications related to river discharge and storage change. In the DFG-founded DETECT project, we evaluate the applicability of SWOT in medium and small size rivers and lakes to determine spatial and temporal detection limits of the space techniques. Standard SWOT products (RiverSP and LakeSP) exhibit constrained accuracy and spatial definitions. Building upon SWOT Pixel Cloud (PIXC) and Raster products, we develop an enhanced framework to overcome these limitations for estimating surface water level, incorporating quality flags and gaussian mixture distribution clustering. For lake and reservoir from Raster product, our approach achieves 4 cm median STDD with 1 cm bias against Swiss in situ gauges, effectively extending SWOT's observational capacity to sub-1 km² water bodies. For river applic</w:t>
      </w:r>
    </w:p>
    <w:p>
      <w:pPr>
        <w:pStyle w:val="Heading2"/>
      </w:pPr>
      <w:r>
        <w:t>834.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An integrated analytical framework for assessing latent sustainability dimensions across European Union Member States — https://doi.org/10.1007/s43621-026-04221-6</w:t>
      </w:r>
    </w:p>
    <w:p>
      <w:pPr/>
      <w:r>
        <w:rPr>
          <w:b/>
        </w:rPr>
        <w:t>Shared claim-specific concepts:</w:t>
      </w:r>
      <w:r>
        <w:t xml:space="preserve"> indicate, member, states, energy, framework; EU scope visible. This is a provisional connection, not an outcome finding.</w:t>
      </w:r>
    </w:p>
    <w:p>
      <w:pPr>
        <w:pStyle w:val="SourceNote"/>
      </w:pPr>
      <w:r>
        <w:rPr>
          <w:b/>
        </w:rPr>
        <w:t>Available abstract (not full text):</w:t>
      </w:r>
      <w:r>
        <w:t xml:space="preserve"> Understanding sustainability requires analytical frameworks capable of integrating environmental, innovation and fiscal dimensions rather than examining them separately. This study develops an integrated empirical framework to identify latent sustainability dimensions, classify European Union Member States according to their sustainability profiles and examine the statistical association between these dimensions and energy productivity. The analysis is based on a balanced panel of the 27 European Union Member States covering the period 2013–2023. Principal Component Analysis is used to extract latent sustainability dimensions, whose robustness is evaluated through alternative rotation methods and temporal stability analyses. The resulting factor scores are subsequently employed in K-means clustering to identify homogeneous sustainability profiles and in panel regression analysis with robust estimators to assess their statistical association with energy productivity. Three robust latent sustainability dimensions are identified, representing Environmental pressure and resource-use intensity, Innovation capacity and public fiscal effort, and Corporate tax policy. The factor structure remains stable across alternative model specifications and temporal subsamples, supporting the robustness of the proposed framework. The clustering analysis reveals three distinct sustainability profi</w:t>
      </w:r>
    </w:p>
    <w:p>
      <w:pPr/>
      <w:r>
        <w:rPr>
          <w:b/>
        </w:rPr>
        <w:t>POSSIBLE 2026:</w:t>
      </w:r>
      <w:r>
        <w:t xml:space="preserve"> European Structural and Investment Funds (ESIF) and Regional Cohesion in EU Member-states — https://doi.org/10.1007/s13132-026-03244-8</w:t>
      </w:r>
    </w:p>
    <w:p>
      <w:pPr/>
      <w:r>
        <w:rPr>
          <w:b/>
        </w:rPr>
        <w:t>Shared claim-specific concepts:</w:t>
      </w:r>
      <w:r>
        <w:t xml:space="preserve"> fund, both, framework; EU scope visible. This is a provisional connection, not an outcome finding.</w:t>
      </w:r>
    </w:p>
    <w:p>
      <w:pPr>
        <w:pStyle w:val="SourceNote"/>
      </w:pPr>
      <w:r>
        <w:rPr>
          <w:b/>
        </w:rPr>
        <w:t>Available abstract (not full text):</w:t>
      </w:r>
      <w:r>
        <w:t xml:space="preserve"> This paper presents a meticulously conducted and extensive comparative analysis of the absorption patterns of European Structural and Investment Funds (ESIF) throughout the 2014–2020 programming period across a diverse array of European countries, with a particular emphasis on the Greek context. The primary objective of this study is to offer a comprehensive understanding of both shared trends and variations in fund absorption dynamics, thereby providing valuable insights into the intricate factors that shape the utilization of ESIF. Utilizing a robust methodological framework, this research undertakes an exhaustive examination of national and regional data to unravel the multifaceted determinants influencing absorption rates. Key determinants, including macroeconomic conditions, administrative efficiency, institutional capacity, and policy frameworks, are rigorously scrutinized to elucidate their nuanced impacts on ESIF absorption dynamics. Through this methodical approach, the study endeavors to provide nuanced insights into the efficacy of fund allocation mechanisms and the pivotal role played by socio-economic factors in steering regional development trajectories.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r>
        <w:rPr>
          <w:b/>
        </w:rPr>
        <w:t>POSSIBLE 2025:</w:t>
      </w:r>
      <w:r>
        <w:t xml:space="preserve"> Economic differentiation of the European Union at the level of member states during the 2019-2023 period — https://openalex.org/W7135935661</w:t>
      </w:r>
    </w:p>
    <w:p>
      <w:pPr/>
      <w:r>
        <w:rPr>
          <w:b/>
        </w:rPr>
        <w:t>Shared claim-specific concepts:</w:t>
      </w:r>
      <w:r>
        <w:t xml:space="preserve"> indicate, member, states, compared, energy, framework; EU scope visible. This is a provisional connection, not an outcome finding.</w:t>
      </w:r>
    </w:p>
    <w:p>
      <w:pPr>
        <w:pStyle w:val="SourceNote"/>
      </w:pPr>
      <w:r>
        <w:rPr>
          <w:b/>
        </w:rPr>
        <w:t>Available abstract (not full text):</w:t>
      </w:r>
      <w:r>
        <w:t xml:space="preserve"> This thesis analyses the economic differentiation among the member states of the European Union during the period from 2019 to 2023, with a particular focus on the impact of the Covid- 19 pandemic, the war in Ukraine, and the energy crisis on the economic situation in Germany, the Netherlands, Poland, and Slovakia. The aim of the thesis is to examine whether external shocks have deepened existing economic disparities among the member states and how these differences have influenced the dynamics of European integration. The thesis applies a combination of quantitative comparative analysis of macroeconomic indicators and qualitative analysis of national responses to crisis events. The theoretical framework is based on liberal intergovernmentalism and the theory of differentiated integration. The results indicate that the crises significantly deepened economic differentiation, with Germany and the Netherlands demonstrating greater resilience compared to Poland and Slovakia. The thesis thus contributes to a deeper understanding of the dynamics of economic differentiation in the EU during periods of intense global shocks and highlights the importance of targeted support for convergence in the future.</w:t>
      </w:r>
    </w:p>
    <w:p>
      <w:pPr>
        <w:pStyle w:val="Heading2"/>
      </w:pPr>
      <w:r>
        <w:t>835.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climate, after, main, period, projections;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Wheat breeding trials will lose climate relevance in Europe — https://doi.org/10.1088/1748-9326/ae0e38</w:t>
      </w:r>
    </w:p>
    <w:p>
      <w:pPr/>
      <w:r>
        <w:rPr>
          <w:b/>
        </w:rPr>
        <w:t>Shared claim-specific concepts:</w:t>
      </w:r>
      <w:r>
        <w:t xml:space="preserve"> climate, strategies, show; EU scope visible. This is a provisional connection, not an outcome finding.</w:t>
      </w:r>
    </w:p>
    <w:p>
      <w:pPr>
        <w:pStyle w:val="SourceNote"/>
      </w:pPr>
      <w:r>
        <w:rPr>
          <w:b/>
        </w:rPr>
        <w:t>Available abstract (not full text):</w:t>
      </w:r>
      <w:r>
        <w:t xml:space="preserve"> Abstract Europe is a major wheat producer, but rising frequencies of drought and heatwaves increasingly threaten yields. To support breeding strategies aligned with future climatic challenges, we identified current European environments that are analogous to projected future drought and heat stress conditions in major wheat-growing regions. Using gridded crop model simulations with historical and future climate data from an ensemble of five global circulation models (RCP4.5 and RCP8.5 scenarios), we characterized stress patterns during key wheat developmental phases. We clustered environments into stress classes and computed a continuous similarity index to map analogue regions. Our results show that by the end of the century, most official value for cultivation and use (VCU) trial sites will face intensified drought and heat stresses, with stress combinations exceeding historical ranges. Current climate analogues for most VCU wheat trial sites in Central Europe are predominantly located in southern Spain, southern Italy, and parts of Greece, yet these analogue environments are projected to decrease substantially under high-emission scenarios. The disappearance of climate analogues threatens breeding based on past conditions. Our results highlight the need to rapidly adapt wheat breeding strategies in Europe to future climate conditions.</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pStyle w:val="Heading2"/>
      </w:pPr>
      <w:r>
        <w:t>836.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2022:</w:t>
      </w:r>
      <w:r>
        <w:t xml:space="preserve"> Public debt and money for a political ecology in the European Union — https://doi.org/10.3917/reof.173.0079</w:t>
      </w:r>
    </w:p>
    <w:p>
      <w:pPr/>
      <w:r>
        <w:rPr>
          <w:b/>
        </w:rPr>
        <w:t>Shared claim-specific concepts:</w:t>
      </w:r>
      <w:r>
        <w:t xml:space="preserve"> level, upon; EU scope visible. This is a provisional connection, not an outcome finding.</w:t>
      </w:r>
    </w:p>
    <w:p>
      <w:pPr>
        <w:pStyle w:val="SourceNote"/>
      </w:pPr>
      <w:r>
        <w:rPr>
          <w:b/>
        </w:rPr>
        <w:t>Available abstract (not full text):</w:t>
      </w:r>
      <w:r>
        <w:t xml:space="preserve"> The pandemic crisis has displayed the lack of precautionary measures and health infrastructure in most advanced countries, not forgetting how little help has been granted to poor countries. In the face of a worldwide ecological crisis, there has been no global cooperation. In addition, in 2020, catastrophic events due to climate change have accelerated. Public finances have been called upon to support the economy and to engineer a much hoped-for short-term recovery on the one hand, and to put financial systems in order to deal with climate change in the coming crucial decade on the other.Our work tries to address this dual challenge. First, it handles the crucial problem of debt sustainability in a theoretical framework that emphasizes the discounted ratio of future primary balances rather than the level of debt. Simulations of the theoretical model used are provided for the four largest countries of the euro zone to show the conditions in which public debt could be sustainable during the crisis and the subsequent recovery.Moving to the longer-term challenge of handling climate change, societies must confront the irruption of climate-related risks that are plagued with radical uncertainty. To deal with this new financial landscape, the institutional structure of finance must be reformed. Furthermore, macroeconomic disequilibria are no longer symmetrical. The threat of a deflati</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especially, article;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Are lower interest rates really associated with higher growth? New empirical evidence on the interest rate thesis from 19 countries — https://doi.org/10.1002/ijfe.2630</w:t>
      </w:r>
    </w:p>
    <w:p>
      <w:pPr/>
      <w:r>
        <w:rPr>
          <w:b/>
        </w:rPr>
        <w:t>Shared claim-specific concepts:</w:t>
      </w:r>
      <w:r>
        <w:t xml:space="preserve"> rate, about; EU scope not established. This is a provisional connection, not an outcome finding.</w:t>
      </w:r>
    </w:p>
    <w:p>
      <w:pPr>
        <w:pStyle w:val="SourceNote"/>
      </w:pPr>
      <w:r>
        <w:rPr>
          <w:b/>
        </w:rPr>
        <w:t>Available abstract (not full text):</w:t>
      </w:r>
      <w:r>
        <w:t xml:space="preserve"> Abstract There is a substantial literature on the link between finance and growth. Empirical evidence remains inconclusive and the debate continues. In this paper, we adopt the research strategy of focusing on a narrower underlying issue that remains at the core of most macroeconomic theories, namely the interest rate thesis (that lower rates result in higher growth and vice versa). If there are problems with this relationship, this could explain the lack of consensus on the finance‐growth nexus. The question is also of practical relevance: Central banks have been focusing on interest rate policy on the assumption that the interest rate thesis holds. There are theoretical reasons why this may not be the case. We conduct an analysis of time‐varying dynamic conditional correlation in a GARCH model and of the direction of statistical causation between nominal interest rates and real economic activity in 19 industrialized and emerging economies. We find evidence that interest rates are not negatively correlated with economic growth and do not cause growth. Instead, we find evidence that the relationship may be the opposite in both dimensions. This adds to recent doubts about the prevailing conduct of monetary policy and common theoretical models. Specifically, lowering interest rates may be counter‐productive when trying to stimulate the economy.</w:t>
      </w:r>
    </w:p>
    <w:p>
      <w:pPr/>
      <w:r>
        <w:rPr>
          <w:b/>
        </w:rPr>
        <w:t>POSSIBLE 2022:</w:t>
      </w:r>
      <w:r>
        <w:t xml:space="preserve"> What Firm-Specific and Macroeconomic Determinants of Financial Structure Affect Transport and Storage Companies from Selected European Countries? — https://doi.org/10.18267/j.efaj.269</w:t>
      </w:r>
    </w:p>
    <w:p>
      <w:pPr/>
      <w:r>
        <w:rPr>
          <w:b/>
        </w:rPr>
        <w:t>Shared claim-specific concepts:</w:t>
      </w:r>
      <w:r>
        <w:t xml:space="preserve"> rate, level, whether; EU scope visible. This is a provisional connection, not an outcome finding.</w:t>
      </w:r>
    </w:p>
    <w:p>
      <w:pPr>
        <w:pStyle w:val="SourceNote"/>
      </w:pPr>
      <w:r>
        <w:rPr>
          <w:b/>
        </w:rPr>
        <w:t>Available abstract (not full text):</w:t>
      </w:r>
      <w:r>
        <w:t xml:space="preserve"> A number of indicators can be assessed for a company’s financial health, with indebtedness indicators being one of the important ones. The formation of the financial structure is influenced by a huge number of factors. The subject of this research is the indebtedness of companies in the Transportation and storage industry. The companies come from the V4 countries, Austria, Bulgaria, Slovenia, and Romania, between 2010 and 2018. In total 25,246 companies are analysed according to their size for medium and large companies. The aim of the research is to find out whether profitability, liquidity, asset structure, non-debt tax shield, GDP growth rate, reference interest rate, and inflation rate affect the level of total, long-term and short-term debt. The main finding is that corporate debt is significantly affected (measured by the value of coefficients) by non-corporate determinants and specifically the development of the reference interest rate. However, if we look at the most numerous determinants, it is profitability. Companies in the selected industry should focus primarily on the various forecasts within the external environment of the company and include them in their analyses when financing their activities.</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2021:</w:t>
      </w:r>
      <w:r>
        <w:t xml:space="preserve"> IF1 Protein Controls Aging Rate — https://doi.org/10.1101/2021.10.28.466310</w:t>
      </w:r>
    </w:p>
    <w:p>
      <w:pPr/>
      <w:r>
        <w:rPr>
          <w:b/>
        </w:rPr>
        <w:t>Shared claim-specific concepts:</w:t>
      </w:r>
      <w:r>
        <w:t xml:space="preserve"> rate, especially, upon, use; EU scope not established. This is a provisional connection, not an outcome finding.</w:t>
      </w:r>
    </w:p>
    <w:p>
      <w:pPr>
        <w:pStyle w:val="SourceNote"/>
      </w:pPr>
      <w:r>
        <w:rPr>
          <w:b/>
        </w:rPr>
        <w:t>Available abstract (not full text):</w:t>
      </w:r>
      <w:r>
        <w:t xml:space="preserve"> ABSTRACT IF1 protein inhibits F 1 F 0 ATP hydrolysis (and not F 1 F 0 ATP synthesis). Across investigated species more IF1 protein, and less F 1 F 0 ATP hydrolysis, correlates with greater maximal lifespan. Increased IF1 protein, and decreased F 1 F 0 ATP hydrolysis, safely reduces a biomarker of aging in mice. Body temperature decrease, in mice administered with a small molecule drug that selectively inhibits F 1 F 0 ATP hydrolysis (which doesn’t inhibit F 1 F 0 ATP synthesis), is evidence that F 1 F 0 ATP hydrolysis is used for metabolic heat generation in vivo . Instrumental to homeothermy, which is a new fundamental discovery. A further discovery is that cancer cells subvert F 1 F 0 ATP hydrolysis to drive their distinctive Warburg metabolism and so selective drug inhibition of F 1 F 0 ATP hydrolysis exerts potent anticancer activity. When the body is in an ambient temperature of 37°C (or more), no metabolic heat generation is needed for the body to be at 37°C, and so a large dose of a F 1 F 0 ATP hydrolysis inhibiting anticancer drug may be administered, which may slow aging. So, here might be an entirely new class of anticancer drugs that may (when appropriately used) help, instead of harm, normal cells. Distinct from present anticancer drugs, which greatly harm normal cells, causing horrific side-effects, which kill many and cause many others to abandon cancer treatment.</w:t>
      </w:r>
    </w:p>
    <w:p>
      <w:pPr>
        <w:pStyle w:val="Heading2"/>
      </w:pPr>
      <w:r>
        <w:t>837.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838.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2022:</w:t>
      </w:r>
      <w:r>
        <w:t xml:space="preserve"> Machine learning application in soccer: a systematic review — https://doi.org/10.5114/biolsport.2023.112970</w:t>
      </w:r>
    </w:p>
    <w:p>
      <w:pPr/>
      <w:r>
        <w:rPr>
          <w:b/>
        </w:rPr>
        <w:t>Shared claim-specific concepts:</w:t>
      </w:r>
      <w:r>
        <w:t xml:space="preserve"> aim, learning, possibilities; EU scope not established. This is a provisional connection, not an outcome finding.</w:t>
      </w:r>
    </w:p>
    <w:p>
      <w:pPr>
        <w:pStyle w:val="SourceNote"/>
      </w:pPr>
      <w:r>
        <w:rPr>
          <w:b/>
        </w:rPr>
        <w:t>Available abstract (not full text):</w:t>
      </w:r>
      <w:r>
        <w:t xml:space="preserve"> Due to the chaotic nature of soccer, the predictive statistical models have become in a current challenge to decision-making based on scientific evidence. The aim of the present study was to systematically identify original studies that applied machine learning (ML) to soccer data, highlighting current possibilities in ML and future applications. A systematic review of PubMed, SPORTDiscus, and FECYT (Web of Sciences, CCC, DIIDW, KJD, MEDLINE, RSCI, and SCIELO) was performed according to the Preferred Reporting Items for Systematic Reviews and Meta-Analyses (PRISMA) guidelines. From the 145 studies initially identified, 32 were fully reviewed, and their outcome measures were extracted and analyzed. In summary, all articles were clustered into three groups: injury (n = 7); performance (n = 21), which was classified in match/league outcomes forecasting, physical/physiological forecasting, and technical/tactical forecasting; and the last group was about talent forecasting (n = 5). The development of technology, and subsequently the large amount of data available, has become ML in an important strategy to help team staff members in decision-making predicting dose-response relationship reducing the chaotic nature of this team sport. However, since ML models depend upon the amount of dataset, further studies should analyze the amount of data input needed make to a relevant predictive </w:t>
      </w:r>
    </w:p>
    <w:p>
      <w:pPr/>
      <w:r>
        <w:rPr>
          <w:b/>
        </w:rPr>
        <w:t>POSSIBLE 2022:</w:t>
      </w:r>
      <w:r>
        <w:t xml:space="preserve"> An Investigation and Analysis of College English Majors’ Autonomous Learning Ability in Ubiquitous Learning Environment — https://doi.org/10.1155/2022/9103148</w:t>
      </w:r>
    </w:p>
    <w:p>
      <w:pPr/>
      <w:r>
        <w:rPr>
          <w:b/>
        </w:rPr>
        <w:t>Shared claim-specific concepts:</w:t>
      </w:r>
      <w:r>
        <w:t xml:space="preserve"> learning, affect, school, teaching; EU scope not established. This is a provisional connection, not an outcome finding.</w:t>
      </w:r>
    </w:p>
    <w:p>
      <w:pPr>
        <w:pStyle w:val="SourceNote"/>
      </w:pPr>
      <w:r>
        <w:rPr>
          <w:b/>
        </w:rPr>
        <w:t>Available abstract (not full text):</w:t>
      </w:r>
      <w:r>
        <w:t xml:space="preserve"> In order to solve the problem that there are many places with poor learning ability of college English majors, this study conducts research, evaluation, and research on many places with poor learning ability. The independent learning ability of college students in different majors is obviously different, and majors affect the independent learning ability by 24.2%. Developing students' ability to succeed is a hot topic in teaching and learning. This study examines the self-learning ability of English majors in multiple subject areas by means of questionnaires and interviews. The study found that most UK adults had good self-control, but they showed improvements in self-planning, literacy and communication skills, and collaboration skills. The overall self-control ability is at a medium level and needs to be improved. At the same time, it discusses the necessity of improving learning ability and self-discipline in different learning environments, as well as strategies for improving academic ability, providing important guidance for supporting the academic development of the college new student. Compared with elementary and high school, the breadth and depth of knowledge acquired in school have expanded beyond textbooks. Classroom sound is fast and informative, requiring students to spend a lot of time after class to digest and understand. If students do not perform well in colleg</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Business transfer promotion in European countries — https://openalex.org/W3180120901</w:t>
      </w:r>
    </w:p>
    <w:p>
      <w:pPr/>
      <w:r>
        <w:rPr>
          <w:b/>
        </w:rPr>
        <w:t>Shared claim-specific concepts:</w:t>
      </w:r>
      <w:r>
        <w:t xml:space="preserve"> aim, barometer, challenges; EU scope visible. This is a provisional connection, not an outcome finding.</w:t>
      </w:r>
    </w:p>
    <w:p>
      <w:pPr>
        <w:pStyle w:val="SourceNote"/>
      </w:pPr>
      <w:r>
        <w:rPr>
          <w:b/>
        </w:rPr>
        <w:t>Available abstract (not full text):</w:t>
      </w:r>
      <w:r>
        <w:t xml:space="preserve"> Business transfers are becoming an increasingly important and natural part of SMEs’ strategic development, renewal and growth. A business transfer can be a complex and demanding process due to financial, managerial, regulatory and administrative challenges. A well-developed business transfer ecosystem will help to develop dynamic business transfer markets and hence support the growth of SMEs. Promoting business transfers is the best possible promotion of growth entrepreneurship. At the European level, business transfers have been an issue in entrepreneurship policy since the early 1990s. Currently, the aim is to improve the evidence base on business transfers in the EU Member States. In the line with earlier development measures, Seinäjoki University of Applied Sciences implemented a case study collection on best practices of SME Business Transfer Promotion in the EU Member States. The main objectives are to 1) collect data on best practices in business transfer promotion, 2) collect preliminary data on business transfer ecosystems and 3) create and publish case stories of the best practices in business transfer promotion. An online survey was sent to 65 experts in 27 EU countries. The questionnaire resulted in responses representing 17 countries with 29 proposals for good practices. Based on these proposals, the research team chose 15 cases to represent best practices in promo</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2020:</w:t>
      </w:r>
      <w:r>
        <w:t xml:space="preserve"> COVID-19 and teacher education: a literature review of online teaching and learning practices — https://doi.org/10.1080/02619768.2020.1821184</w:t>
      </w:r>
    </w:p>
    <w:p>
      <w:pPr/>
      <w:r>
        <w:rPr>
          <w:b/>
        </w:rPr>
        <w:t>Shared claim-specific concepts:</w:t>
      </w:r>
      <w:r>
        <w:t xml:space="preserve"> learning, teaching; EU scope not established. This is a provisional connection, not an outcome finding.</w:t>
      </w:r>
    </w:p>
    <w:p>
      <w:pPr>
        <w:pStyle w:val="SourceNote"/>
      </w:pPr>
      <w:r>
        <w:rPr>
          <w:b/>
        </w:rPr>
        <w:t>Available abstract (not full text):</w:t>
      </w:r>
      <w:r>
        <w:t xml:space="preserve"> The COVID-19 pandemic has impacted education at all levels in various ways. Institutions and teacher educators had to quickly respond to an unexpected and ‘forced’ transition from face-to-face to remote teaching. They also had to create learning environments for student teachers doing their preparation in the light of the requirements of teacher education programmes and the conditions in which both universities and schools had to operate. This paper provides a review of the literature on online teaching and learning practices in teacher education. In total, 134 empirical studies were analysed. Online teaching and learning practices related to social, cognitive and teaching presence were identified. The findings highlighted the need for a comprehensive view of the pedagogy of online education that integrates technology to support teaching and learning. The implications of this study for the development of online teaching and learning practices are discussed. Suggestions for further research are also examined.</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839.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2026:</w:t>
      </w:r>
      <w:r>
        <w:t xml:space="preserve"> UNRAVELLING SYSTEMIC RISK DETERMINANTS IN THE EUROPEAN BANKING SECTOR: IS IT JUST A MATTER OF SIZE? — https://doi.org/10.1142/s2282717x26400013</w:t>
      </w:r>
    </w:p>
    <w:p>
      <w:pPr/>
      <w:r>
        <w:rPr>
          <w:b/>
        </w:rPr>
        <w:t>Shared claim-specific concepts:</w:t>
      </w:r>
      <w:r>
        <w:t xml:space="preserve"> systemic, factors, framework; EU scope visible. This is a provisional connection, not an outcome finding.</w:t>
      </w:r>
    </w:p>
    <w:p>
      <w:pPr>
        <w:pStyle w:val="SourceNote"/>
      </w:pPr>
      <w:r>
        <w:rPr>
          <w:b/>
        </w:rPr>
        <w:t>Available abstract (not full text):</w:t>
      </w:r>
      <w:r>
        <w:t xml:space="preserve"> Given the well-established role of banking sector instability in driving financial and economic crises, this paper investigates the potential determinants of systemic risk on a selected sample of European listed banks. Drawing from a comprehensive review of literature, we employ a novel Least Absolute Shrinkage and Selection Operator (LASSO) enhancement of a panel data regression model to pinpoint the balance-sheet factors that significantly explain the systemic risk levels of the banking institutions. The analysis highlights that the interbank exposures among banks — measured through metrics like the interbank ratio — greatly amplify systemic risk, particularly during crises. Distinctively from past literature, this finding underscores the importance of “interconnectedness” over bank size, with the latter exhibiting a nonlinear impact on systemic risk level. Furthermore, our findings suggest that excessive bank capital can amplify the systemic importance of institutions by fostering risk-taking behavior among highly capitalized banks. Methodologically, our LASSO-based framework enhances variable selection by filtering out statistical noise and mitigating multicollinearity issues, thereby isolating the most relevant drivers of systemic risk. From a regulatory standpoint, our findings advocate for supervisory frameworks that explicitly integrate interbank exposure metrics into c</w:t>
      </w:r>
    </w:p>
    <w:p>
      <w:pPr/>
      <w:r>
        <w:rPr>
          <w:b/>
        </w:rPr>
        <w:t>POSSIBLE 2026:</w:t>
      </w:r>
      <w:r>
        <w:t xml:space="preserve"> ESG and systemic risk in financial networks: High- vs. low-rated portfolios in Europe — https://doi.org/10.1016/j.iref.2026.105363</w:t>
      </w:r>
    </w:p>
    <w:p>
      <w:pPr/>
      <w:r>
        <w:rPr>
          <w:b/>
        </w:rPr>
        <w:t>Shared claim-specific concepts:</w:t>
      </w:r>
      <w:r>
        <w:t xml:space="preserve"> systemic, assessment, framework; EU scope visible. This is a provisional connection, not an outcome finding.</w:t>
      </w:r>
    </w:p>
    <w:p>
      <w:pPr>
        <w:pStyle w:val="SourceNote"/>
      </w:pPr>
      <w:r>
        <w:rPr>
          <w:b/>
        </w:rPr>
        <w:t>Available abstract (not full text):</w:t>
      </w:r>
      <w:r>
        <w:t xml:space="preserve"> This study examines ESG-integrated portfolio strategies within a dynamic, network-based framework applied to the European financial sector. While existing research has extensively analyzed the relationship between ESG performance and financial outcomes, most studies rely on static portfolio approaches or assess ESG characteristics independently of the systemic, directional, and time-varying interdependencies among financial institutions. To address this gap, we focus on the systemically connected core of the STOXX Europe 600 Financials index and propose a hybrid methodology that jointly incorporates dynamic conditional correlations (DCC-GARCH), Granger causality, and network filtering techniques. Using this framework, we construct minimum-variance portfolios composed of assets with high and low ESG scores and compare their performance over the period 2012–2023. Over the full sample, portfolios tilted toward lower ESG scores exhibit slightly higher total return, lower volatility and risk-adjusted performance. However, during 2023, portfolios composed of Maximum ESG institutions outperform the compared portfolios their Minimum ESG counterparts, delivering higher total return, lower volatility, and improved risk-adjusted metrics. This shift coincides with a period of intensified ESG regulation in Europe, including the implementation phase of the Corporate Sustainability Reporting </w:t>
      </w:r>
    </w:p>
    <w:p>
      <w:pPr/>
      <w:r>
        <w:rPr>
          <w:b/>
        </w:rPr>
        <w:t>POSSIBLE 2026:</w:t>
      </w:r>
      <w:r>
        <w:t xml:space="preserve"> Scenario-based sociotechnical envisioning (SSE): an approach to enhance systemic risk assessments — https://doi.org/10.1007/s43681-026-01084-5</w:t>
      </w:r>
    </w:p>
    <w:p>
      <w:pPr/>
      <w:r>
        <w:rPr>
          <w:b/>
        </w:rPr>
        <w:t>Shared claim-specific concepts:</w:t>
      </w:r>
      <w:r>
        <w:t xml:space="preserve"> systemic, assessment, approach, success, factors; EU scope not established. This is a provisional connection, not an outcome finding.</w:t>
      </w:r>
    </w:p>
    <w:p>
      <w:pPr>
        <w:pStyle w:val="SourceNote"/>
      </w:pPr>
      <w:r>
        <w:rPr>
          <w:b/>
        </w:rPr>
        <w:t>Available abstract (not full text):</w:t>
      </w:r>
      <w:r>
        <w:t xml:space="preserve"> Regulators and policy makers around the world have endorsed risk-based approaches for governing the challenges and opportunities from Artificial Intelligence (AI). In theory, these assessments should protect the public from the harmful impacts of AI, thus safeguarding important societal values such as the realization of fundamental rights. However, as an anticipatory decision-making tool, the success and legitimacy of risk-based regulatory approaches depend critically on methods that help policymakers and societal stakeholders anticipate how AI may impact a diverse citizenry, the many different ways in which technological change may unfold, and the factors that lead to desirable and less desirable visions of the future. In this paper, we first point out critical flaws in existing assessment methods and regulatory approaches and consequently identify the need to complement current approaches to risk assessment. We call on scholars, policy makers, and the technology industry to engage in anticipatory approaches that go beyond compliance and checklist exercises and acknowledge the responsibility they have for impacts that go beyond what is known. Second, we propose a concrete empirical approach to address our concerns: Scenario-Based Sociotechnical Envisioning (SSE). By using SSE, practitioners can make assessments more inclusive, more aware of the socio-technical context in which</w:t>
      </w:r>
    </w:p>
    <w:p>
      <w:pPr/>
      <w:r>
        <w:rPr>
          <w:b/>
        </w:rPr>
        <w:t>POSSIBLE 2026:</w:t>
      </w:r>
      <w:r>
        <w:t xml:space="preserve"> Weaponised interdependence and European energy security: Infrastructure, systemic vulnerability, and the post-2022 transformation — https://doi.org/10.35467/sdq/226337</w:t>
      </w:r>
    </w:p>
    <w:p>
      <w:pPr/>
      <w:r>
        <w:rPr>
          <w:b/>
        </w:rPr>
        <w:t>Shared claim-specific concepts:</w:t>
      </w:r>
      <w:r>
        <w:t xml:space="preserve"> systemic, framework; EU scope visible. This is a provisional connection, not an outcome finding.</w:t>
      </w:r>
    </w:p>
    <w:p>
      <w:pPr>
        <w:pStyle w:val="SourceNote"/>
      </w:pPr>
      <w:r>
        <w:rPr>
          <w:b/>
        </w:rPr>
        <w:t>Available abstract (not full text):</w:t>
      </w:r>
      <w:r>
        <w:t xml:space="preserve"> This article extends a concept developed by Farrell and Newman (2019) beyond its original financial and digital domains to physical energy infrastructure, examining how the Russia–Ukraine war has transformed European energy security from a market-based relationship into a condition of systemic vulnerability. The analysis employs qualitative document analysis of publicly available European Union’s policy instruments, International Energy Agency’s market reports, and European Union Agency for Cybersecurity’s threat assessments, structured around a three-domain framework encompassing physical infrastructure, digital systems, and governance arrangements. Diversification strategies implemented after 2022 reduced dependence on Russian energy but simultaneously reconfigured systemic vulnerability across all three domains: liquified natural gas (LNG) import concentration and deployment of floating storage and regasification units created new physical chokepoints; supervisory control and data acquisition and digital vendor dependencies introduced persistent digital interdependencies; and governance fragmentation among member states amplified vulnerability by producing uneven resilience across interconnected systems. European energy security must be reconceptualised as the management of systemic interdependence across interconnected physical, digital, and institutional domains. The artic</w:t>
      </w:r>
    </w:p>
    <w:p>
      <w:pPr>
        <w:pStyle w:val="Heading2"/>
      </w:pPr>
      <w:r>
        <w:t>840.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2026:</w:t>
      </w:r>
      <w:r>
        <w:t xml:space="preserve"> I-P10Sky Projection of the Free-State Background — https://doi.org/10.5281/zenodo.21548281</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Current cosmology usually interprets the cosmic microwave background (CMB) as the remnant radiation from the last scattering surface of the early hot plasma, and within this framework characterises its statistical structure by parameters such as the scalar spectral index n_s, the tensor‑to‑scalar ratio r, and low‑multipole anomalies. This framework is extremely successful in data processing, but at a deeper ontological level the CMB is still primarily understood as “a relic image of some early fireball stage.” This paper, building on the background‑skeleton object syntax, cosmological bridging, dark‑component division of labour, large‑scale structure, and background‑projection main line already accomplished in the three‑pillar system of Non‑manifest Selection of Being, invokes only the minimal public interfaces directly relevant to the CMB. It addresses three questions: what is the object‑position of the CMB in the new paradigm; why a slightly red‑tilted scalar spectrum should appear; and why the primordial B-mode window is naturally extremely weak, accompanied by low‑l suppression. Our core conclusions are threefold. First, the CMB should not be primarily regarded as the “afterglow of the last scattering surface,” but should be rewritten as: the all‑sky low‑energy projection of the free‑state‑dominated background at observational scales. Define the sky anisotropy field as $$\v</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2025:</w:t>
      </w:r>
      <w:r>
        <w:t xml:space="preserve"> Analysis of Beam Background for Time Projection Chamber at the High Luminosity Z-Pole Mode — https://doi.org/10.22323/1.476.1119</w:t>
      </w:r>
    </w:p>
    <w:p>
      <w:pPr/>
      <w:r>
        <w:rPr>
          <w:b/>
        </w:rPr>
        <w:t>Shared claim-specific concepts:</w:t>
      </w:r>
      <w:r>
        <w:t xml:space="preserve"> gives, background, main; EU scope not established. This is a provisional connection, not an outcome finding.</w:t>
      </w:r>
    </w:p>
    <w:p>
      <w:pPr>
        <w:pStyle w:val="SourceNote"/>
      </w:pPr>
      <w:r>
        <w:rPr>
          <w:b/>
        </w:rPr>
        <w:t>Available abstract (not full text):</w:t>
      </w:r>
      <w:r>
        <w:t xml:space="preserve"> As a superior performance gas particle track detector with a low mass, simple geometric structure and simple process of physics, time projection chamber (TPC) is chosen as the main tracker detector of the Circular Electron-Positron Collider (CEPC). Being a potential constraint for the capability of TPC, the beam background in interaction region of CEPC is discussed in the newest CEPC detector technical design report (TDR). This article shows the simulation results of the beam background of CEPC Z-pole mode, and gives an optimistic estimate.</w:t>
      </w:r>
    </w:p>
    <w:p>
      <w:pPr/>
      <w:r>
        <w:rPr>
          <w:b/>
        </w:rPr>
        <w:t>POSSIBLE 2025:</w:t>
      </w:r>
      <w:r>
        <w:t xml:space="preserve"> Long-Term 30-Year Variation (1990s-2020) of Background Tropospheric Ozone Concentration at Japanese Remote Stations — https://doi.org/10.2151/sola.2025-012</w:t>
      </w:r>
    </w:p>
    <w:p>
      <w:pPr/>
      <w:r>
        <w:rPr>
          <w:b/>
        </w:rPr>
        <w:t>Shared claim-specific concepts:</w:t>
      </w:r>
      <w:r>
        <w:t xml:space="preserve"> background, trends, long-term; EU scope not established. This is a provisional connection, not an outcome finding.</w:t>
      </w:r>
    </w:p>
    <w:p>
      <w:pPr>
        <w:pStyle w:val="SourceNote"/>
      </w:pPr>
      <w:r>
        <w:rPr>
          <w:b/>
        </w:rPr>
        <w:t>Available abstract (not full text):</w:t>
      </w:r>
      <w:r>
        <w:t xml:space="preserve"> Tropospheric ozone (O3) is an air pollutant and greenhouse gas and is still a problem in East Asia. O3 is formed via secondary photochemistry from nitrogen oxide (NOx) and volatile organic compound (VOC) precursors. Because of the increase in anthropogenic emissions globally, changes in O3 concentration over the Northern Hemisphere have been a concern. In this study, using measurements at three remote sites conducted by the Japan Meteorological Agency (JMA), the 30-year (1990s to 2020) long-term trend of background O3 concentration was analyzed. The results of the fitted curve revealed that background O3 concentration has changed by within ±0.3 ppbv/year over 30 years. The increasing trend at Ryori (39.03°N, 141.82°E) peaked in 2009 and then decreased, agreeing well with other reports in the mid-latitude zone (40°N-55°N). In contrast, the present study revealed continuous decreasing trends at Minamitorishima (24.28°N, 153.98°E) and Yonagunijima (24.47°N, 123.02°E) at lower latitudes. In addition, the analysis for 2020 clarified that the frequency density shifted to a lower O3 concentration compared with the dataset for the 1990s to 2019 at all three remote sites in Japan. This suggested that the emission reduction resulting from the COVID-19 pandemic could be a factor causing the decreasing background O3 concentration.</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2024:</w:t>
      </w:r>
      <w:r>
        <w:t xml:space="preserve"> Objectives and background — https://doi.org/10.1201/9781003580324-2</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The main objectives of this book are: to describe the work performed to develop a new test methodology to characterise the susceptibility of stainless steels to crevice corrosion in natural and treated seawaters; to describe the experimental procedures to perform crevice corrosion testing according to the proposed new test specifications. For years, many methods have been developed to characterise the crevice corrosion behaviour of stainless steels, but the majority of these are of a comparative nature, aimed only at ranking alloys [2] . Until now, no test methods have been recognised for testing passive materials such as stainless steels in marine environments. Many different forms of test set-up have been used, often giving different and varying results. Furthermore, the test procedures may vary somewhat between laboratories, as in-house modifications are applied instead of descriptions given in the test specification. This also contributes to the difficulties in comparing tests between test laboratories. Therefore, there is a need to develop a test method for passive metals to reflect reliably and reproducibly the long-term corrosion behaviour of these materials. There is a general agreement that the main corrosion risk in practical applications is crevice corrosion and that any qualification test should be a crevice corrosion test. The development of a reliable and reproduc</w:t>
      </w:r>
    </w:p>
    <w:p>
      <w:pPr>
        <w:pStyle w:val="Heading2"/>
      </w:pPr>
      <w:r>
        <w:t>841.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based, systems;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objectives, analyse;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A Reflection on Foresight in Human Resource Provision in the Judiciary — https://doi.org/10.61838/kman.jpdot.183</w:t>
      </w:r>
    </w:p>
    <w:p>
      <w:pPr/>
      <w:r>
        <w:rPr>
          <w:b/>
        </w:rPr>
        <w:t>Shared claim-specific concepts:</w:t>
      </w:r>
      <w:r>
        <w:t xml:space="preserve"> foresight, based, systems; EU scope not established. This is a provisional connection, not an outcome finding.</w:t>
      </w:r>
    </w:p>
    <w:p>
      <w:pPr>
        <w:pStyle w:val="SourceNote"/>
      </w:pPr>
      <w:r>
        <w:rPr>
          <w:b/>
        </w:rPr>
        <w:t>Available abstract (not full text):</w:t>
      </w:r>
      <w:r>
        <w:t xml:space="preserve"> In today’s rapidly evolving era, futures studies offer a structured opportunity for examining transformations and envisioning a desirable outlook for policymakers, particularly in labor-intensive organizations. Accordingly, this article aims to present a reasoned discussion on rethinking a foresight model in the domain of human resource provision and its requirements within the Judiciary. To this end, the research method was qualitative, employing the Delphi method based on the STEEP model. Data were collected through fieldwork using in-depth semi-structured interviews and a researcher-made questionnaire. A purposive sampling approach was used, and data saturation was achieved after 25 interviews. Based on the research findings—utilizing the fuzzy Delphi technique—the dimensions, components, and indicators of the proposed foresight model for the human resources and capital chain in the Judiciary reflect key parameters (actions and interactions) in political, social, cultural, economic, and technological domains. However, each of these factors, throughout its evolutionary path, will be influenced by information technology innovations, including the expansion of electronic environments and systems thinking approaches, in response to the time- and location-specific conditions of society (constant changes). The results indicate that the final model enjoys acceptable validity and, i</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pStyle w:val="Heading2"/>
      </w:pPr>
      <w:r>
        <w:t>842.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2026:</w:t>
      </w:r>
      <w:r>
        <w:t xml:space="preserve"> Practices, Power, and Performativity: A Feminist Technoscience Exploration of AI Imaginaries of Work — https://doi.org/10.5281/zenodo.23669022</w:t>
      </w:r>
    </w:p>
    <w:p>
      <w:pPr/>
      <w:r>
        <w:rPr>
          <w:b/>
        </w:rPr>
        <w:t>Shared claim-specific concepts:</w:t>
      </w:r>
      <w:r>
        <w:t xml:space="preserve"> concept, imaginary, investigate, structures, build; EU scope visible. This is a provisional connection, not an outcome finding.</w:t>
      </w:r>
    </w:p>
    <w:p>
      <w:pPr>
        <w:pStyle w:val="SourceNote"/>
      </w:pPr>
      <w:r>
        <w:rPr>
          <w:b/>
        </w:rPr>
        <w:t>Available abstract (not full text):</w:t>
      </w:r>
      <w:r>
        <w:t xml:space="preserve"> Please cite the version of record: Silvia Ecclesia (2026). Practices, power, and performativity: A feminist technoscience exploration of AI imaginaries of work. https://hdl.handle.net/11250/5587420 In this thesis, I explore artificial intelligence (AI) imaginaries of work and how they shape processes of sociotechnical change, through the example of AI for human resources (HR). Sociotechnical change refers to the changes that AI, like other technologies, brings through its development, adoption, acceptance, or resistance, involving both social and technical dimensions (Sovacool &amp; Hess, 2017). AI imaginaries – collective, performative visions of the future (Jasanoff, 2015) – are highly influential in shaping said processes by informing decisions about development, regulation, and use. The idea of creating artificial life has been present in stories, myths, and fictions for centuries, creating highly polarised narratives about the potential future of AI. However, more research is needed to go beyond the sensationalistic visions that characterise AI imaginaries and better understand their effects on society and work. I thus investigate AI imaginaries through a feminist technoscience approach, focusing on their performativity, the embodied experiences of HR practitioners in enacting AI imaginaries through their practices, and how AI imaginaries interact with power structures. To do </w:t>
      </w:r>
    </w:p>
    <w:p>
      <w:pPr/>
      <w:r>
        <w:rPr>
          <w:b/>
        </w:rPr>
        <w:t>POSSIBLE 2026:</w:t>
      </w:r>
      <w:r>
        <w:t xml:space="preserve"> Navigating the national imaginary: internalized racism within integration narratives — https://doi.org/10.1080/01419870.2026.2693652</w:t>
      </w:r>
    </w:p>
    <w:p>
      <w:pPr/>
      <w:r>
        <w:rPr>
          <w:b/>
        </w:rPr>
        <w:t>Shared claim-specific concepts:</w:t>
      </w:r>
      <w:r>
        <w:t xml:space="preserve"> imaginary, political; EU scope visible. This is a provisional connection, not an outcome finding.</w:t>
      </w:r>
    </w:p>
    <w:p>
      <w:pPr>
        <w:pStyle w:val="SourceNote"/>
      </w:pPr>
      <w:r>
        <w:rPr>
          <w:b/>
        </w:rPr>
        <w:t>Available abstract (not full text):</w:t>
      </w:r>
      <w:r>
        <w:t xml:space="preserve"> This paper explores internalized racism by examining how Syrian refugees narrate their social positioning within German society. It conceptualizes integration as part of a hegemonic social imaginary – collectively shared and affectively charged frameworks of meaning that shape understandings of belonging. The findings show how participants adopt the guest–host metaphor, positioning themselves as recipients of German benevolence. Moreover, they often relativize experiences of racism, shifting critique away from structural inequalities toward inter-migrant dynamics. Boundary-making practices emerge as strategies for inclusion that simultaneously reinforce forms of differential inclusion. The analysis further highlights the role of affects as both shaping and being shaped by imaginaries. Ultimately, the study demonstrates that internalized racism is not only shaped by dominant integration discourses and coercive policies but also by pre-existing imaginaries rooted in the Syrian context. In this sense, participants’ navigation of Germany’s national imaginary is a negotiation of various political frameworks and affective registers.</w:t>
      </w:r>
    </w:p>
    <w:p>
      <w:pPr/>
      <w:r>
        <w:rPr>
          <w:b/>
        </w:rPr>
        <w:t>POSSIBLE 2026:</w:t>
      </w:r>
      <w:r>
        <w:t xml:space="preserve"> “Turn the faucet”: right-wing hydrosocial imaginaries of irrigation water in the Western United States — https://doi.org/10.3389/fsufs.2026.1869993</w:t>
      </w:r>
    </w:p>
    <w:p>
      <w:pPr/>
      <w:r>
        <w:rPr>
          <w:b/>
        </w:rPr>
        <w:t>Shared claim-specific concepts:</w:t>
      </w:r>
      <w:r>
        <w:t xml:space="preserve"> concept, imaginary, structures; EU scope not established. This is a provisional connection, not an outcome finding.</w:t>
      </w:r>
    </w:p>
    <w:p>
      <w:pPr>
        <w:pStyle w:val="SourceNote"/>
      </w:pPr>
      <w:r>
        <w:rPr>
          <w:b/>
        </w:rPr>
        <w:t>Available abstract (not full text):</w:t>
      </w:r>
      <w:r>
        <w:t xml:space="preserve"> The second administration of United States President Donald Trump has taken an authoritarian, centralized approach to governance in the United States. Water management is one area in which the president has attempted to show dominance. This research theorizes President Trump’s concept of water in the United States West as a “hydrosocial imaginary” in which the release of water from rivers and reservoirs indicates virility, action, and power, instead of liberal cautiousness and prudence. By ordering the release of two billion gallons of water from California’s Central Valley into the dry Tulare Basin one hundred miles north of Los Angeles for the purpose of battling the 2025 Los Angeles wildfires, Trump’s claim to have redirected water “down from the Pacific Northwest” into California to alleviate drought evokes an imaginary Western landscape of underexploited resources, instead of over-allocated river systems in water-stressed areas. Using content analysis of historical and contemporary newspaper articles and other relevant materials, this article first examines both parallel and contradictory rhetorical structures between Trump’s idea of water transfers and those of the past one hundred years. The article further refines this examination through semi-structured interviews of irrigators and water managers in the Pacific Northwest, demonstrating the differences between hydrosoci</w:t>
      </w:r>
    </w:p>
    <w:p>
      <w:pPr/>
      <w:r>
        <w:rPr>
          <w:b/>
        </w:rPr>
        <w:t>POSSIBLE 2026:</w:t>
      </w:r>
      <w:r>
        <w:t xml:space="preserve"> Cultural Events as Symbolic Infrastructure: Repositioning African Destinations in the Global Tourism Imaginary — https://openalex.org/W7217820939</w:t>
      </w:r>
    </w:p>
    <w:p>
      <w:pPr/>
      <w:r>
        <w:rPr>
          <w:b/>
        </w:rPr>
        <w:t>Shared claim-specific concepts:</w:t>
      </w:r>
      <w:r>
        <w:t xml:space="preserve"> concept, imaginary, political, events, around; EU scope not established. This is a provisional connection, not an outcome finding.</w:t>
      </w:r>
    </w:p>
    <w:p>
      <w:pPr>
        <w:pStyle w:val="SourceNote"/>
      </w:pPr>
      <w:r>
        <w:rPr>
          <w:b/>
        </w:rPr>
        <w:t>Available abstract (not full text):</w:t>
      </w:r>
      <w:r>
        <w:t xml:space="preserve"> The paper reconceptualises episodic African tourism events such as carnivals and festivals through the lens of symbolic infrastructure. This has the capability of repositioning the destinations in the global tourism imaginary. Although much research on African festivals has received little attention, especially the available research has been more on African festivals, and their effect on the economy, visitor satisfaction, and community deliverables, yet little attention has been directed towards their effectiveness in forging the African representational position in the global tourism hierarchy. The concept of symbolic infrastructure is formulated by this review through the andragogy of the cultural political economy, post-colonial theory, symbolic capital, and soft power literature in elucidating the process through which carnivals operate as narrators working towards the production of symbolic capital, the spread of alternative imaginaries, and destination legitimacy. The paper proposes that African carnivals disrupt deep-rooted discourses of deficit that plague the continent with the vectors of poverty, crisis, and wildlife essentialism. These events develop cosmopolitan, creative, and modern identities, which mediate around epistemic marginalisation in tourism systems of knowledge through performative spectacle, mediated circulation, and aesthetic production. By changing t</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2025:</w:t>
      </w:r>
      <w:r>
        <w:t xml:space="preserve"> Seas of change: An evolving imaginary of offshore energy capture on the United Kingdom's Continental Shelf — https://doi.org/10.1016/j.erss.2024.103889</w:t>
      </w:r>
    </w:p>
    <w:p>
      <w:pPr/>
      <w:r>
        <w:rPr>
          <w:b/>
        </w:rPr>
        <w:t>Shared claim-specific concepts:</w:t>
      </w:r>
      <w:r>
        <w:t xml:space="preserve"> imaginary, imaginative, ideas, around; EU scope not established. This is a provisional connection, not an outcome finding.</w:t>
      </w:r>
    </w:p>
    <w:p>
      <w:pPr>
        <w:pStyle w:val="SourceNote"/>
      </w:pPr>
      <w:r>
        <w:rPr>
          <w:b/>
        </w:rPr>
        <w:t>Available abstract (not full text):</w:t>
      </w:r>
      <w:r>
        <w:t xml:space="preserve"> The offshore waters surrounding the United Kingdom have been an important national space for energy capture for over six decades. Hosting oil and gas production, large-scale renewable electricity generation and potential sites for carbon storage, the United Kingdom's Continental Shelf is now a key site within national plans for energy transition and pathways to net zero. This paper critically examines an evolving national imaginary of energy capture on the United Kingdom Continental Shelf (UKCS) since the 1960s. It deploys the conceptual framework of sociotechnical imaginaries to explore offshore energy materials and infrastructures as key sites through which shared ideas about nationhood, modernisation and the exercise of geopolitical leadership are reproduced. Drawing on historical and contemporary energy policy documents, we argue that the potential for energy capture on the UKCS has served as a critical ‘imaginative resource’ over time for constructing national visions of social order. We identify and analyse four distinct phases in the evolution of this imaginary about the role of offshore energy capture in national life: economic recovery, market society, energy transition, and net-zero basin. The paper's novel focus on offshore energies expands understanding of the state's role in forging and sustaining a national imaginary around distributed energy materials and infrast</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pStyle w:val="Heading2"/>
      </w:pPr>
      <w:r>
        <w:t>843.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European Integration — https://doi.org/10.1017/9781009604093.008</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This chapter aims to analyse the Polish ‘integration clause’: Article 90 of the Constitution as an element of the Polish constitutional imaginary. The notion of constitutional imaginary as formulated by Martin Loughlin will provide the theoretical framework for these considerations. Perceived through the lens of Louglin’s constitutional imaginary concept, Article 90 turns out to be the provision that shapes intricate relations of two big ineffable ideas: sovereignty and European integration. The latter has been perceived in the constitutional practice as both the ineffable aspiration and the object of serious concerns. Since Poland’s accession to the EU, for a long time, constitutional practice with regard to the EU was a syncretic collection of cautious friendliness towards EU law, emphasis on (formal) constitutional supremacy and narrowing down the interpretation of ‘the conferral of competences’. Nevertheless, until recently, the constitutional text had tended to be interpreted as facilitating rather than limiting Poland’s participation in European integration. Therefore, the recent Eurosceptic turn after 2015 was not justified either in the sphere of thought or in the constitutional text. It disturbed the existing balance between ideology and utopia.</w:t>
      </w:r>
    </w:p>
    <w:p>
      <w:pPr/>
      <w:r>
        <w:rPr>
          <w:b/>
        </w:rPr>
        <w:t>POSSIBLE 2026:</w:t>
      </w:r>
      <w:r>
        <w:t xml:space="preserve"> Building a European Understanding of Police-Academic Relations — https://doi.org/10.5553/ejps.2026.31</w:t>
      </w:r>
    </w:p>
    <w:p>
      <w:pPr/>
      <w:r>
        <w:rPr>
          <w:b/>
        </w:rPr>
        <w:t>Shared claim-specific concepts:</w:t>
      </w:r>
      <w:r>
        <w:t xml:space="preserve"> article, understanding, germany;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understanding, show, high;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Understanding Volunteering in Europe: Mapping Approaches to Research, Policy and Practice across Nations — https://doi.org/10.5771/9783748948988-6</w:t>
      </w:r>
    </w:p>
    <w:p>
      <w:pPr/>
      <w:r>
        <w:rPr>
          <w:b/>
        </w:rPr>
        <w:t>Shared claim-specific concepts:</w:t>
      </w:r>
      <w:r>
        <w:t xml:space="preserve"> article, understanding, four, wide; EU scope visible. This is a provisional connection, not an outcome finding.</w:t>
      </w:r>
    </w:p>
    <w:p>
      <w:pPr>
        <w:pStyle w:val="SourceNote"/>
      </w:pPr>
      <w:r>
        <w:rPr>
          <w:b/>
        </w:rPr>
        <w:t>Available abstract (not full text):</w:t>
      </w:r>
      <w:r>
        <w:t xml:space="preserve"> This Special Issue of Voluntaris is the result of the collaborative efforts of both researchers and practitioners convened by the Centre for European Volunteering (CEV), co-financed by the EU Citizens, Equality, Rights and Values fund.It attempts to plot a comprehensive and inclusive map of volunteering studies and research in Europe.The selected topics: motivation, infrastructure, law, impact measurement, and politics, cover both traditional and new aspects of volunteer involvement.Each thematic article includes a discussion of theories, three to four country-specific perspectives, an analysis of European trends, and a final synthesis.This comparative lens highlights both national specificities and transnational convergences, inspiring a wide platform for future practice exchange, research and policy development.We strive to ensure that the theoretical and empirical discussions are grounded in practical realities, and that insights from volunteer management, policy development, and civil society action are integrated with academic analysis.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pStyle w:val="Heading2"/>
      </w:pPr>
      <w:r>
        <w:t>844.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845.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2025:</w:t>
      </w:r>
      <w:r>
        <w:t xml:space="preserve"> ENVIRONMENTAL PROTECTION GOALS AND SCOPE OF POLICIES IN THE EUROPEAN UNION BY 2030 — https://doi.org/10.46793/semsie25.159pr</w:t>
      </w:r>
    </w:p>
    <w:p>
      <w:pPr/>
      <w:r>
        <w:rPr>
          <w:b/>
        </w:rPr>
        <w:t>Shared claim-specific concepts:</w:t>
      </w:r>
      <w:r>
        <w:t xml:space="preserve"> one, main, goals; EU scope visible. This is a provisional connection, not an outcome finding.</w:t>
      </w:r>
    </w:p>
    <w:p>
      <w:pPr>
        <w:pStyle w:val="SourceNote"/>
      </w:pPr>
      <w:r>
        <w:rPr>
          <w:b/>
        </w:rPr>
        <w:t>Available abstract (not full text):</w:t>
      </w:r>
      <w:r>
        <w:t xml:space="preserve">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pPr/>
      <w:r>
        <w:rPr>
          <w:b/>
        </w:rPr>
        <w:t>POSSIBLE 2025:</w:t>
      </w:r>
      <w:r>
        <w:t xml:space="preserve"> The evaluation of football players: an in-depth look at the Expected Goal metric — https://doi.org/10.1007/s10479-025-06606-8</w:t>
      </w:r>
    </w:p>
    <w:p>
      <w:pPr/>
      <w:r>
        <w:rPr>
          <w:b/>
        </w:rPr>
        <w:t>Shared claim-specific concepts:</w:t>
      </w:r>
      <w:r>
        <w:t xml:space="preserve"> since, one, main, goals, identify, influence; EU scope visible. This is a provisional connection, not an outcome finding.</w:t>
      </w:r>
    </w:p>
    <w:p>
      <w:pPr>
        <w:pStyle w:val="SourceNote"/>
      </w:pPr>
      <w:r>
        <w:rPr>
          <w:b/>
        </w:rPr>
        <w:t>Available abstract (not full text):</w:t>
      </w:r>
      <w:r>
        <w:t xml:space="preserve"> Abstract The global sports industry is valued at $480 billion in 2023, projected to rise to $629.81 billion by 2028, with the betting sector alone generating €1.41 trillion in turnover in 2022, €730 billion of which was from football. Football attracts millions of fans worldwide, creating lucrative opportunities for advertising and marketing. In Europe, the Big Five leagues represent most of the European professional sports market. In this context, it is important to be able to evaluate football clubs and players. The value of a football player depends mainly on his performance, which depends on different factors, such as personal characteristics, attacking and defending ability on the pitch, mentality, and much more. This study focuses on attacking performance, specifically Expected Goals (xG), a critical metric for financial and strategic decisions in football, since it helps clubs, investors, and bookmakers to evaluate more accurately team performance and identify value bets. In addition, the xG metric can also significantly influence a player’s market value and transfer decisions. This study has two main objectives: first, we want to identify the current xG model through data from Understat, one of the primary data providers for shot characteristics; then, we want to propose an improved approach for more accurate xG predictions.</w:t>
      </w:r>
    </w:p>
    <w:p>
      <w:pPr/>
      <w:r>
        <w:rPr>
          <w:b/>
        </w:rPr>
        <w:t>POSSIBLE 2025:</w:t>
      </w:r>
      <w:r>
        <w:t xml:space="preserve"> Implementation of Ecological Sustainability Goals in Public Industrial Heritage Facilities in Europe — https://doi.org/10.3390/heritage8020053</w:t>
      </w:r>
    </w:p>
    <w:p>
      <w:pPr/>
      <w:r>
        <w:rPr>
          <w:b/>
        </w:rPr>
        <w:t>Shared claim-specific concepts:</w:t>
      </w:r>
      <w:r>
        <w:t xml:space="preserve"> one, goals, identify, tourism, taken; EU scope visible. This is a provisional connection, not an outcome finding.</w:t>
      </w:r>
    </w:p>
    <w:p>
      <w:pPr>
        <w:pStyle w:val="SourceNote"/>
      </w:pPr>
      <w:r>
        <w:rPr>
          <w:b/>
        </w:rPr>
        <w:t>Available abstract (not full text):</w:t>
      </w:r>
      <w:r>
        <w:t xml:space="preserve"> Industrial heritage tourism has been subject to increasing visitor interest, making Europe’s old factories, mines, and steelworks into attractive tourist installations. However, these facilities, like all other market players, impact the environment, and, therefore, their management should take into account achieving sustainable development goals. The purpose of this article is to identify key sustainability measures taken by public industrial heritage tourism facilities in Europe to protect the environment. This article discusses the results of a survey of administrators of public industrial heritage facilities in Europe. This research was carried out using the Computer Assisted Web Interview technique, sending a research questionnaire to facilities associated with the European Route of Industrial Heritage. The results indicate that these entities are taking numerous measures to implement environmental sustainability patterns, particularly in the areas of waste segregation, pollution and waste generation reduction, and low energy consumption in equipment purchases. Unfortunately, the survey shows that many of the stated actions are not being implemented, as only one in four managers has implemented a formal program related to the implementation of at least some sustainability principles or training conducted in this regard. Managers of industrial heritage sites also advocate f</w:t>
      </w:r>
    </w:p>
    <w:p>
      <w:pPr/>
      <w:r>
        <w:rPr>
          <w:b/>
        </w:rPr>
        <w:t>POSSIBLE 2025:</w:t>
      </w:r>
      <w:r>
        <w:t xml:space="preserve"> Identifying and Quantifying the Impact of Climatic and Non‐Climatic Drivers on River Discharge in Europe — https://doi.org/10.1029/2024wr038220</w:t>
      </w:r>
    </w:p>
    <w:p>
      <w:pPr/>
      <w:r>
        <w:rPr>
          <w:b/>
        </w:rPr>
        <w:t>Shared claim-specific concepts:</w:t>
      </w:r>
      <w:r>
        <w:t xml:space="preserve"> main, trends; EU scope visible. This is a provisional connection, not an outcome finding.</w:t>
      </w:r>
    </w:p>
    <w:p>
      <w:pPr>
        <w:pStyle w:val="SourceNote"/>
      </w:pPr>
      <w:r>
        <w:rPr>
          <w:b/>
        </w:rPr>
        <w:t>Available abstract (not full text):</w:t>
      </w:r>
      <w:r>
        <w:t xml:space="preserve"> Abstract Our water resources have changed over the last century through a combination of water management evolution and climate change. Understanding and decomposing the drivers of discharge changes is essential to preparing and planning adaptive strategies. To separate the response of catchment dynamics between climate change‐related and other factors in discharge observations, we propose a methodology to compare discharge observations to discharge from a physically based model. The novelty lies in the fact that, to keep the comparison pertinent despite systematic biases in physically based model outputs, we compare both systems using a common framework of interpretation, a parsimonious model, which allows us to isolate trends in catchment dynamics from trends due to average changes in annual climate variables. The modeled system stands as the reference to reproduce changes only due to evolving climate dynamics. Comparing it to the interpretation framework applied to the observation system highlights the effect of the non‐modeled factors on catchment dynamics and discharge, such as human intervention in rivers and water uptakes. We show that over Europe, especially in the South, the dominant explanations for discharge trends are non‐climatic factors. Still, in some catchments of Northern Europe, climate change seems to be the dominating driver of change. We hypothesize that th</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pStyle w:val="Heading2"/>
      </w:pPr>
      <w:r>
        <w:t>846.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2026:</w:t>
      </w:r>
      <w:r>
        <w:t xml:space="preserve"> RUPTURES IN CLIMATE DISCOURSE: DIGITAL PUBLICS, POLARISATION, AND ENVIRONMENTAL CONFLICT IN AUSTRALIA AND BRAZIL — https://doi.org/10.5210/spir.v2024i0.15392</w:t>
      </w:r>
    </w:p>
    <w:p>
      <w:pPr/>
      <w:r>
        <w:rPr>
          <w:b/>
        </w:rPr>
        <w:t>Shared claim-specific concepts:</w:t>
      </w:r>
      <w:r>
        <w:t xml:space="preserve"> countries, australia, brazil; EU scope not established. This is a provisional connection, not an outcome finding.</w:t>
      </w:r>
    </w:p>
    <w:p>
      <w:pPr>
        <w:pStyle w:val="SourceNote"/>
      </w:pPr>
      <w:r>
        <w:rPr>
          <w:b/>
        </w:rPr>
        <w:t>Available abstract (not full text):</w:t>
      </w:r>
      <w:r>
        <w:t xml:space="preserve"> Australia and Brazil are on the frontlines of climate crises. Both have experienced significant warming, including intense heatwaves. Both have experienced changes in rainfall patterns, with increases in some regions and decreases in others, affecting biodiversity, agriculture, and infrastructure. Floods and largely destructive bushfires have been major events both countries dealt with in the last decade. The frequency and intensity of such extreme events like bushfires and floods are expected to increase, further increasing the impact to ecosystems and cities. Beyond suffering similar consequences of climate change, both economies rely on extractive industries (mining, agribusiness, and fossil fuels). Brazil is the sixth largest global greenhouse gas emitter, while Australia is one of the largest per capita emitters of greenhouse gases, largely due to its reliance on coal for energy and as an export commodity. In addition to the consequences and causes of climate change, climate activism and advocacy in both countries are highly driven by indigenous and other vulnerable communities, who are also the ones suffering the most severe consequences of ecological destruction. This panel brings together papers that investigate how climate debates unfold in these two nations, focusing on digital public spheres, political polarisation, and discursive struggles over climate action. By ex</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2025:</w:t>
      </w:r>
      <w:r>
        <w:t xml:space="preserve"> Amazon projects pose risks to Brazil and the World — https://doi.org/10.1093/biosci/biaf002</w:t>
      </w:r>
    </w:p>
    <w:p>
      <w:pPr/>
      <w:r>
        <w:rPr>
          <w:b/>
        </w:rPr>
        <w:t>Shared claim-specific concepts:</w:t>
      </w:r>
      <w:r>
        <w:t xml:space="preserve"> countries, brazil, china, indonesia, mexico, united; EU scope visible. This is a provisional connection, not an outcome finding.</w:t>
      </w:r>
    </w:p>
    <w:p>
      <w:pPr>
        <w:pStyle w:val="SourceNote"/>
      </w:pPr>
      <w:r>
        <w:rPr>
          <w:b/>
        </w:rPr>
        <w:t>Available abstract (not full text):</w:t>
      </w:r>
      <w:r>
        <w:t xml:space="preserve"> The 29th Conference of the Parties of the United Nations climate convention (COP 29) was marked by many promises in Baku, Azerbaijan. These annual meetings attempt to address the unfolding climate crisis, and the talks this year left many crucial issues unresolved. In recent years, a series of climate-fueled disasters and extreme events such as Australian bushfires, drought and fires in the Amazon, floods in southern Brazil, Hurricane Milton in the Gulf of Mexico, and North American and Spanish floods have wreaked havoc across the world. The continued upward trajectory of greenhouse gas emissions suggests that the window for limiting warming to 1.5 degrees Celsius (°C) above the preindustrial average may already have closed, given that we have already reached that record temperature in 2024 (Ripple et al. 2024). Unlike major global powers (such as the United States, China, and European Union countries), whose main contributors to greenhouse gas emissions are the burning of fossil fuels, deforestation is the main source of emissions in developing countries that still have large amounts of tropical forest cover, such as Brazil, Bolivia, Peru, Indonesia, and the Democratic Republic of Congo. Tropical forests store about 229 billion tons of carbon in their aboveground live woody vegetation (Baccini et al. 2012), and the conservation of these areas is vital for the mitigation of cli</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pStyle w:val="Heading2"/>
      </w:pPr>
      <w:r>
        <w:t>847.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2025:</w:t>
      </w:r>
      <w:r>
        <w:t xml:space="preserve"> Leveraging Artificial Intelligence for ESG Reporting: A Case Study in the European Fashion Industry — https://doi.org/10.1002/bse.70405</w:t>
      </w:r>
    </w:p>
    <w:p>
      <w:pPr/>
      <w:r>
        <w:rPr>
          <w:b/>
        </w:rPr>
        <w:t>Shared claim-specific concepts:</w:t>
      </w:r>
      <w:r>
        <w:t xml:space="preserve"> driven, growing, awareness, need, sustainable; EU scope visible. This is a provisional connection, not an outcome finding.</w:t>
      </w:r>
    </w:p>
    <w:p>
      <w:pPr>
        <w:pStyle w:val="SourceNote"/>
      </w:pPr>
      <w:r>
        <w:rPr>
          <w:b/>
        </w:rPr>
        <w:t>Available abstract (not full text):</w:t>
      </w:r>
      <w:r>
        <w:t xml:space="preserve"> ABSTRACT The fashion industry in Europe has increasingly recognized the importance of Environmental, Social, and Governance (ESG) reporting as a key driver for sustainable development and transparency. As consumer awareness grows and regulatory frameworks evolve, companies are pressured to disclose their sustainability practices, ethical labor standards, and governance policies. Artificial intelligence (AI) is emerging as a powerful tool in this transformation, providing innovative solutions for data collection, analysis, and reporting. AI‐driven systems support fashion companies in monitoring environmental impacts, optimizing supply chains, and improving labor conditions while ensuring ESG compliance. Their predictive capabilities also enable early detection of ESG risks, supporting proactive sustainability strategies. However, the adoption of AI into ESG monitoring and reporting is still underdeveloped, particularly in sector‐specific contexts. This paper examines the intersection of ESG reporting and the role of AI in enhancing transparency and accountability, in the European fashion industry. Drawing on seven in‐depth interviews with sustainability managers from Italian companies, the study employs thematic analysis to identify key patterns in ESG reporting and AI adoption. The findings reveal heterogeneous ESG maturity levels, limited but growing AI integration, and strong</w:t>
      </w:r>
    </w:p>
    <w:p>
      <w:pPr/>
      <w:r>
        <w:rPr>
          <w:b/>
        </w:rPr>
        <w:t>POSSIBLE 2025:</w:t>
      </w:r>
      <w:r>
        <w:t xml:space="preserve"> Europe’s Energy Shift: From Fossil Fuels to Renewable Energy — https://doi.org/10.28991/esj-2025-09-05-06</w:t>
      </w:r>
    </w:p>
    <w:p>
      <w:pPr/>
      <w:r>
        <w:rPr>
          <w:b/>
        </w:rPr>
        <w:t>Shared claim-specific concepts:</w:t>
      </w:r>
      <w:r>
        <w:t xml:space="preserve"> fossil, sustainable, pathways, economy; EU scope visible. This is a provisional connection, not an outcome finding.</w:t>
      </w:r>
    </w:p>
    <w:p>
      <w:pPr>
        <w:pStyle w:val="SourceNote"/>
      </w:pPr>
      <w:r>
        <w:rPr>
          <w:b/>
        </w:rPr>
        <w:t>Available abstract (not full text):</w:t>
      </w:r>
      <w:r>
        <w:t xml:space="preserve"> Objectives: This study explores the transformation of energy consumption in Europe between 2002 and 2022, focusing on the declining role of fossil fuels and the increasing significance of renewable and nuclear energy sources. The study also considers how countries with varying levels of economic development adopt different energy strategies and how these strategies correlate with shifts in energy usage. A circular economy approach that includes energy recovery from waste and resource reuse is a complementary aspect of sustainable energy transitions. Methods/Analysis: The per capita energy consumption data were analyzed through decile classification and cluster analysis to group countries with similar energy profiles. To explore the relationship between GDP and energy use—both total and renewable—linear and exponential regression models were applied. Outlier countries with atypical consumption trends were excluded to improve model reliability. Statistical analyses were conducted using SPSS, and Excel was used to support the visualization process. Findings: Six distinct clusters of energy consumption patterns emerged. In lower- and middle-GDP countries, renewable energy use showed a stronger exponential correlation with GDP growth than total energy use. While fossil fuel dependence has declined across most countries, the pathways taken have been diverse. High-GDP nations such as </w:t>
      </w:r>
    </w:p>
    <w:p>
      <w:pPr/>
      <w:r>
        <w:rPr>
          <w:b/>
        </w:rPr>
        <w:t>POSSIBLE 2025:</w:t>
      </w:r>
      <w:r>
        <w:t xml:space="preserve"> The Growing Business of Electric Vehicles: A Comprehensive Case Study in Europe — https://doi.org/10.20944/preprints202504.0457.v1</w:t>
      </w:r>
    </w:p>
    <w:p>
      <w:pPr/>
      <w:r>
        <w:rPr>
          <w:b/>
        </w:rPr>
        <w:t>Shared claim-specific concepts:</w:t>
      </w:r>
      <w:r>
        <w:t xml:space="preserve"> driven, growing, need, industrial; EU scope visible. This is a provisional connection, not an outcome finding.</w:t>
      </w:r>
    </w:p>
    <w:p>
      <w:pPr>
        <w:pStyle w:val="SourceNote"/>
      </w:pPr>
      <w:r>
        <w:rPr>
          <w:b/>
        </w:rPr>
        <w:t>Available abstract (not full text):</w:t>
      </w:r>
      <w:r>
        <w:t xml:space="preserve"> The European electric vehicle (EV) market represents one of the most ambitious and comprehensive mobility transitions in history. This case study examines Europe’s rapid EV adoption, driven by a unique convergence of regulatory mandates, economic incentives, technological innovation, and shifting consumer behavior. The European Union’s binding climate policies—including the Fit for 55 package and Euro 7 standards—have forced automakers to accelerate electrification, while national subsidies and tax benefits have made EVs financially attractive. Technological advancements, such as solid-state batteries and ultra-fast charging, have addressed early limitations, and corporate fleets are increasingly driving demand. However, challenges like supply chain vulnerabilities, charging infrastructure gaps, and affordability barriers persist, particularly in Southern and Eastern Europe. The report highlights Europe’s pioneering strategies, from Norway’s incentive-driven success to Germany’s industrial transition programs, while underscoring the need for equitable solutions to ensure inclusive growth. By 2035, EVs are projected to dominate Europe’s roads, reshaping energy systems, urban mobility, and employment landscapes. The study concludes that Europe’s experience offers critical lessons for global markets: electrification requires not just new vehicles but an integrated ecosystem approa</w:t>
      </w:r>
    </w:p>
    <w:p>
      <w:pPr/>
      <w:r>
        <w:rPr>
          <w:b/>
        </w:rPr>
        <w:t>POSSIBLE 2025:</w:t>
      </w:r>
      <w:r>
        <w:t xml:space="preserve"> Environmental and Social Impacts of Renewable Energy-Driven Centralized Heating/Cooling Systems: A Comparison with Conventional Fossil Fuel-Based Systems — https://doi.org/10.3390/en18195150</w:t>
      </w:r>
    </w:p>
    <w:p>
      <w:pPr/>
      <w:r>
        <w:rPr>
          <w:b/>
        </w:rPr>
        <w:t>Shared claim-specific concepts:</w:t>
      </w:r>
      <w:r>
        <w:t xml:space="preserve"> fossil, need, sustainable, potential; EU scope visible. This is a provisional connection, not an outcome finding.</w:t>
      </w:r>
    </w:p>
    <w:p>
      <w:pPr>
        <w:pStyle w:val="SourceNote"/>
      </w:pPr>
      <w:r>
        <w:rPr>
          <w:b/>
        </w:rPr>
        <w:t>Available abstract (not full text):</w:t>
      </w:r>
      <w:r>
        <w:t xml:space="preserve"> Heating and cooling (H&amp;C) account for nearly half of the EU’s energy consumption, with significant potential for decarbonization through renewable energy sources (RES) integrated in district heating and cooling (DHC) systems. This study evaluates the environmental and social impacts of RES-powered DHC solutions implemented in three European small-scale demo sites (Bucharest, Luleå, Córdoba) under the Horizon 2020 WEDISTRICT project. Using the Life Cycle Assessment (LCA) and Social Life Cycle Assessment (S-LCA) methodologies, the research compares baseline fossil-based energy scenarios with post-implementation renewable scenarios. Results reveal substantial greenhouse gas emission reductions (up to 67%) and positive environmental trade-offs, though increased mineral and metal resource use and site-specific impacts on water and land use highlight important sustainability challenges. Social assessments demonstrate improvements in gender parity, local employment, and occupational safety, yet reveal persistent issues in wage equity, union representation, and inclusion of vulnerable populations. The findings emphasize that while renewable DHC systems offer significant climate benefits, social sustainability requires tailored local strategies and robust governance to avoid exacerbating inequalities. This integrated environmental-social perspective underscores the need for holistic pol</w:t>
      </w:r>
    </w:p>
    <w:p>
      <w:pPr>
        <w:pStyle w:val="Heading2"/>
      </w:pPr>
      <w:r>
        <w:t>848.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Growth patterns in patients with congenital adrenal hyperplasia analyzed by the QEPS growth model — https://doi.org/10.3389/fendo.2026.1736405</w:t>
      </w:r>
    </w:p>
    <w:p>
      <w:pPr/>
      <w:r>
        <w:rPr>
          <w:b/>
        </w:rPr>
        <w:t>Shared claim-specific concepts:</w:t>
      </w:r>
      <w:r>
        <w:t xml:space="preserve"> population, patients; EU scope not established. This is a provisional connection, not an outcome finding.</w:t>
      </w:r>
    </w:p>
    <w:p>
      <w:pPr>
        <w:pStyle w:val="SourceNote"/>
      </w:pPr>
      <w:r>
        <w:rPr>
          <w:b/>
        </w:rPr>
        <w:t>Available abstract (not full text):</w:t>
      </w:r>
      <w:r>
        <w:t xml:space="preserve"> Context: Patients with congenital adrenal hyperplasia (CAH) often face challenges in achieving their target adult height. The QEPS growth model, previously used for assessing healthy and pathological growth patterns, has not been applied to individuals with CAH. Objective: To evaluate growth patterns in patients with CAH using the QEPS growth model and to compare their growth characteristics with a healthy reference population. Design: A retrospective longitudinal study analyzing growth data collected from 1986 to 2008. Setting: The study was conducted in a single tertiary care center. Patients: The study included 25 patients (13 girls) with CAH, subtyped into salt wasting (SW; 12 boys, 8 girls) and simple virilizing (SV; 5 girls). Growth data were compared with a healthy reference cohort. Interventions: All patients were treated with hydrocortisone, and patients with CAH-SW received mineralocorticoids. Main outcome measures: Growth patterns were analyzed using the QEPS model, which includes specific early life growth (E-function), basic childhood growth (Q-function), and specific pubertal growth (P-function). Final adult height was compared with the reference population and parental heights. Results: CAH-SW boys and girls were longer at birth, exhibited reduced early-life growth, and had reduced puberty-specific growth (lower Pmax), resulting in shorter adult height (1.7 SDS).</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pStyle w:val="Heading2"/>
      </w:pPr>
      <w:r>
        <w:t>849.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2025:</w:t>
      </w:r>
      <w:r>
        <w:t xml:space="preserve"> VisionZip: Longer is Better but Not Necessary in Vision Language Models — https://doi.org/10.1109/cvpr52734.2025.01843</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Recent advancements in vision-language models have enhanced performance by increasing the length of visual tokens, making them much longer than text tokens and significantly raising computational costs. However, we observe that the visual tokens generated by popular vision encoders, such as CLIP and SigLIP, contain significant redundancy. To address this, we introduce VisionZip, a simple yet effective method that selects a set of informative tokens for input to the language model, reducing visual token redundancy and improving efficiency while maintaining model performance. The proposed VisionZip can be widely applied to image and video understanding tasks and is well-suited for multi-turn dialogues in real-world scenarios, where previous methods tend to underperform. Experimental results show that VisionZip outperforms the previous state-of-the-art method by at least 5% performance gains across nearly all settings. Moreover, our method significantly enhances model inference speed, improving the prefilling time by 8× and enabling the LLaVA-Next 13B model to infer faster than the LLaVA-Next 7B model while achieving better results. Furthermore, we analyze the causes of this redundancy and encourage the community to focus on extracting better visual features rather than merely increasing token length. Our code is available at https://github.com/dvlab-research/VisionZip.</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2024:</w:t>
      </w:r>
      <w:r>
        <w:t xml:space="preserve"> A Survey on Efficient Vision Transformers: Algorithms, Techniques, and Performance Benchmarking — https://doi.org/10.1109/tpami.2024.3392941</w:t>
      </w:r>
    </w:p>
    <w:p>
      <w:pPr/>
      <w:r>
        <w:rPr>
          <w:b/>
        </w:rPr>
        <w:t>Shared claim-specific concepts:</w:t>
      </w:r>
      <w:r>
        <w:t xml:space="preserve"> popular, vision, called; EU scope not established. This is a provisional connection, not an outcome finding.</w:t>
      </w:r>
    </w:p>
    <w:p>
      <w:pPr>
        <w:pStyle w:val="SourceNote"/>
      </w:pPr>
      <w:r>
        <w:rPr>
          <w:b/>
        </w:rPr>
        <w:t>Available abstract (not full text):</w:t>
      </w:r>
      <w:r>
        <w:t xml:space="preserve"> Vision Transformer (ViT) architectures are becoming increasingly popular and widely employed to tackle computer vision applications. Their main feature is the capacity to extract global information through the self-attention mechanism, outperforming earlier convolutional neural networks. However, ViT deployment and performance have grown steadily with their size, number of trainable parameters, and operations. Furthermore, self-attention's computational and memory cost quadratically increases with the image resolution. Generally speaking, it is challenging to employ these architectures in real-world applications due to many hardware and environmental restrictions, such as processing and computational capabilities. Therefore, this survey investigates the most efficient methodologies to ensure sub-optimal estimation performances. More in detail, four efficient categories will be analyzed: compact architecture, pruning, knowledge distillation, and quantization strategies. Moreover, a new metric called Efficient Error Rate has been introduced in order to normalize and compare models' features that affect hardware devices at inference time, such as the number of parameters, bits, FLOPs, and model size. Summarizing, this paper first mathematically defines the strategies used to make Vision Transformer efficient, describes and discusses state-of-the-art methodologies, and analyzes the</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2023:</w:t>
      </w:r>
      <w:r>
        <w:t xml:space="preserve"> A review on the application of computer vision and machine learning in the tea industry — https://doi.org/10.3389/fsufs.2023.1172543</w:t>
      </w:r>
    </w:p>
    <w:p>
      <w:pPr/>
      <w:r>
        <w:rPr>
          <w:b/>
        </w:rPr>
        <w:t>Shared claim-specific concepts:</w:t>
      </w:r>
      <w:r>
        <w:t xml:space="preserve"> popular, vision, world; EU scope not established. This is a provisional connection, not an outcome finding.</w:t>
      </w:r>
    </w:p>
    <w:p>
      <w:pPr>
        <w:pStyle w:val="SourceNote"/>
      </w:pPr>
      <w:r>
        <w:rPr>
          <w:b/>
        </w:rPr>
        <w:t>Available abstract (not full text):</w:t>
      </w:r>
      <w:r>
        <w:t xml:space="preserve"> Tea is rich in polyphenols, vitamins, and protein, which is good for health and tastes great. As a result, tea is very popular and has become the second most popular beverage in the world after water. For this reason, it is essential to improve the yield and quality of tea. In this paper, we review the application of computer vision and machine learning in the tea industry in the last decade, covering three crucial stages: cultivation, harvesting, and processing of tea. We found that many advanced artificial intelligence algorithms and sensor technologies have been used in tea, resulting in some vision-based tea harvesting equipment and disease detection methods. However, these applications focus on the identification of tea buds, the detection of several common diseases, and the classification of tea products. Clearly, the current applications have limitations and are insufficient for the intelligent and sustainable development of the tea field. The current fruitful developments in technologies related to UAVs, vision navigation, soft robotics, and sensors have the potential to provide new opportunities for vision-based tea harvesting machines, intelligent tea garden management, and multimodal-based tea processing monitoring. Therefore, research and development combining computer vision and machine learning is undoubtedly a future trend in the tea industry.</w:t>
      </w:r>
    </w:p>
    <w:p>
      <w:pPr/>
      <w:r>
        <w:rPr>
          <w:b/>
        </w:rPr>
        <w:t>POSSIBLE 2022:</w:t>
      </w:r>
      <w:r>
        <w:t xml:space="preserve"> Transnational Solidarities and Competing Visions of Europe: Vienna's Vote on the Russo‐Japanese War — https://doi.org/10.1111/1468-229x.13327</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Abstract The 1904–05 Russo‐Japanese War is commonly described as a clash between a European power (Russia) and an Asian one (Japan). This binary framing is problematic, however, as ideas of Europeanness and Asianness were hotly contested during the war. Both Russia and Japan laid claim to being more European than the other, based on competing notions of racial and ideological kinship. The Russo‐Japanese War instantaneously became a first‐rate media event that galvanised audiences worldwide, prompting them to take sides with one or the other of the belligerents. This article examines reactions to the war in the public sphere of Vienna in neutral Austria‐Hungary. It focusses especially on an opinion survey launched by the popular newspaper Illustrirtes Wiener Extrablatt in late February 1904, which attracted more than 12,000 responses and resulted in a narrow victory for Japan. The survey provides us with a valuable sample of ordinary people's voices on the war and reveals that Viennese society was deeply split between solidarity with Russia and with Japan, reflecting the contested socio‐political situation in the city and in the Austro‐Hungarian Empire as a whole. While supporters of Russia excluded Japan from a racially, religiously and geographically defined vision of Europe, supporters of Japan often envisioned a community of civilisation, freedom and justice, which excluded </w:t>
      </w:r>
    </w:p>
    <w:p>
      <w:pPr/>
      <w:r>
        <w:rPr>
          <w:b/>
        </w:rPr>
        <w:t>POSSIBLE 2022:</w:t>
      </w:r>
      <w:r>
        <w:t xml:space="preserve"> Vision-Based Anti-UAV Detection and Tracking — https://doi.org/10.1109/tits.2022.3177627</w:t>
      </w:r>
    </w:p>
    <w:p>
      <w:pPr/>
      <w:r>
        <w:rPr>
          <w:b/>
        </w:rPr>
        <w:t>Shared claim-specific concepts:</w:t>
      </w:r>
      <w:r>
        <w:t xml:space="preserve"> vision, called, simple, based; EU scope not established. This is a provisional connection, not an outcome finding.</w:t>
      </w:r>
    </w:p>
    <w:p>
      <w:pPr>
        <w:pStyle w:val="SourceNote"/>
      </w:pPr>
      <w:r>
        <w:rPr>
          <w:b/>
        </w:rPr>
        <w:t>Available abstract (not full text):</w:t>
      </w:r>
      <w:r>
        <w:t xml:space="preserve"> Unmanned aerial vehicles (UAV) have been widely used in various fields, and their invasion of security and privacy has aroused social concern. Several detection and tracking systems for UAVs have been introduced in recent years, but most of them are based on radio frequency, radar, and other media. We assume that the field of computer vision is mature enough to detect and track invading UAVs. Thus we propose a visible light mode dataset called Dalian University of Technology Anti-UAV dataset, DUT Anti-UAV for short. It contains a detection dataset with a total of 10,000 images and a tracking dataset with 20 videos that include short-term and long-term sequences. All frames and images are manually annotated precisely. We use this dataset to train several existing detection algorithms and evaluate the algorithms’ performance. Several tracking methods are also tested on our tracking dataset. Furthermore, we propose a clear and simple tracking algorithm combined with detection that inherits the detector’s high precision. Extensive experiments show that the tracking performance is improved considerably after fusing detection, thus providing a new attempt at UAV tracking using our dataset. The datasets and results are publicly available at:https://github.com/wangdongdut/DUT-Anti-UAV.</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pStyle w:val="Heading2"/>
      </w:pPr>
      <w:r>
        <w:t>850.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2026:</w:t>
      </w:r>
      <w:r>
        <w:t xml:space="preserve"> A storyline approach to select the CMIP6 model ensemble to be downscaled for the South America domain — https://doi.org/10.1007/s00382-025-08017-8</w:t>
      </w:r>
    </w:p>
    <w:p>
      <w:pPr/>
      <w:r>
        <w:rPr>
          <w:b/>
        </w:rPr>
        <w:t>Shared claim-specific concepts:</w:t>
      </w:r>
      <w:r>
        <w:t xml:space="preserve"> used, storylines, three, different; EU scope not established. This is a provisional connection, not an outcome finding.</w:t>
      </w:r>
    </w:p>
    <w:p>
      <w:pPr>
        <w:pStyle w:val="SourceNote"/>
      </w:pPr>
      <w:r>
        <w:rPr>
          <w:b/>
        </w:rPr>
        <w:t>Available abstract (not full text):</w:t>
      </w:r>
      <w:r>
        <w:t xml:space="preserve"> Abstract Selecting the most appropriate Global Climate Models (GCMs) is necessary for Regional Climate Models (RCMs) downscaling. We propose a methodology to select CMIP6 GCMs based on the representation of the multiple physical processes which control regional circulation in a specific domain and the uncertainty in the precipitation projections. To develop the methodology, we identified relevant climate features for the South American (SA) region, focusing on the two most important climatological features: the South American Monsoon System (SAMS) and extratropical cyclones. A set of indicators was defined based on the precipitation in three specific regions (the La Plata and Amazon basins, and Southeastern Brazil) and circulation patterns that are part of the SAMS and control the tracking of extratropical cyclones (South American Low-Level jets, South Atlantic and South Pacific Subtropical Highs, trade winds, Bolivian High, cyclonic vortices, and upper-level jet stream). The selection of the CMIP6 GCM ensemble is based on historical validation of the circulation patterns and the spread in possible future circulation changes that can lead to different precipitation responses. We used a storyline approach to assess the spread in the precipitation response controlled by regional circulation uncertainty and to identify the wettest and driest possible futures. To assess both SAMS (</w:t>
      </w:r>
    </w:p>
    <w:p>
      <w:pPr/>
      <w:r>
        <w:rPr>
          <w:b/>
        </w:rPr>
        <w:t>POSSIBLE 2026:</w:t>
      </w:r>
      <w:r>
        <w:t xml:space="preserve"> Once upon a future heatwave: A practical storyline chain from existing climate data to stakeholder engagement — https://doi.org/10.1016/j.cliser.2026.100681</w:t>
      </w:r>
    </w:p>
    <w:p>
      <w:pPr/>
      <w:r>
        <w:rPr>
          <w:b/>
        </w:rPr>
        <w:t>Shared claim-specific concepts:</w:t>
      </w:r>
      <w:r>
        <w:t xml:space="preserve"> used, storylines, different; EU scope not established. This is a provisional connection, not an outcome finding.</w:t>
      </w:r>
    </w:p>
    <w:p>
      <w:pPr>
        <w:pStyle w:val="SourceNote"/>
      </w:pPr>
      <w:r>
        <w:rPr>
          <w:b/>
        </w:rPr>
        <w:t>Available abstract (not full text):</w:t>
      </w:r>
      <w:r>
        <w:t xml:space="preserve"> With ongoing global warming, the occurrence of unprecedented, record-breaking heat extremes steadily rises. Storylines, or tales of future weather, are an increasingly popular climate communication strategy that describe how specific, individual events may arise and how severe they may become under different background climates. By focusing on plausibility rather than probability, they can help stress-test current policy and infrastructure, and support adaptation planning and heat-risk preparedness. What remains less developed is a practical workflow for building event-based storylines and bringing them into stakeholder discussions. Here, we present a readily applicable chain of methodological steps for constructing stakeholder-oriented tales of future weather using only existing simulation output and observational datasets. The chain incorporates Global Warming Scaling and ensemble mining to identify plausible future years of extreme heat in climate-model projections by matching specific indices derived from scaled observations. We apply the method to the EURO-CORDEX ensemble to assess heat extremes in a future Belgian climate corresponding to 2°of global warming. From the mining results, an example event is chosen and used as input for impact modeling, after which model outputs are translated into a coherent and communicable tale. This tale is presented to national stakeholde</w:t>
      </w:r>
    </w:p>
    <w:p>
      <w:pPr/>
      <w:r>
        <w:rPr>
          <w:b/>
        </w:rPr>
        <w:t>POSSIBLE 2026:</w:t>
      </w:r>
      <w:r>
        <w:t xml:space="preserve"> Could the 2018 Amsterdam heatwave have been more extreme? A climate risk storyline of plausible extreme heat — https://doi.org/10.5194/egusphere-egu26-8221</w:t>
      </w:r>
    </w:p>
    <w:p>
      <w:pPr/>
      <w:r>
        <w:rPr>
          <w:b/>
        </w:rPr>
        <w:t>Shared claim-specific concepts:</w:t>
      </w:r>
      <w:r>
        <w:t xml:space="preserve"> then, storylines, different, leading; EU scope visible. This is a provisional connection, not an outcome finding.</w:t>
      </w:r>
    </w:p>
    <w:p>
      <w:pPr>
        <w:pStyle w:val="SourceNote"/>
      </w:pPr>
      <w:r>
        <w:rPr>
          <w:b/>
        </w:rPr>
        <w:t>Available abstract (not full text):</w:t>
      </w:r>
      <w:r>
        <w:t xml:space="preserve"> The Royal Netherlands Meteorological Institute (KNMI) recently published nine different climate risk storylines to prepare for climate hazards in the current and near future climate. This study specifically zooms in on the climate risk storyline for a heatwave in Amsterdam. The summer of 2018 was exceptional, leading to the first code Orange for extreme heat. In this study we investigate whether, and how, the heatwave of 2018 could plausibly have evolved into a more extreme event. Using ensemble forecasts from ECMWF, we identify an alternative but physically consistent meteorological evolution in which the cooling front of late July 2018 did not reach the Netherlands. This alternative scenario, termed ‘Heatwave XL’, is dynamically downscaled using the regional climate model RACMO, with corrections for model bias. Urban heat island diagnostics are applied to derive spatially explicit heat exposure across Amsterdam. Sectoral impact knowledge from impact partners is then integrated to assess potential societal impacts and cascading effects. The Heatwave XL storyline results in several additional days of extreme daytime temperatures exceeding 35 °C, combined with persistently hot nights, likely exacerbating societal impacts already seen in 2018. This case demonstrates the value of storyline approaches for stress-testing preparedness and supporting anticipatory decision-making under</w:t>
      </w:r>
    </w:p>
    <w:p>
      <w:pPr/>
      <w:r>
        <w:rPr>
          <w:b/>
        </w:rPr>
        <w:t>POSSIBLE 2026:</w:t>
      </w:r>
      <w:r>
        <w:t xml:space="preserve"> Ambient temperature and impacts on preterm birth: A storyline approach — https://doi.org/10.64898/2026.10.07.26364935</w:t>
      </w:r>
    </w:p>
    <w:p>
      <w:pPr/>
      <w:r>
        <w:rPr>
          <w:b/>
        </w:rPr>
        <w:t>Shared claim-specific concepts:</w:t>
      </w:r>
      <w:r>
        <w:t xml:space="preserve"> then, used, demographic; EU scope visible. This is a provisional connection, not an outcome finding.</w:t>
      </w:r>
    </w:p>
    <w:p>
      <w:pPr>
        <w:pStyle w:val="SourceNote"/>
      </w:pPr>
      <w:r>
        <w:rPr>
          <w:b/>
        </w:rPr>
        <w:t>Available abstract (not full text):</w:t>
      </w:r>
      <w:r>
        <w:t xml:space="preserve"> Abstract Background Non-optimal air temperature increases the risk of preterm birth, but how temperature-related risks may translate into future population burden remains uncertain. We aimed to estimate the association between temperature and preterm birth in Sweden and assess how preterm birth burden may change under plausible future temperature conditions. Methods We conducted a nationwide population-based cohort study of singleton births in Sweden from 1973 to 2018. Weekly mean temperature was assigned at the parish level according to maternal residence. Cox proportional hazards models with a distributed lag nonlinear model were used to estimate nonlinear and delayed associations between temperature and preterm birth. The estimated exposure–response relationship and baseline hazards were then incorporated into an individual-based microsimulation of gestational progression under projected temperatures for 2025–2055. Future projections were examined across multiple climate models under SSP1-2.6 and SSP3-7.0 scenarios. Outcomes included the annual number and cumulative incidence of preterm births and the temperature-attributable fraction. Results Among 4,338,825 singleton births, 211,397 (4.9%) were preterm. Temperature–preterm birth associations were modest overall. The clearest increase in hazard was observed following exposure to very low temperatures, particularly −10°C at </w:t>
      </w:r>
    </w:p>
    <w:p>
      <w:pPr/>
      <w:r>
        <w:rPr>
          <w:b/>
        </w:rPr>
        <w:t>POSSIBLE 2026:</w:t>
      </w:r>
      <w:r>
        <w:t xml:space="preserve"> Neuroadaptive Generative Gaming using Artificial Intelligence and Brain–Computer Interface for Real-Time Storyline Evolution — https://doi.org/10.56726/irjmets85487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The rapid evolution of Artificial Intelligence (AI) and Brain-Computer Interface (BCI) technologies is revolutionizing the way humans interact with digital systems, particularly within the gaming industry.This study introduces and explores the emerging paradigm of Neuroadaptive Generative Gaming, a nextgeneration approach that merges cognitive neuroscience, emotion-aware computing, and generative artificial intelligence to enable dynamically evolving narrative experiences.The core objective of this research is to design a hybridized system in which BCI-derived neural data and Generative AI models collaborate to adapt in-game storylines, missions, dialogues, and environmental factors in real time, in response to a player's cognitive and emotional states.In this proposed framework, the player's brain activity-captured through electroencephalography (EEG) signals-is continuously analyzed using machine learning classifiers to interpret affective states such as engagement, frustration, relaxation, or excitement.These real-time affective indicators are transmitted to a Generative Language Model (LLM) that reconstructs the narrative context dynamically.For instance, when heightened excitement or stress is detected, the system can autonomously alter gameplay intensity, modify environmental tone, or reconfigure dialogue structures to sustain player immersion.Conversely, in calmer states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pStyle w:val="Heading2"/>
      </w:pPr>
      <w:r>
        <w:t>851.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2026:</w:t>
      </w:r>
      <w:r>
        <w:t xml:space="preserve"> ClimRisk.eu: Regional climate projections for Europe — https://doi.org/10.5194/ems2026-518</w:t>
      </w:r>
    </w:p>
    <w:p>
      <w:pPr/>
      <w:r>
        <w:rPr>
          <w:b/>
        </w:rPr>
        <w:t>Shared claim-specific concepts:</w:t>
      </w:r>
      <w:r>
        <w:t xml:space="preserve"> climate, projections, precipitation, even;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Environmental determinants and potential suitability for Phlebotomus mascittii sand flies in central-western Europe under future Shared Socioeconomic Pathways climate change projections — https://doi.org/10.21203/rs.3.rs-8718479/v1</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climate, projections, end, century;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pStyle w:val="Heading2"/>
      </w:pPr>
      <w:r>
        <w:t>852.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2026:</w:t>
      </w:r>
      <w:r>
        <w:t xml:space="preserve"> STRATEGIC DIRECTIONS FOR THE DEVELOPMENT OF TELECOMMUNICATION SERVICES IN UKRAINE IN THE CONDITIONS OF EUROPEAN INTEGRATION — https://doi.org/10.32752/1993-6788-2026-1-295-630-637</w:t>
      </w:r>
    </w:p>
    <w:p>
      <w:pPr/>
      <w:r>
        <w:rPr>
          <w:b/>
        </w:rPr>
        <w:t>Shared claim-specific concepts:</w:t>
      </w:r>
      <w:r>
        <w:t xml:space="preserve"> directions, requirements, conditions; EU scope visible. This is a provisional connection, not an outcome finding.</w:t>
      </w:r>
    </w:p>
    <w:p>
      <w:pPr>
        <w:pStyle w:val="SourceNote"/>
      </w:pPr>
      <w:r>
        <w:rPr>
          <w:b/>
        </w:rPr>
        <w:t>Available abstract (not full text):</w:t>
      </w:r>
      <w:r>
        <w:t xml:space="preserve"> The article substantiates the strategic directions of development of telecommunications services in Ukraine in the context of European integration as the basic infrastructure of the digital economy and society. It is shown that the European integration vector transforms the logic of the industry's functioning through the requirements of market openness, technological neutrality, consumer protection and guaranteeing the continuity of service provision. Key development challenges are identified: uneven infrastructure coverage between regions, asymmetry between the pace of digital transformation and investment opportunities of networks, as well as increasing requirements for quality, cyber resilience and data protection. The strategic vectors of development of telecommunications services (infrastructure, regulatory, technological and social) are systematized and their systemic effect for reducing the digital divide, increasing market transparency and competitiveness of operators is revealed. It is proven that the transformation of the market under the influence of European integration is manifested in the consolidation of the structure, the transition from basic services to complex digital solutions and the growth of investment activity, while at the same time increasing financial and institutional risks. It is substantiated that the coordination of telecommunications development </w:t>
      </w:r>
    </w:p>
    <w:p>
      <w:pPr/>
      <w:r>
        <w:rPr>
          <w:b/>
        </w:rPr>
        <w:t>POSSIBLE 2026:</w:t>
      </w:r>
      <w:r>
        <w:t xml:space="preserve"> MAIN DIRECTIONS OF PENSION SYSTEM REFORM IN THE EU COUNTRIES AND UKRAINE — https://doi.org/10.32782/business-navigator.85-43</w:t>
      </w:r>
    </w:p>
    <w:p>
      <w:pPr/>
      <w:r>
        <w:rPr>
          <w:b/>
        </w:rPr>
        <w:t>Shared claim-specific concepts:</w:t>
      </w:r>
      <w:r>
        <w:t xml:space="preserve"> possible, directions, different, conditions; EU scope visible. This is a provisional connection, not an outcome finding.</w:t>
      </w:r>
    </w:p>
    <w:p>
      <w:pPr>
        <w:pStyle w:val="SourceNote"/>
      </w:pPr>
      <w:r>
        <w:rPr>
          <w:b/>
        </w:rPr>
        <w:t>Available abstract (not full text):</w:t>
      </w:r>
      <w:r>
        <w:t xml:space="preserve"> The article examines the main directions of pension system reform in the countries of the European Union and Ukraine in the context of contemporary socio-economic transformations. The theoretical foundations of the functioning of pension provision are analyzed, and its role in shaping the system of social protection of the population is determined. Particular attention is paid to the analysis of the current state of pension systems, key trends in their development, and the challenges faced by European countries and Ukraine under conditions of demographic and economic change. The main factors that determine the need for pension system reform are identified, including demographic population aging, increasing life expectancy, a decrease in the share of the economically active population, an increasing burden on working citizens, as well as the financial instability of solidarity pension systems. The study examines the main models of pension provision operating in the countries of the European Union and identifies their characteristic features. The experience of implementing multi-pillar pension systems that combine solidarity, funded, and private pension provision levels is analyzed. It is demonstrated that the combination of different mechanisms for the formation of pension benefits makes it possible to increase the financial stability of the system, ensure the diversification of</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853.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2025:</w:t>
      </w:r>
      <w:r>
        <w:t xml:space="preserve"> Narrative and case law — https://doi.org/10.4324/9781003404668-3</w:t>
      </w:r>
    </w:p>
    <w:p>
      <w:pPr/>
      <w:r>
        <w:rPr>
          <w:b/>
        </w:rPr>
        <w:t>Shared claim-specific concepts:</w:t>
      </w:r>
      <w:r>
        <w:t xml:space="preserve"> considers, extent, case, within, critical; EU scope not established. This is a provisional connection, not an outcome finding.</w:t>
      </w:r>
    </w:p>
    <w:p>
      <w:pPr>
        <w:pStyle w:val="SourceNote"/>
      </w:pPr>
      <w:r>
        <w:rPr>
          <w:b/>
        </w:rPr>
        <w:t>Available abstract (not full text):</w:t>
      </w:r>
      <w:r>
        <w:t xml:space="preserve"> This chapter addresses the particular and the general in narrative, and in masterplots, as an approach to questions of authority and change in the law. It argues that the concept of ‘masterplot’ encapsulates a reciprocity between the particular and the general that is fundamental to narrative as a mode of cognition, and that this foundation of narrative authority is essential to the principles of case law, as expounded by Oliver Wendell Holmes Jr. These principles are thrown into relief by two contrasting views of the authority of law, from Frederick Schauer and Meir Sternberg – both of whom, however, misconstrue the reciprocal relation involved. The chapter draws out the respects in which the particular–general dynamic within the narrative bears upon the strengths and weaknesses of the common law and considers the extent to which the critical concept of masterplot may help hold the law’s authority up to proper scrutiny.</w:t>
      </w:r>
    </w:p>
    <w:p>
      <w:pPr/>
      <w:r>
        <w:rPr>
          <w:b/>
        </w:rPr>
        <w:t>POSSIBLE 2025:</w:t>
      </w:r>
      <w:r>
        <w:t xml:space="preserve"> Increasing frequency and spatial extent of cattle heat stress conditions in the Southern plains of the USA — https://doi.org/10.1038/s41598-025-99621-5</w:t>
      </w:r>
    </w:p>
    <w:p>
      <w:pPr/>
      <w:r>
        <w:rPr>
          <w:b/>
        </w:rPr>
        <w:t>Shared claim-specific concepts:</w:t>
      </w:r>
      <w:r>
        <w:t xml:space="preserve"> extent, conditions, critical; EU scope not established. This is a provisional connection, not an outcome finding.</w:t>
      </w:r>
    </w:p>
    <w:p>
      <w:pPr>
        <w:pStyle w:val="SourceNote"/>
      </w:pPr>
      <w:r>
        <w:rPr>
          <w:b/>
        </w:rPr>
        <w:t>Available abstract (not full text):</w:t>
      </w:r>
      <w:r>
        <w:t xml:space="preserve"> Oklahoma, as part of the Southern Plains region and a key contributor to U.S. cattle production, faces increasing heat stress due to climate change, which can adversely influence livestock. We analyzed data from 121 Oklahoma Mesonet stations (1998-2022) to assess the spatio-temporal patterns of heat stress that influence cattle production across the state. Using the temperature humidity index (THI) and comprehensive climate index (CCI), we counted the number of days that exceeded critical thresholds for cattle production. Based on THI, only 12% of stations showed a significant increase in heat stress, while more than 60% did based on CCI, driven mainly by significantly lower summer wind speeds. Statewide cattle and calf inventory data showed a significant decrease in cattle numbers, especially following years with a large number of heat stress days based on CCI. At the county level, decreasing inventory often aligned with increasing heat stress, which suggested a strong relationship between heat stress and cattle health. With the number of heat stress days increasing by up to four days per year, adaptive strategies are crucial to mitigate the negative impacts of heat stress on cattle health and productivity in this region.</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pStyle w:val="Heading2"/>
      </w:pPr>
      <w:r>
        <w:t>854.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2026:</w:t>
      </w:r>
      <w:r>
        <w:t xml:space="preserve"> The Role of Fiscal Policy in the Management of Nigerian Economy — https://doi.org/10.61090/aksujomas.11312</w:t>
      </w:r>
    </w:p>
    <w:p>
      <w:pPr/>
      <w:r>
        <w:rPr>
          <w:b/>
        </w:rPr>
        <w:t>Shared claim-specific concepts:</w:t>
      </w:r>
      <w:r>
        <w:t xml:space="preserve"> not, fiscal, effect, strong, but; EU scope not established. This is a provisional connection, not an outcome finding.</w:t>
      </w:r>
    </w:p>
    <w:p>
      <w:pPr>
        <w:pStyle w:val="SourceNote"/>
      </w:pPr>
      <w:r>
        <w:rPr>
          <w:b/>
        </w:rPr>
        <w:t>Available abstract (not full text):</w:t>
      </w:r>
      <w:r>
        <w:t xml:space="preserve"> This study critically examined the role of fiscal policy in managing Nigeria’s economy, specifically assessing the impact of government expenditure, taxation, and public debt on Real Gross Domestic Product (RGDP). It employed time series data and the Autoregressive Distributed Lag (ARDL) model, supported by unit root tests and bounds testing to analyze short-run and long-run dynamics. The key findings were clear. Firstly, government spending, especially on areas like roads, schools, and hospitals, had a strong positive effect on economic growth, particularly in the short term. Secondly, taxes were found to have a slight negative effect on growth, but this result was not strong enough to be definitive, suggesting the current tax system may be inefficient. Finally, public debt helped the economy a little in the short run but became harmful to long-term growth if too much debt was accumulated. The study concluded that wise fiscal policy is vital for Nigeria. It recommended that the government should focus on productive spending, reform the tax system to make it more growth-friendly, and be very careful to only borrow for projects that will benefit the economy in the future, ensuring debt remains sustainable.</w:t>
      </w:r>
    </w:p>
    <w:p>
      <w:pPr>
        <w:pStyle w:val="Heading2"/>
      </w:pPr>
      <w:r>
        <w:t>855.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2026:</w:t>
      </w:r>
      <w:r>
        <w:t xml:space="preserve"> The politics of borders:How intra-European border policies shape political attitudes in the European Union — https://openalex.org/W7204152672</w:t>
      </w:r>
    </w:p>
    <w:p>
      <w:pPr/>
      <w:r>
        <w:rPr>
          <w:b/>
        </w:rPr>
        <w:t>Shared claim-specific concepts:</w:t>
      </w:r>
      <w:r>
        <w:t xml:space="preserve"> union, reach; EU scope visible. This is a provisional connection, not an outcome finding.</w:t>
      </w:r>
    </w:p>
    <w:p>
      <w:pPr>
        <w:pStyle w:val="SourceNote"/>
      </w:pPr>
      <w:r>
        <w:rPr>
          <w:b/>
        </w:rPr>
        <w:t>Available abstract (not full text):</w:t>
      </w:r>
      <w:r>
        <w:t xml:space="preserve"> When governments close borders, how do they justify this and what happens to the people who live near them? This dissertation investigates how intra-European border policies shape the political attitudes of EU citizens. Although the Schengen Area was built on the promise of free movement, Member States have increasingly reintroduced temporary border controls, as was most visible during the migration crisis and the COVID-19 pandemic. This dissertation asks whether these decisions impact not just travel and trade, but also how citizens relate to their governments and to Europe itself. I argue that border policies reach citizens through both, direct experience and official communication. Those living in border regions feel the consequences in their daily lives through disrupted routines, economic uncertainty, and changed social interactions. Citizens are also exposed to how governments justify these measures, for example as legal obligations, security, or cooperative action. Drawing on original datasets that combine survey data, government communications, and detailed border closure records across Germany, France, and the Netherlands, the findings reveal a mixed picture. Direct exposure produces significant but temporary attitudinal shifts. Government justifications matter less for their specific content than for whether they meet basic standards of accountability. Taken together,</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union, provide, climate;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pStyle w:val="Heading2"/>
      </w:pPr>
      <w:r>
        <w:t>856.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2026:</w:t>
      </w:r>
      <w:r>
        <w:t xml:space="preserve"> Governing asylum seekers : logistics, differentiation, and failure in the European Union’s reception regime — https://doi.org/10.82444/warw.33757732</w:t>
      </w:r>
    </w:p>
    <w:p>
      <w:pPr/>
      <w:r>
        <w:rPr>
          <w:b/>
        </w:rPr>
        <w:t>Shared claim-specific concepts:</w:t>
      </w:r>
      <w:r>
        <w:t xml:space="preserve"> identify, resulting, government; EU scope visible. This is a provisional connection, not an outcome finding.</w:t>
      </w:r>
    </w:p>
    <w:p>
      <w:pPr>
        <w:pStyle w:val="SourceNote"/>
      </w:pPr>
      <w:r>
        <w:rPr>
          <w:b/>
        </w:rPr>
        <w:t>Available abstract (not full text):</w:t>
      </w:r>
      <w:r>
        <w:t xml:space="preserve"> This thesis investigates the complex and heterogeneous regime of government resulting from the failure of the EU attempts to govern asylum seekers through the Dublin system and the harmonisation of reception conditions. Combining the analytical perspective of governmentality with a regime analysis which resembles those proposed by critical migration studies, the thesis aims to identify features and functioning of a possible EU government of asylum seekers, which is defined as EU reception regime. Through a rich empirical study primarily based on semi-structured interviews with a range of different actors in several contexts in Italy and Sweden, three key modes of operation of the regime are identified, which are: logistics, differentiation, and failure. Logistics denotes an increasing importance of operational and organisational concerns in the reception of asylum seekers, which pave the way to the commodification of reception and transform the regime into a reception industry. Differentiation concerns a mode of governing asylum seekers based on the arbitrary multiplication of treatments, conditions, and experiences, across as well as within states, which therefore makes the regime work as a reception roulette. Finally, failure is a key aspect of the regime which is both intrinsic to its functioning and productive, thus making the regime operate as a reception dispositif. In pa</w:t>
      </w:r>
    </w:p>
    <w:p>
      <w:pPr/>
      <w:r>
        <w:rPr>
          <w:b/>
        </w:rPr>
        <w:t>POSSIBLE 2026:</w:t>
      </w:r>
      <w:r>
        <w:t xml:space="preserve"> Dancer in the Dark: Where Next for the European Union as a Global Film Enabler? — https://doi.org/10.1007/978-3-032-25320-0_11</w:t>
      </w:r>
    </w:p>
    <w:p>
      <w:pPr/>
      <w:r>
        <w:rPr>
          <w:b/>
        </w:rPr>
        <w:t>Shared claim-specific concepts:</w:t>
      </w:r>
      <w:r>
        <w:t xml:space="preserve"> next, internal, external; EU scope visible. This is a provisional connection, not an outcome finding.</w:t>
      </w:r>
    </w:p>
    <w:p>
      <w:pPr>
        <w:pStyle w:val="SourceNote"/>
      </w:pPr>
      <w:r>
        <w:rPr>
          <w:b/>
        </w:rPr>
        <w:t>Available abstract (not full text):</w:t>
      </w:r>
      <w:r>
        <w:t xml:space="preserve"> The film industry occupies a distinctive position at the intersection of economic, political, and cultural dynamics, making it a strategic sector within the European Union’s broader objective of integration. The European Film Industry has developed as a political project combining cultural and economic objectives and reflecting the EU’s ambition to exercise influence as a regulatory, industrial, and cultural power. This project encompasses both internal and external dimensions, guiding the development of the film industry across Europe while also informing the EU’s engagement with global audiovisual markets. Today, however, these ambitions are increasingly challenged by the accelerating process of platformisation and the growing power of global streaming services, which are reshaping production, distribution, and visibility in the industry. Understanding how these transformations affect the EU’s capacity to sustain this project lies at the core of this book’s purpose. In this context, the book pursued two main objectives:</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2025:</w:t>
      </w:r>
      <w:r>
        <w:t xml:space="preserve"> From strategy to doctrine: the next steps for European economic security — https://doi.org/10.64153/nmid5539</w:t>
      </w:r>
    </w:p>
    <w:p>
      <w:pPr/>
      <w:r>
        <w:rPr>
          <w:b/>
        </w:rPr>
        <w:t>Shared claim-specific concepts:</w:t>
      </w:r>
      <w:r>
        <w:t xml:space="preserve"> next, relationships, threats, state;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The European Health Data Space: The Next Step in Data Regulation — https://doi.org/10.5771/9783748943990-425</w:t>
      </w:r>
    </w:p>
    <w:p>
      <w:pPr/>
      <w:r>
        <w:rPr>
          <w:b/>
        </w:rPr>
        <w:t>Shared claim-specific concepts:</w:t>
      </w:r>
      <w:r>
        <w:t xml:space="preserve"> next, resulting, state; EU scope visible. This is a provisional connection, not an outcome finding.</w:t>
      </w:r>
    </w:p>
    <w:p>
      <w:pPr>
        <w:pStyle w:val="SourceNote"/>
      </w:pPr>
      <w:r>
        <w:rPr>
          <w:b/>
        </w:rPr>
        <w:t>Available abstract (not full text):</w:t>
      </w:r>
      <w:r>
        <w:t xml:space="preserve"> The European Health Data Space (Regulation (EU) 2025/327, EHDS) is an ambitious regulatory project concerning the accessibility of health data.The rules established through this initiative can play a crucial role in addressing the currently fragmented state of digitalisation in healthcare across Member States.Major changes occur in the area of primary use of health data.By granting individuals more autonomy over their electronic health records, the EHDS ensures that patients can access, add, rectify and manage their health records more easily.This also provides healthcare professionals with a greater understanding of a patient's medical history, thus improving treatment quality, especially in cross-border scenarios.Furthermore, the EHDS creates a novel framework for the secondary use of health data, mainly for research, innovation and policymaking.It does so by stipulating specific cases of secondary use for which different categories of data can be accessed.If all criteria are fulfilled, a data permit will be issued.The EHDS establishes a set of rules and guidelines for such application processes.However, the implementation of the EHDS raises complex questions, particularly regarding its relationship with the General Data Protection Regulation and the resulting legal conflicts.Additionally, the risk of national fragmentation in interpretation and application of the EHDS could </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pStyle w:val="Heading2"/>
      </w:pPr>
      <w:r>
        <w:t>857.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2026:</w:t>
      </w:r>
      <w:r>
        <w:t xml:space="preserve"> The Third Path: The Fiction of Sytze Backer — https://doi.org/10.5281/zenodo.19139896</w:t>
      </w:r>
    </w:p>
    <w:p>
      <w:pPr/>
      <w:r>
        <w:rPr>
          <w:b/>
        </w:rPr>
        <w:t>Shared claim-specific concepts:</w:t>
      </w:r>
      <w:r>
        <w:t xml:space="preserve"> third, work, two; EU scope not established. This is a provisional connection, not an outcome finding.</w:t>
      </w:r>
    </w:p>
    <w:p>
      <w:pPr>
        <w:pStyle w:val="SourceNote"/>
      </w:pPr>
      <w:r>
        <w:rPr>
          <w:b/>
        </w:rPr>
        <w:t>Available abstract (not full text):</w:t>
      </w:r>
      <w:r>
        <w:t xml:space="preserve"> Between 1983 and 1995, Sytze Backer published ten works of fiction through his own imprints, outside the major Dutch publishing houses, without prizes, without reviews in the national press. In 1993 he placed his work on the internet — making him, in all likelihood, the first Dutch literary writer to publish online. There it has remained ever since: quietly present, entirely available, almost entirely unread. This essay reads Backer's bibliography in full, from the 1983 novella Het Beest to the 1995 novel Amoebe Tien, and makes the case that what these ten works constitute, read together, is a body of fiction of unusual ambition, consistency, and formal intelligence. The Breda that runs through the bibliography is as specifically rendered as any city in Dutch fiction of the period. The recurring human types — the man of principle whose ethics exceed the world's capacity to reward them, the woman whose clarity the narrative consistently validates, the charismatic authority figure who organises the world around his own indifference — are among the most precisely observed in postwar Dutch prose. And in Amoebe Tien, published two years before the first mass-market browser brought the internet into Dutch living rooms, Backer assembled an argument about the attention economy, the colonisation of consciousness by commercial infrastructure, and the dissolution of private selfhood into </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2025:</w:t>
      </w:r>
      <w:r>
        <w:t xml:space="preserve"> Sextus Empiricus on the Third Unproved — https://doi.org/10.30965/26664275-bja10129</w:t>
      </w:r>
    </w:p>
    <w:p>
      <w:pPr/>
      <w:r>
        <w:rPr>
          <w:b/>
        </w:rPr>
        <w:t>Shared claim-specific concepts:</w:t>
      </w:r>
      <w:r>
        <w:t xml:space="preserve"> third, work, fourth; EU scope not established. This is a provisional connection, not an outcome finding.</w:t>
      </w:r>
    </w:p>
    <w:p>
      <w:pPr>
        <w:pStyle w:val="SourceNote"/>
      </w:pPr>
      <w:r>
        <w:rPr>
          <w:b/>
        </w:rPr>
        <w:t>Available abstract (not full text):</w:t>
      </w:r>
      <w:r>
        <w:t xml:space="preserve"> Abstract In his attack on Stoic Logic, Sextus Empiricus goes through each of the five Stoic unproveds and shows that they suffer from being redundant. An argument is redundant just in case it is valid if one of the premisses is removed: redundant arguments have one premiss too many. The Stoics argue that this flaw renders an argument invalid, and so Sextus concludes that, on these grounds at least, the five unproveds are not syllogisms. Sextus’ arguments can be made to work for the first, second, fourth, and fifth unproveds, but his argument does not work for the third. Sextus misstates the truth conditions of its leading premiss, and the argument does not go through under the correct truth conditions. Galen also had trouble accommodating the Stoic third unproved in his hypothetical syllogistic, rejecting the possibility of a hypothetical syllogism whose leading premiss is a Stoic negated conjunction. There is an error common to both authors, which is that they both require the leading premiss of the third unproved to be a proposition which announces an inference, with the remainder of the argument enacting the inference. Such an error betrays a misunderstanding of how the Stoic unproveds are supposed to work.</w:t>
      </w:r>
    </w:p>
    <w:p>
      <w:pPr>
        <w:pStyle w:val="Heading2"/>
      </w:pPr>
      <w:r>
        <w:t>858.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2026:</w:t>
      </w:r>
      <w:r>
        <w:t xml:space="preserve"> Visible Light‐Driven NHC/Organophotoredox Catalysis: Mechanistic Insights and Organic Transformations — https://doi.org/10.1002/slct.74753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Visible light‐driven organophotoredox catalysis has emerged as a sustainable strategy for promoting diverse organic transformations with remarkable efficiency under mild reaction conditions. The integration of N‐heterocyclic carbene (NHC) catalysis with organophotoredox catalysis has enabled the generation of persistent ketyl radicals and transient radical intermediates through single electron transfer (SET), hydrogen atom transfer (HAT), and proton‐coupled electron transfer (PCET) processes, thereby facilitating chemo‐, regio‐, and stereoselective Carbon–Carbon and C–heteroatom (N, O, P) bond‐forming reactions. Likewise, to overcome the limitations associated with transition‐metal‐based photocatalysts, sustainable metal‐free organophotoredox catalysts, such as xanthene dyes, acridinium salts, anthracene‐derived photocatalysts, and thermally activated delayed fluorescence (TADF) donor–acceptor systems, have been extensively developed. Owing to their tunable photophysical properties, excellent redox capabilities, low toxicity, and cost‐effectiveness, these organophotoredox catalysts have emerged as attractive alternatives for transition metal‐based photoredox catalysis. This review summarizes the fundamental principles of visible light‐driven NHC/organophotoredox catalysis, discusses the underlying mechanistic pathways and dual catalytic transformations, thereby highlig</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2025:</w:t>
      </w:r>
      <w:r>
        <w:t xml:space="preserve"> Amyloid Light-Chain (AL) Amyloidosis in a Middle-Aged Lady: Confronting the Challenges of a Rare Diagnosis in a Developing Country — https://doi.org/10.7759/cureus.85493</w:t>
      </w:r>
    </w:p>
    <w:p>
      <w:pPr/>
      <w:r>
        <w:rPr>
          <w:b/>
        </w:rPr>
        <w:t>Shared claim-specific concepts:</w:t>
      </w:r>
      <w:r>
        <w:t xml:space="preserve"> light, options, identified; EU scope not established. This is a provisional connection, not an outcome finding.</w:t>
      </w:r>
    </w:p>
    <w:p>
      <w:pPr>
        <w:pStyle w:val="SourceNote"/>
      </w:pPr>
      <w:r>
        <w:rPr>
          <w:b/>
        </w:rPr>
        <w:t>Available abstract (not full text):</w:t>
      </w:r>
      <w:r>
        <w:t xml:space="preserve"> Amyloid light-chain (AL) amyloidosis, which results from monoclonal light-chain deposition from plasma cell dyscrasia, is often identified in old patients. A 37-year-old lady presented with frothy urine and constipation with constitutional symptoms for two months duration. On examination, she had tender hepatomegaly with cervical lymphadenopathy. She was found to have sub-nephrotic-range proteinuria, while serum protein electrophoresis revealed a monoclonal band of 17 g/l. Bone marrow aspiration and biopsy showed evidence of plasma cell dyscrasia with 20% of pleomorphic plasma cells. Myeloma-defining events were negative with normal serum calcium and serum creatinine, a haemoglobin of 10.5 g/dl, no lytic lesions on low-dose whole-body computed tomography, and involved-to-uninvolved serum free light-chain ratio of 8 with involved lambda light chains of 126.21 mg/l (4.23-27.69). Renal and lymph node biopsies demonstrated an eosinophilic amorphous material which showed apple-green birefringence on a Congo red stain suggestive of amyloidosis. Bone marrow aspiration, trephine biopsy, and lymph node biopsy together with renal biopsy led to the diagnosis of AL amyloidosis. She was classified as a stage 1 disease according to the Revised Mayo Clinic staging system. She was treated with a total of nine cycles of cyclophosphamide, bortezomib, and dexamethasone (CycloBorDex), where she ac</w:t>
      </w:r>
    </w:p>
    <w:p>
      <w:pPr/>
      <w:r>
        <w:rPr>
          <w:b/>
        </w:rPr>
        <w:t>POSSIBLE 2025:</w:t>
      </w:r>
      <w:r>
        <w:t xml:space="preserve"> Shear center determination of open light-gauge sections — https://doi.org/10.52899/24141437_2025_01_5</w:t>
      </w:r>
    </w:p>
    <w:p>
      <w:pPr/>
      <w:r>
        <w:rPr>
          <w:b/>
        </w:rPr>
        <w:t>Shared claim-specific concepts:</w:t>
      </w:r>
      <w:r>
        <w:t xml:space="preserve"> developed, options, different, industry; EU scope not established. This is a provisional connection, not an outcome finding.</w:t>
      </w:r>
    </w:p>
    <w:p>
      <w:pPr>
        <w:pStyle w:val="SourceNote"/>
      </w:pPr>
      <w:r>
        <w:rPr>
          <w:b/>
        </w:rPr>
        <w:t>Available abstract (not full text):</w:t>
      </w:r>
      <w:r>
        <w:t xml:space="preserve"> BACKGROUND: Import substitution issues are very topical in the domestic machine building industry. Recently, thin-walled curvilinear cross-sections have been obtained in the optimization of design and technological parameters thin-walled curvilinear cross-sections have been recently emphasized in the optimization of structural and technological parameters of power machine elements. The method of calculation of strength characteristics for a thin-walled closed profile is similar to those commonly used for the calculation of solid profiles, but for the calculation of sections with unclosed thin-walled curvilinear profiles it is limitedly applicable, due to the mismatch of the center of torsion with the center of mass of the section area. AIM: To presents some highlights on the strain state of units and parts of various power machines and devices with curved light-gauge open profiles operating in various strain conditions. METHODS: It describes the methodology of the proposed general algorithm for the automated calculation of the basic stiffness parameters of strained curved light-gauge open profiles with the determination of the shear center. It also reviews different options for determining these parameters for light-gauge line profiles and complex light-gauge profiles of components. RESULTS: An experimental setup has been developed that allows to identify the planes of loading </w:t>
      </w:r>
    </w:p>
    <w:p>
      <w:pPr>
        <w:pStyle w:val="Heading2"/>
      </w:pPr>
      <w:r>
        <w:t>859.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2026:</w:t>
      </w:r>
      <w:r>
        <w:t xml:space="preserve"> Co‐Creating Circular Pathways in the Fashion Industry: A Participatory System Dynamics Perspective — https://doi.org/10.1002/bse.71644</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ABSTRACT Circular economy transitions in the fashion industry are frequently constrained not by a lack of reinforcing drivers but by endogenous feedback structures that limit growth as systems expand. Focusing on the Brazil context, this study identifies the dominant feedback archetypes governing circular transitions across four distinct socio‐technical contexts, namely, fashion brands, consumers, micro‐businesses, and digital circular platforms and offers an explanation, grounded in a participatory system dynamics approach, for why circular initiatives stall or progress. A participatory approach was adopted, combining co‐created causal loop diagrams, group model building, and backcasting workshops targeting a shared 2030 circular economy scenario, actively engaging 20 heterogeneous stakeholders including fashion brands, waste picker cooperatives, local government officials, and academics. Four causal loop diagrams were developed and validated through recorded and transcribed stakeholder interviews. The results identify a dominant limits to growth archetype across all four contexts, each driven by a distinct limiting mechanism: margin erosion in fashion brands, price‐mediated adoption constraints in consumer markets, infrastructure and workforce deficits in micro‐business recycling systems, and a dual operational and financial constraint in digital circular platforms. By struct</w:t>
      </w:r>
    </w:p>
    <w:p>
      <w:pPr/>
      <w:r>
        <w:rPr>
          <w:b/>
        </w:rPr>
        <w:t>POSSIBLE 2026:</w:t>
      </w:r>
      <w:r>
        <w:t xml:space="preserve"> System archetypes shaping e-waste circular economy transitions: A participatory system dynamics study — https://doi.org/10.1016/j.jclepro.2026.149418</w:t>
      </w:r>
    </w:p>
    <w:p>
      <w:pPr/>
      <w:r>
        <w:rPr>
          <w:b/>
        </w:rPr>
        <w:t>Shared claim-specific concepts:</w:t>
      </w:r>
      <w:r>
        <w:t xml:space="preserve"> developed, participatory, backcasting, methodology; EU scope not established. This is a provisional connection, not an outcome finding.</w:t>
      </w:r>
    </w:p>
    <w:p>
      <w:pPr>
        <w:pStyle w:val="SourceNote"/>
      </w:pPr>
      <w:r>
        <w:rPr>
          <w:b/>
        </w:rPr>
        <w:t>Available abstract (not full text):</w:t>
      </w:r>
      <w:r>
        <w:t xml:space="preserve"> Socio-technical transitions in e-waste systems are increasingly recognised as a distinct class of technological change, in which the co-evolution of reverse logistics infrastructure, extended producer responsibility regimes, and informal recovery networks determines the pace and direction of circular economy diffusion. Understanding how feedback structures within these systems accelerate or obstruct the scaling of circular technologies is therefore central to designing effective transition interventions. This study examines circular economy transition pathways in Brazil's e-waste sector through the lens of socio-technical change, employing a participatory System Dynamics methodology that integrates co-created causal loop diagrams (CLDs), backcasting exercises anchored to a 2030 normative vision, and archetype analysis. CLDs were developed in a participatory workshop engaging heterogeneous stakeholder groups, including manufacturers, waste cooperatives, policymakers, and industry practitioners operating across Brazil's hybrid extended producer responsibility and informal governance landscape. The diagrams were further validated through multi-round interviews with the same stakeholders. The analysis spans the full product life cycle, from circular design and manufacturing to reverse logistics and end-of-life recovery. This study develops participatory causal loop diagrams that ca</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pStyle w:val="Heading2"/>
      </w:pPr>
      <w:r>
        <w:t>860.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process, particularly;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Carbon trade biases and the emerging mesoscale structure of the European Emissions Trading System network — https://doi.org/10.1038/s41467-025-59913-w</w:t>
      </w:r>
    </w:p>
    <w:p>
      <w:pPr/>
      <w:r>
        <w:rPr>
          <w:b/>
        </w:rPr>
        <w:t>Shared claim-specific concepts:</w:t>
      </w:r>
      <w:r>
        <w:t xml:space="preserve"> recent, network, transport; EU scope visible. This is a provisional connection, not an outcome finding.</w:t>
      </w:r>
    </w:p>
    <w:p>
      <w:pPr>
        <w:pStyle w:val="SourceNote"/>
      </w:pPr>
      <w:r>
        <w:rPr>
          <w:b/>
        </w:rPr>
        <w:t>Available abstract (not full text):</w:t>
      </w:r>
      <w:r>
        <w:t xml:space="preserve"> The European Union Emissions Trading System (EU ETS) is designed to promote cost-effective carbon emission reductions through allowance trading. However, observed trade patterns suggest potential inefficiencies. This study conducts a province-level analysis of the EU ETS trade network of allowances, demonstrating that trades predominantly occur between entities within the same country and sector, even in recent phases of the system. To systematically examine the mesoscale structure of the trade network while accounting for geographical and sectoral homophily, we introduce a community detection framework based on the gravity model and optimal transport theory. By disentangling home and sectoral biases, we identify trade communities that align with cultural dimensions. Our findings reveal a complex interplay between geographical, economic, and cultural factors that shape carbon allowances trade patterns. These findings contribute to a deeper understanding of structural constraints within the EU ETS trade network and inform strategies for improving its cost-effectiveness. The EU Emissions Trading System allows carbon trading across Europe, but market inefficiencies remain. A gravity-based community model reveals that trades are shaped by cultural, economic, and geographic proximity, limiting broader integration.</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pStyle w:val="Heading2"/>
      </w:pPr>
      <w:r>
        <w:t>861.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2025:</w:t>
      </w:r>
      <w:r>
        <w:t xml:space="preserve"> Impacts of reduced livestock density on European agriculture and the environment — https://doi.org/10.1016/j.agsy.2025.104299</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European Green Deal (EGD) and Common Agricultural Policy (CAP) reforms aim to achieve substantial environmental and climate objectives, requiring changes in agricultural practices. Livestock density limits could be one of the measures to reduce adverse environmental impacts associated with intensive livestock production, particularly nitrogen pollution and greenhouse gas (GHG) emissions. This study examines the effects of imposing maximum limits on livestock units (LSU) per hectare of utilized agricultural area (UAA) across the EU. The analysis focuses on both the economic and environmental impacts of livestock density restrictions, with particular emphasis on their influence on production, nitrogen surplus, ammonia emissions, nitrate leaching, and GHG emissions. Using the Common Agricultural Policy Regional Impact Analysis (CAPRI) model, a detailed agricultural sector model, the study simulates impacts of different livestock density thresholds (2 LSU/ha and 1.4 LSU/ha) at regional and grid levels. The model facilitates an evaluation of the potential changes in production, market prices, trade dynamics, and environmental indicators, providing a comprehensive view of the policy's potential outcomes. Implementing livestock density limits results in reduced EU livestock numbers, particularly affecting the pig sector, with subsequent decreases in production of animal products a</w:t>
      </w:r>
    </w:p>
    <w:p>
      <w:pPr/>
      <w:r>
        <w:rPr>
          <w:b/>
        </w:rPr>
        <w:t>POSSIBLE 2025:</w:t>
      </w:r>
      <w:r>
        <w:t xml:space="preserve"> Implementation Toolkit for the OECD Recommendation on Public Policy Evaluation — https://doi.org/10.1787/77faa4fe-en</w:t>
      </w:r>
    </w:p>
    <w:p>
      <w:pPr/>
      <w:r>
        <w:rPr>
          <w:b/>
        </w:rPr>
        <w:t>Shared claim-specific concepts:</w:t>
      </w:r>
      <w:r>
        <w:t xml:space="preserve"> evaluation, recommendation, learning, offers, action; EU scope not established. This is a provisional connection, not an outcome finding.</w:t>
      </w:r>
    </w:p>
    <w:p>
      <w:pPr>
        <w:pStyle w:val="SourceNote"/>
      </w:pPr>
      <w:r>
        <w:rPr>
          <w:b/>
        </w:rPr>
        <w:t>Available abstract (not full text):</w:t>
      </w:r>
      <w:r>
        <w:t xml:space="preserve"> ​The Implementation Toolkit for the OECD Recommendation offers practical guidance for government officials and evaluators seeking to improve their evaluation capacities and systems, by enabling a deeper understanding of their strengths and weaknesses and learning from OECD member country experiences and trends. The toolkit supports the practical implementation of the principles contained in the 2022 OECD Recommendation on Public Policy Evaluation, which is the first international standard aimed at driving the establishment of robust institutions and practices that promote the use of public policy evaluations. Together, the Recommendation and this accompanying toolkit seek to help governments build a culture of continuous learning and evidence-informed policymaking, potentially leading to more impactful policies and greater trust in government action.​</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2024:</w:t>
      </w:r>
      <w:r>
        <w:t xml:space="preserve"> Developing a societal impact evaluation framework for sustainable European University Alliances — https://doi.org/10.1038/s41598-024-63933-9</w:t>
      </w:r>
    </w:p>
    <w:p>
      <w:pPr/>
      <w:r>
        <w:rPr>
          <w:b/>
        </w:rPr>
        <w:t>Shared claim-specific concepts:</w:t>
      </w:r>
      <w:r>
        <w:t xml:space="preserve"> evaluation, field; EU scope visible. This is a provisional connection, not an outcome finding.</w:t>
      </w:r>
    </w:p>
    <w:p>
      <w:pPr>
        <w:pStyle w:val="SourceNote"/>
      </w:pPr>
      <w:r>
        <w:rPr>
          <w:b/>
        </w:rPr>
        <w:t>Available abstract (not full text):</w:t>
      </w:r>
      <w:r>
        <w:t xml:space="preserve"> European University alliances, formally introduced in 2019, are rapidly expanding, as more than 400 million euros have been dedicated in 2023 by the European Commission to foster international collaborations to promote new forms of development within and beyond university communities. By undertaking interventionist research on UNITA - Universitas Montium, one of the largest European alliances, representing 160.000 students, this paper aims to illustrate how a university alliance is tasked with developing an internal assessment methodology to account for the societal benefits created by the project for the academic and civil communities. The elaboration of the assessment tool to assess the contribution to higher education and societal sustainable communities has brought researchers to discover etic and emic implications, revealing the existence of an accountability layer in which the international alliance directly engages with rural and mountain communities in marginalized areas. This research marks a significant advancement in the field of higher education sustainability, providing both a novel analytical perspective on the benefits of university alliances for the development of local sustainable communities and a methodological tool for their assessment.</w:t>
      </w:r>
    </w:p>
    <w:p>
      <w:pPr>
        <w:pStyle w:val="Heading2"/>
      </w:pPr>
      <w:r>
        <w:t>862.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2026:</w:t>
      </w:r>
      <w:r>
        <w:t xml:space="preserve"> The European Commission and Dissensus over Liberal Democracy — https://doi.org/10.1007/978-3-032-22481-1_15</w:t>
      </w:r>
    </w:p>
    <w:p>
      <w:pPr/>
      <w:r>
        <w:rPr>
          <w:b/>
        </w:rPr>
        <w:t>Shared claim-specific concepts:</w:t>
      </w:r>
      <w:r>
        <w:t xml:space="preserve"> article, democracy, polity;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2025:</w:t>
      </w:r>
      <w:r>
        <w:t xml:space="preserve"> Influence of the European Union on queer politics of Eastern Europe — https://doi.org/10.1504/ijhrcs.2025.147396</w:t>
      </w:r>
    </w:p>
    <w:p>
      <w:pPr/>
      <w:r>
        <w:rPr>
          <w:b/>
        </w:rPr>
        <w:t>Shared claim-specific concepts:</w:t>
      </w:r>
      <w:r>
        <w:t xml:space="preserve"> article, different, politics; EU scope visible. This is a provisional connection, not an outcome finding.</w:t>
      </w:r>
    </w:p>
    <w:p>
      <w:pPr>
        <w:pStyle w:val="SourceNote"/>
      </w:pPr>
      <w:r>
        <w:rPr>
          <w:b/>
        </w:rPr>
        <w:t>Available abstract (not full text):</w:t>
      </w:r>
      <w:r>
        <w:t xml:space="preserve"> Eastern Europe's socio-cultural dynamics are defined by early Slavs and Greeks - cultures with evidence of accepted homosexuality and queerness. However, present-day Eastern Europe hosts an anti-queer environment. This paper focuses on finding the roots of this divergence by secondary data analysis of the available historical literature about the socio-cultural practices of the region. The paper also aims to find the influence of the politics of the European Union on the queer politics of the region by analysing particular socio-economic policies. The neo-functionalist theory of European integration talks about the spillover effect experienced across different socio - political-economic sectors. This paper examines how/whether this spillover 'controls' the 'queer politics' of Eastern European countries. The article has further taken a specific case of contemporary Hungarian 'queer politics' to analyse the contentions between the state and the union and to see the European Union's scope in redefining this politics.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pStyle w:val="Heading2"/>
      </w:pPr>
      <w:r>
        <w:t>863.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2025:</w:t>
      </w:r>
      <w:r>
        <w:t xml:space="preserve"> The Need to Standardize the Criteria for Classifying Protected Areas within the EU — https://openalex.org/W7215017291</w:t>
      </w:r>
    </w:p>
    <w:p>
      <w:pPr/>
      <w:r>
        <w:rPr>
          <w:b/>
        </w:rPr>
        <w:t>Shared claim-specific concepts:</w:t>
      </w:r>
      <w:r>
        <w:t xml:space="preserve"> create, set, areas, high, world, based; EU scope visible. This is a provisional connection, not an outcome finding.</w:t>
      </w:r>
    </w:p>
    <w:p>
      <w:pPr>
        <w:pStyle w:val="SourceNote"/>
      </w:pPr>
      <w:r>
        <w:rPr>
          <w:b/>
        </w:rPr>
        <w:t>Available abstract (not full text):</w:t>
      </w:r>
      <w:r>
        <w:t xml:space="preserve"> Abstract: The European Union has paid increasing attention to the conservation of biodiversity in its member countries and to the protection of the environment. In this context, protected areas, regardless of their rank, surface area, geographical location, play an essential role in saving ecosystems and species in danger of extinction or simply threatened. However, despite their importance, a fundamental aspect of their management remains the non-uniformity in their classification and assessment in the Member States of the European Union and in other non-member European countries. The need to standardize the criteria for classifying protected areas has thus become a key theme in the debates on conservation. The implications are not limited to the effectiveness of environmental policies or the harmonization of standards between the different EU countries. The efficiency of national or EU funding for protected area officials could be greatly improved if there were a common denominator in classifying and comparing these protected areas. Each Member State adopts different rules and methodologies for identifying and designating protected areas, and this can lead to significant differences in the protection status of ecologically similar areas. For example, an area may be considered of major ecological importance in one country but not protected in another. A standardization of crit</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2024:</w:t>
      </w:r>
      <w:r>
        <w:t xml:space="preserve"> INDICATORS FOR EVALUATING THE EFFECTIVENESS OF PUBLIC-PRIVATE PARTNERSHIP PROJECTS IN THE FIELD OF VOCATIONAL EDUCATION: EUROPEAN EXPERIENCE — https://doi.org/10.32835/2707-3092.2024.29.21-37</w:t>
      </w:r>
    </w:p>
    <w:p>
      <w:pPr/>
      <w:r>
        <w:rPr>
          <w:b/>
        </w:rPr>
        <w:t>Shared claim-specific concepts:</w:t>
      </w:r>
      <w:r>
        <w:t xml:space="preserve"> create, set, indicators; EU scope visible. This is a provisional connection, not an outcome finding.</w:t>
      </w:r>
    </w:p>
    <w:p>
      <w:pPr>
        <w:pStyle w:val="SourceNote"/>
      </w:pPr>
      <w:r>
        <w:rPr>
          <w:b/>
        </w:rPr>
        <w:t>Available abstract (not full text):</w:t>
      </w:r>
      <w:r>
        <w:t xml:space="preserve"> Relevance. It is determined by the European integration trends of vocational education in Ukraine, which requires the study and implementation of the best practices of implementing public-private partnership projects in the EU; a system of indicators for assessing the effectiveness of PPP projects in the field of vocational education in Ukraine has been developed. Aim: to identify the main indicators for assessing the impact of public-private partnerships on the quality of vocational education in the EU and to develop a system of indicators for assessing the quality of PPP projects in vocational education in Ukraine. Methods: analysis – to determine the main indicators for assessing the effectiveness of the implementation of PPP projects in vocational education; generalization – to formulate conclusions and recommendations for improving the system of indicators for assessing the quality of PPP projects in vocational education in Ukraine. Results: it was found that the key quality indicators of PPP projects in the vocational education system include the following ones: Relevance and Alignment with Labor Market Needs; Quality of Training Delivery; Learner Outcomes and Satisfaction; Sustainability and Scalability; Stakeholder Engagement; Regulatory Compliance and Quality Assurance; Equity and Accessibility; Innovation and Responsiveness; Impact on Economic and Social Development;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indicators, socioeconomic,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pStyle w:val="Heading2"/>
      </w:pPr>
      <w:r>
        <w:t>864.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865.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866.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2024:</w:t>
      </w:r>
      <w:r>
        <w:t xml:space="preserve"> GCAM–GLORY v1.0: representing global reservoir water storage in a multi-sector human–Earth system model — https://doi.org/10.5194/gmd-17-5587-2024</w:t>
      </w:r>
    </w:p>
    <w:p>
      <w:pPr/>
      <w:r>
        <w:rPr>
          <w:b/>
        </w:rPr>
        <w:t>Shared claim-specific concepts:</w:t>
      </w:r>
      <w:r>
        <w:t xml:space="preserve"> several, water; EU scope not established. This is a provisional connection, not an outcome finding.</w:t>
      </w:r>
    </w:p>
    <w:p>
      <w:pPr>
        <w:pStyle w:val="SourceNote"/>
      </w:pPr>
      <w:r>
        <w:rPr>
          <w:b/>
        </w:rPr>
        <w:t>Available abstract (not full text):</w:t>
      </w:r>
      <w:r>
        <w:t xml:space="preserve"> Abstract. Reservoirs play a significant role in modifying the spatiotemporal availability of surface water to meet multi-sector human demands, despite representing a relatively small fraction of the global water budget. Yet the integrated modeling frameworks that explore the interactions among climate, land, energy, water, and socioeconomic systems at a global scale often contain limited representations of water storage dynamics that incorporate feedbacks from other systems. In this study, we implement a representation of water storage in the Global Change Analysis Model (GCAM) to enable exploration of the future role (e.g., expansion) of reservoir water storage globally in meeting demands for, and evolving in response to interactions with, the climate, land, and energy systems. GCAM represents 235 global water basins, operates at 5-year time steps, and uses supply curves to capture economic competition among renewable water (now including reservoirs), non-renewable groundwater, and desalination. Our approach consists of developing the GLObal Reservoir Yield (GLORY) model, which uses a Linear Programming (LP)-based optimization algorithm, and dynamically linking GLORY with GCAM. The new coupled GCAM-GLORY approach improves the representation of reservoir water storage in GCAM in several ways. First, the GLORY model identifies the cost to supply increasing levels of water supply</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pStyle w:val="Heading2"/>
      </w:pPr>
      <w:r>
        <w:t>867.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2025:</w:t>
      </w:r>
      <w:r>
        <w:t xml:space="preserve"> Planning the natural development of a peripheral vertex on the example of a regional airport in Central Europe — https://doi.org/10.12913/22998624/204142</w:t>
      </w:r>
    </w:p>
    <w:p>
      <w:pPr/>
      <w:r>
        <w:rPr>
          <w:b/>
        </w:rPr>
        <w:t>Shared claim-specific concepts:</w:t>
      </w:r>
      <w:r>
        <w:t xml:space="preserve"> peripheral, used; EU scope visible. This is a provisional connection, not an outcome finding.</w:t>
      </w:r>
    </w:p>
    <w:p>
      <w:pPr>
        <w:pStyle w:val="SourceNote"/>
      </w:pPr>
      <w:r>
        <w:rPr>
          <w:b/>
        </w:rPr>
        <w:t>Available abstract (not full text):</w:t>
      </w:r>
      <w:r>
        <w:t xml:space="preserve"> In this paper, a young airport in Central Europe is presented as a peripheral node of a complex network, subject to Luce's natural laws of development.Research conducted since the late 1990s has focused on creating models that apply to the entire network.Even the development of the most important nodes of a complex network, the socalled hubs, is considered as a consequence of the topology of the entire network.The paper considers what laws and models can be applied to a single, peripheral network node, compared to the widely used exponential models.The presented analysis of the dynamics of the scheduled traffic at the Lublin Airport allows for forecasting its further development.Thus, the methods proposed here for the case study of a regional airport enable us to specify a forecast for the further development of any peripheral vertex of a complex network of a transportation system.On the basis of this analysis, it was pointed out, among others, that seasonality expressing the dynamics of a complex network, so far expressed in statistics using the time series method can also be approached in the Elliot waves terminology and used to predict the profitability of a regional airport.It was also established, that since 2015 the regional demand for civil aviation operations in the General Aviation category has been saturated at the Lublin Airport, reaching the level of 1750 operations</w:t>
      </w:r>
    </w:p>
    <w:p>
      <w:pPr/>
      <w:r>
        <w:rPr>
          <w:b/>
        </w:rPr>
        <w:t>POSSIBLE 2025:</w:t>
      </w:r>
      <w:r>
        <w:t xml:space="preserve"> Local Implementation of the 2030 Agenda in Europe — https://doi.org/10.17645/up.9873</w:t>
      </w:r>
    </w:p>
    <w:p>
      <w:pPr/>
      <w:r>
        <w:rPr>
          <w:b/>
        </w:rPr>
        <w:t>Shared claim-specific concepts:</w:t>
      </w:r>
      <w:r>
        <w:t xml:space="preserve"> specific, sustainable, local, environment; EU scope visible. This is a provisional connection, not an outcome finding.</w:t>
      </w:r>
    </w:p>
    <w:p>
      <w:pPr>
        <w:pStyle w:val="SourceNote"/>
      </w:pPr>
      <w:r>
        <w:rPr>
          <w:b/>
        </w:rPr>
        <w:t>Available abstract (not full text):</w:t>
      </w:r>
      <w:r>
        <w:t xml:space="preserve"> While some scholars see the Sustainable Development Goals (SDGs) as an example of environmentally friendly development approaches that reconnect development with biospheric preconditions, others argue that they mask ongoing contestation. This article begins with a multi‐level governance perspective on the “green goals” of the 2030 Agenda and the importance of local action for their implementation. The focus is on Europe, where municipal sustainability governance was found to be concentrated and where the environment is most likely prioritized. Against this backdrop, I analyze which policy measures the European Union, nation states, regions, and municipalities in Europe name in the reviews submitted to the UN High‐Level Political Forum to achieve environmental targets. I show that although the environment is not a priority of SDG implementation at any policy level, municipalities are occasionally leading the way in environmental action both horizontally, with site‐specific measures, and vertically, with multi‐level measures.</w:t>
      </w:r>
    </w:p>
    <w:p>
      <w:pPr/>
      <w:r>
        <w:rPr>
          <w:b/>
        </w:rPr>
        <w:t>POSSIBLE 2025:</w:t>
      </w:r>
      <w:r>
        <w:t xml:space="preserve"> Enhancing “4 per 1000” initiative implementation through region-specific agricultural and forestry practices — https://doi.org/10.1016/j.soilad.2025.100057</w:t>
      </w:r>
    </w:p>
    <w:p>
      <w:pPr/>
      <w:r>
        <w:rPr>
          <w:b/>
        </w:rPr>
        <w:t>Shared claim-specific concepts:</w:t>
      </w:r>
      <w:r>
        <w:t xml:space="preserve"> specific, region, sustainable; EU scope not established. This is a provisional connection, not an outcome finding.</w:t>
      </w:r>
    </w:p>
    <w:p>
      <w:pPr>
        <w:pStyle w:val="SourceNote"/>
      </w:pPr>
      <w:r>
        <w:rPr>
          <w:b/>
        </w:rPr>
        <w:t>Available abstract (not full text):</w:t>
      </w:r>
      <w:r>
        <w:t xml:space="preserve"> The critical importance of enhancing and maintaining the organic carbon (C) content in agricultural and forest soils has been emphasized for a decade within the objectives of the International "4 per 1000" Initiative. The multiple benefits of soil organic C (SOC) sequestration in addressing global challenges—such as food security, climate change mitigation and adaptation, and biodiversity conservation—are now well-recognized. However, less well understood is how the capacity for SOC sequestration varies across regions and what specific management practices are most suitable for promoting soil health and SOC sequestration regarding different regional contexts and initial conditions. In this paper, we review data and research from three major global regions—Africa, Asia, and Oceania—each with distinct cultural, socio-economic, and environmental challenges and opportunities. To provide insights from forest and agricultural management approaches in each region, we discuss practices that have proven effective and propose that a deeper exploration of region-specific management could lead to the identification of additional viable practices that enhance SOC sequestration. This approach would support the objectives of the "4 per 1000" Initiative and contribute to achieving global climate change and sustainable development goals.</w:t>
      </w:r>
    </w:p>
    <w:p>
      <w:pPr/>
      <w:r>
        <w:rPr>
          <w:b/>
        </w:rPr>
        <w:t>POSSIBLE 2025:</w:t>
      </w:r>
      <w:r>
        <w:t xml:space="preserve"> NAVIGATING SMART HOTEL IMPLEMENTATION IN BATAM ISLAND, INDONESIA: STAKEHOLDER PERSPECTIVES — https://doi.org/10.35631/aijbes.725039</w:t>
      </w:r>
    </w:p>
    <w:p>
      <w:pPr/>
      <w:r>
        <w:rPr>
          <w:b/>
        </w:rPr>
        <w:t>Shared claim-specific concepts:</w:t>
      </w:r>
      <w:r>
        <w:t xml:space="preserve"> implemented, specific, island, seeking, integrated, sustainable; EU scope not established. This is a provisional connection, not an outcome finding.</w:t>
      </w:r>
    </w:p>
    <w:p>
      <w:pPr>
        <w:pStyle w:val="SourceNote"/>
      </w:pPr>
      <w:r>
        <w:rPr>
          <w:b/>
        </w:rPr>
        <w:t>Available abstract (not full text):</w:t>
      </w:r>
      <w:r>
        <w:t xml:space="preserve"> The hospitality industry is undergoing a significant transformation driven by rapid technological advancements, resulting in the emergence of smart hotels as a new paradigm in accommodation services. These hotels integrate a range of cutting-edge technologies, including Artificial Intelligence (AI), the Internet of Things (IoT), big data analytics, and mobile applications, to enhance guest experiences through personalization and convenience, optimize operational efficiency, and promote sustainable and environmentally responsible practices. This shift is reshaping guest expectations and industry standards globally, creating opportunities for competitive advantage. Batam Island, Indonesia, as a rapidly developing tourist destination and a critical gateway for international visitors, presents a relevant and strategically significant setting to explore the adoption and implementation of smart hotel technologies. The island’s evolving tourism landscape, coupled with its socio-economic and infrastructural characteristics, underscores the importance of understanding how these innovations are integrated within emerging market settings. This study aims to investigate the implementation of smart hotels in Batam by focusing on the socio-technical challenges inherent in this process, including infrastructural constraints, cultural considerations, and stakeholder readiness. Although extensi</w:t>
      </w:r>
    </w:p>
    <w:p>
      <w:pPr>
        <w:pStyle w:val="Heading2"/>
      </w:pPr>
      <w:r>
        <w:t>868.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2025:</w:t>
      </w:r>
      <w:r>
        <w:t xml:space="preserve"> Aid, Structural Change, and Productivity Growth in Developing Countries — https://doi.org/10.33612/diss.1302004539</w:t>
      </w:r>
    </w:p>
    <w:p>
      <w:pPr/>
      <w:r>
        <w:rPr>
          <w:b/>
        </w:rPr>
        <w:t>Shared claim-specific concepts:</w:t>
      </w:r>
      <w:r>
        <w:t xml:space="preserve"> structural, alternative; EU scope visible. This is a provisional connection, not an outcome finding.</w:t>
      </w:r>
    </w:p>
    <w:p>
      <w:pPr>
        <w:pStyle w:val="SourceNote"/>
      </w:pPr>
      <w:r>
        <w:rPr>
          <w:b/>
        </w:rPr>
        <w:t>Available abstract (not full text):</w:t>
      </w:r>
      <w:r>
        <w:t xml:space="preserve"> This thesis investigates structural change in developing countries, with a focus on sub-Saharan Africa and the former Soviet Union. Virtually all cases of sustained economic growth have involved large-scale reallocation of labour and resources from low- to high-productivity sectors, often to manufacturing, and often alongside rapid urbanization. Yet many developing regions have not undergone such structural transformation, or have done so under significant distortion. This thesis shows that, with the exception of a small number of atypical countries, Sub-Saharan Africa has neither industrialized nor deindustrialized. A major feature of its post-independence landscape has been the prevalence of foreign aid. Whilst widely analyzed, the effects of aid remain ambiguous. This thesis presents new evidence showing that, on average, aid has impeded industrialization and reduced urbanization across the region. By contrast, the countries of the former Soviet Union and Eastern Europe experienced structural change in reverse. Overindustrialized at the end of the Cold War, many underwent rapid deindustrialization, often without expanding alternative high-productivity sectors for excess manufacturing labour to relocate to. In the Soviet successor states, this shift has contributed negatively to aggregate productivity since 1990, in contrast with the former centrally planned economies which w</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2020:</w:t>
      </w:r>
      <w:r>
        <w:t xml:space="preserve"> LEVERS OF STATE REGULATION OF STRUCTURAL CHANGES IN THE NATIONAL ECONOMY — https://doi.org/10.26661/2414-0287-2020-3-47-16</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The article is devoted to the research of problems of formation and implementation of mechanisms, methods and measures of state regulation of structural transformations of the national economy. The interpretation of mechanisms, methods, tools and means of state regulation of the economy in domestic economics is studied. It is substantiated that the main shortcomings of the application of the program-target method of national economy management are chronic underfunding of state and local target programs, weak involvement of stakeholders and ineffective control over the implementation of programs and projects. It has been analyzed the European experience of the state practice of coordinating structural changes in accordance with the priorities of socio-economic development, in particular the application of such a regulatory tool as tax benefits. It is proved the expediency of using a reactive and proactive system of public administration in achieving the strategic goals of the national economy, which will more optimally determine the necessary means for their implementation, as well as prevent and respond to negative socio-economic effects. The measures of public administration within the mechanism of state regulation of structural changes in national economy are systematized. The basic tools of state regulation of structural reform of the national economy with grouping by mechan</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pStyle w:val="Heading2"/>
      </w:pPr>
      <w:r>
        <w:t>869.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Circulation Patterns, Genetic Diversity, and Public Health Implications of Enterovirus D68, Europe, 2014–2024 — https://doi.org/10.3201/eid3204.251022</w:t>
      </w:r>
    </w:p>
    <w:p>
      <w:pPr/>
      <w:r>
        <w:rPr>
          <w:b/>
        </w:rPr>
        <w:t>Shared claim-specific concepts:</w:t>
      </w:r>
      <w:r>
        <w:t xml:space="preserve"> implications, countries, during; EU scope visible. This is a provisional connection, not an outcome finding.</w:t>
      </w:r>
    </w:p>
    <w:p>
      <w:pPr>
        <w:pStyle w:val="SourceNote"/>
      </w:pPr>
      <w:r>
        <w:rPr>
          <w:b/>
        </w:rPr>
        <w:t>Available abstract (not full text):</w:t>
      </w:r>
      <w:r>
        <w:t xml:space="preserve"> Enterovirus D68 (EV-D68) represents a continuing public health concern, given its association with severe respiratory illness and neurologic complications. In this study, we analyzed EV-D68 circulation and genetic evolution during 2014-2024 using data from 18 countries in Europe. Of 61,297 enterovirus-positive specimens, molecular detection and viral protein 1 sequencing identified 3,541 (6%) EV-D68 cases. A biennial circulation pattern was observed; detection rates ranged from 9% in 2014 to 0.9% in 2019. The pattern was disrupted in 2020 because of measures implemented in response to the COVID-19 pandemic, but then notable increases occurred in 2021 (14%), 2022 (10.7%), and 2024 (20.6%). Subgenogroups B3 (59.8%) and A2/D (28.0%) were predominant; A2/D reemerged as dominant in 2024. Mutation analyses revealed changes in antigenic regions. Our findings underscore the persistent adaptation and resurgence of EV-D68 after COVID-19. Continued genomic surveillance is essential to monitor transmission patterns caused by antigenic changes.</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Access to insurance for European SMEs: Patterns, clusters, and policy implications — https://doi.org/10.21511/ins.16(2).2025.08</w:t>
      </w:r>
    </w:p>
    <w:p>
      <w:pPr/>
      <w:r>
        <w:rPr>
          <w:b/>
        </w:rPr>
        <w:t>Shared claim-specific concepts:</w:t>
      </w:r>
      <w:r>
        <w:t xml:space="preserve"> implications, other, different; EU scope visible. This is a provisional connection, not an outcome finding.</w:t>
      </w:r>
    </w:p>
    <w:p>
      <w:pPr>
        <w:pStyle w:val="SourceNote"/>
      </w:pPr>
      <w:r>
        <w:rPr>
          <w:b/>
        </w:rPr>
        <w:t>Available abstract (not full text):</w:t>
      </w:r>
      <w:r>
        <w:t xml:space="preserve"> Type of the article: Research ArticleAbstractThe study aims to explore the insurance profiles of SMEs and to identify access gaps across different firm categories, using the Ipsos European Public Affairs survey dataset, which consists of 8,187 SMEs from Europe. This dataset was analyzed using multiple correspondence analysis, cluster analysis, and discriminant analysis. Results show clear evidence of ownership concentration in a few insurance products: commercial motor (64.3% of SMEs own such an insurance), general liability (54.4%), and workers’ compensation (46.1%). On the other hand, uptake is lowest for cyber insurance (15.3%), non-damage business interruption (14.5%), and commercial insurance with business interruption (20.3%); notably, 8.2% report no insurance product ownership. Furthermore, three behavioral clusters were identified: minimally insured (n = 3,604; mean 1.58 policies), moderately insured (n = 2,603; mean 5.22), and broadly insured (n = 1,980; mean 6.73). Also, portfolios exhibit structured “baskets” with frequent co-ownership of general liability and motor (40%). Findings document systematic, demography-linked disparities and actionable access gaps. The study concludes that persistent disparities in access are linked to firm size, age, and turnover, underscoring the need for tailored policy measures and market solutions to address inclusion gaps. The practi</w:t>
      </w:r>
    </w:p>
    <w:p>
      <w:pPr/>
      <w:r>
        <w:rPr>
          <w:b/>
        </w:rPr>
        <w:t>POSSIBLE 2025:</w:t>
      </w:r>
      <w:r>
        <w:t xml:space="preserve"> A New Piece in the Puzzle: Corruption and Financial Constraints—Evidence From European Firms — https://doi.org/10.1111/beer.12815</w:t>
      </w:r>
    </w:p>
    <w:p>
      <w:pPr/>
      <w:r>
        <w:rPr>
          <w:b/>
        </w:rPr>
        <w:t>Shared claim-specific concepts:</w:t>
      </w:r>
      <w:r>
        <w:t xml:space="preserve"> sample, only, firms, countries, other, different; EU scope visible. This is a provisional connection, not an outcome finding.</w:t>
      </w:r>
    </w:p>
    <w:p>
      <w:pPr>
        <w:pStyle w:val="SourceNote"/>
      </w:pPr>
      <w:r>
        <w:rPr>
          <w:b/>
        </w:rPr>
        <w:t>Available abstract (not full text):</w:t>
      </w:r>
      <w:r>
        <w:t xml:space="preserve"> ABSTRACT This study explores how country‐level corruption affects firm‐level financial constraints. We use a sample of 21 European countries from 2002 to 2022 comprising 22,974 firm‐year observations. We find that corruption increases financial constraints. In other words, as countries become more transparent, firms face fewer financial constraints. Our findings are robust when we employ alternative definitions of corruption, financial constraints, alternative subsamples, additional firm‐level control variables, and different econometric methodologies. As a further analysis, we provide novel evidence that an increase in country‐level transparency decreases financial constraints only for firms with lower information asymmetry, higher institutional ownership, or higher foreign ownership. Finally, this effect is stronger for firms with lower ESG performance and firms without bribery corruption or fraud controversies. Our paper contributes to the literature by employing country‐level corruption indices as a macroeconomic determinant of firm‐level financial constraints for firms in developed countries and by investigating how different firm‐level factors moderate the association between country‐level corruption and firm‐level financial constraints.</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pStyle w:val="Heading2"/>
      </w:pPr>
      <w:r>
        <w:t>870.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Comparative Analysis of the Views of Rodney Stark and Bryan Wilson in the Context of Secularisation Paradigms — https://doi.org/10.35415/sirnakifd.1538315</w:t>
      </w:r>
    </w:p>
    <w:p>
      <w:pPr/>
      <w:r>
        <w:rPr>
          <w:b/>
        </w:rPr>
        <w:t>Shared claim-specific concepts:</w:t>
      </w:r>
      <w:r>
        <w:t xml:space="preserve"> stark, high, show, specifically; EU scope visible. This is a provisional connection, not an outcome finding.</w:t>
      </w:r>
    </w:p>
    <w:p>
      <w:pPr>
        <w:pStyle w:val="SourceNote"/>
      </w:pPr>
      <w:r>
        <w:rPr>
          <w:b/>
        </w:rPr>
        <w:t>Available abstract (not full text):</w:t>
      </w:r>
      <w:r>
        <w:t xml:space="preserve"> The phenomenon of secularisation has long been a subject of considerable interest among sociologists of religion. This process is intricately linked with modernization, which represents a fundamental dynamic driving societal change and reshaping various social institutions. According to some sociologists, religion, once a central institution, has begun to lose its influence and prominence as societies modernize. Numerous scholars, particularly sociologists have articulated this observation. Western sociologists have approached the study of secularisation through different paradigms, including “the old secularisation paradigm,” “the new secularisation paradigm,” and “the alternative (eclectic) secularisation paradigm,” the latter of which often focuses on non-Western contexts. For instance, Bryan Ronald Wilson (1926-2004), a prominent representative of the classical paradigm, has authored several influential works on new religious movements, such as Sects and Society: Magic and the Millennium (1973) and The Social Dimensions of Sectarianism (1990). From a different perspective, Rodney Stark (1934-2022), a key figure in the new paradigm, has contributed extensively to the discourse on religion and secularisation through publications such as The Triumph of Faith (2015), A Theory of Religion (1987), The Future of Religion (1985), and various articles including “Secularization, R.I.</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2022:</w:t>
      </w:r>
      <w:r>
        <w:t xml:space="preserve"> SARS-CoV-2 has not emerged in roe, red or fallow deer in Germany or Austria during the COVID 19 pandemic — https://doi.org/10.1101/2022.02.18.480872</w:t>
      </w:r>
    </w:p>
    <w:p>
      <w:pPr/>
      <w:r>
        <w:rPr>
          <w:b/>
        </w:rPr>
        <w:t>Shared claim-specific concepts:</w:t>
      </w:r>
      <w:r>
        <w:t xml:space="preserve"> stark, contrast, white; EU scope visible. This is a provisional connection, not an outcome finding.</w:t>
      </w:r>
    </w:p>
    <w:p>
      <w:pPr>
        <w:pStyle w:val="SourceNote"/>
      </w:pPr>
      <w:r>
        <w:rPr>
          <w:b/>
        </w:rPr>
        <w:t>Available abstract (not full text):</w:t>
      </w:r>
      <w:r>
        <w:t xml:space="preserve"> Abstract Spillover of SARS-CoV-2 to North American white tailed deer ( Odocoileus virginianus) has been documented. We evaluated pre and pandemic exposure of German and Austrian deer species using a SARS-CoV-2 pseudoneutralization assay. In stark contrast to North American white tailed deer, we found no evidence of SARS-CoV-2 exposure. Article Summary Line Using a sensitive serological assay, 433 pre and pandemic deer samples from Germany and Austria tested negative for SARS-CoV-2-specific antibodies highlighting a major difference between central European and North American deer exposure and in their epidemiologic roles.</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pStyle w:val="Heading2"/>
      </w:pPr>
      <w:r>
        <w:t>871.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2024:</w:t>
      </w:r>
      <w:r>
        <w:t xml:space="preserve"> ULOTrack: Underwater Long-Term Object Tracker for Marine Organism Capture — https://doi.org/10.3390/jmse12112092</w:t>
      </w:r>
    </w:p>
    <w:p>
      <w:pPr/>
      <w:r>
        <w:rPr>
          <w:b/>
        </w:rPr>
        <w:t>Shared claim-specific concepts:</w:t>
      </w:r>
      <w:r>
        <w:t xml:space="preserve"> marine, significant, long-term, field, current; EU scope not established. This is a provisional connection, not an outcome finding.</w:t>
      </w:r>
    </w:p>
    <w:p>
      <w:pPr>
        <w:pStyle w:val="SourceNote"/>
      </w:pPr>
      <w:r>
        <w:rPr>
          <w:b/>
        </w:rPr>
        <w:t>Available abstract (not full text):</w:t>
      </w:r>
      <w:r>
        <w:t xml:space="preserve"> Underwater object tracking holds considerable significance in the field of ocean engineering. Additionally, it serves as a crucial component in the operations of autonomous underwater vehicles (AUVs), particularly during tasks associated with capturing marine organisms. However, the attenuation and scattering of light result in shortcomings such as poor contrast in underwater images. Additionally, the motion deformation of marine organisms poses a significant challenge. Therefore, existing tracking algorithms face difficulty in direct application to underwater object tracking. To overcome this challenge, we propose a novel tracking architecture for the marine organism capturing of AUVs called ULOTrack. ULOTrack is based on a performance discrimination and re-detection framework and constitutes three modules: (1) an object tracker, which can extract multi-feature information of the underwater target; (2) a multi-layer tracking performance discriminator, which serves the purpose of evaluating the stability of the current tracking state, thereby reducing potential model drift; and (3) lightweight detection, which can predict the candidate boxes to relocate the lost tracked underwater object. We conduct comprehensive experiments to validate the efficacy of the designed modules. Finally, the results of the experimentation demonstrate that ULOTrack significantly outperforms existing </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pStyle w:val="Heading2"/>
      </w:pPr>
      <w:r>
        <w:t>872.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2026:</w:t>
      </w:r>
      <w:r>
        <w:t xml:space="preserve"> Impact of Qualitative Research Methodology Workshop on Researchers’ Learning and Skill Development — https://doi.org/10.36948/ijfmr.2026.v08i01.66909</w:t>
      </w:r>
    </w:p>
    <w:p>
      <w:pPr/>
      <w:r>
        <w:rPr>
          <w:b/>
        </w:rPr>
        <w:t>Shared claim-specific concepts:</w:t>
      </w:r>
      <w:r>
        <w:t xml:space="preserve"> workshop, methodology, used, various; EU scope not established. This is a provisional connection, not an outcome finding.</w:t>
      </w:r>
    </w:p>
    <w:p>
      <w:pPr>
        <w:pStyle w:val="SourceNote"/>
      </w:pPr>
      <w:r>
        <w:rPr>
          <w:b/>
        </w:rPr>
        <w:t>Available abstract (not full text):</w:t>
      </w:r>
      <w:r>
        <w:t xml:space="preserve"> Qualitative research gained prominence in all research areas. It provides a lens for what happens naturally in our surroundings. How do the researchers observe, understand, and interpret situations? The workshops provide in identifying and exploring relevant factors in understanding complex and knowledge-based aspect of qualitative research methodology, which is also supported by technology. The workshops on specific themes are designed to fulfil research purposes. The present study was designed to study the impact of a qualitative research methodology workshop on the researcher’s learning and skill development. This study was based on pre and post-surveys and interviews of the research scholars engaged in a 10-day qualitative research training workshop. The participants were those research scholars who are currently enrolled in Ph.D. Programme across India and are doing qualitative research in the field of social sciences. 15 research scholars were selected for this study out of 30 population sizes. The findings suggest that different methods like hands-on activities, practical experiences, field trips, group discussions, use of ICT, and participant engagement were used to enhance the researcher’s learning in the workshop for skill development. There is a significant difference between the researcher’s skills possessed before and those acquired after attending the workshop. It</w:t>
      </w:r>
    </w:p>
    <w:p>
      <w:pPr/>
      <w:r>
        <w:rPr>
          <w:b/>
        </w:rPr>
        <w:t>POSSIBLE 2026:</w:t>
      </w:r>
      <w:r>
        <w:t xml:space="preserve"> Evaluation of Research Methodology workshop for first year postgraduates by Kirkpatrick’s Model — https://doi.org/10.65048/ijbmr.2026.17.3.8582.1047</w:t>
      </w:r>
    </w:p>
    <w:p>
      <w:pPr/>
      <w:r>
        <w:rPr>
          <w:b/>
        </w:rPr>
        <w:t>Shared claim-specific concepts:</w:t>
      </w:r>
      <w:r>
        <w:t xml:space="preserve"> workshop, methodology, method; EU scope not established. This is a provisional connection, not an outcome finding.</w:t>
      </w:r>
    </w:p>
    <w:p>
      <w:pPr>
        <w:pStyle w:val="SourceNote"/>
      </w:pPr>
      <w:r>
        <w:rPr>
          <w:b/>
        </w:rPr>
        <w:t>Available abstract (not full text):</w:t>
      </w:r>
      <w:r>
        <w:t xml:space="preserve"> Background: Learning Research Methodology is a basic requirement for the postgraduates before they embark to carry out their dissertation work which is mandatory for obtaining their postgraduate degree. Workshop is one of the teachings – learning activities to achieve the goal and its effectiveness needs to be assessed for improving the process. Objectives: 1. To evaluate the student’s perception and learning regarding T-L methods of Research methodology workshop and modify the programme later as per the results of Pre-test and Post Questionnaire and feedback for the students. To evaluate the effectiveness of the research methodology workshop by applying the Kirkpatrick's evaluation model. Material and Methods: A 2- day Research methodology workshop programme approved by the Research and Medical education departments was circulated to the first year post-graduate students 15 days ahead along with the study material involving Scientific research committee and Ethical committee protocols and ICMR Ethical Guidelines A pretest and posttest was obtained by Questionnaire method on each day and Feedback form at the end of the programme through google forms. Satistical analysis: Pre-test and post-test scores were compared by using paired t-test. Feedback results were analysed by 5 point Likert scale. The programme outcome was evaluated by applying the 4 levels of Kirk patricks model. R</w:t>
      </w:r>
    </w:p>
    <w:p>
      <w:pPr/>
      <w:r>
        <w:rPr>
          <w:b/>
        </w:rPr>
        <w:t>POSSIBLE 2026:</w:t>
      </w:r>
      <w:r>
        <w:t xml:space="preserve"> Report on Scenario Development Workshop — https://doi.org/10.5281/zenodo.21298583</w:t>
      </w:r>
    </w:p>
    <w:p>
      <w:pPr/>
      <w:r>
        <w:rPr>
          <w:b/>
        </w:rPr>
        <w:t>Shared claim-specific concepts:</w:t>
      </w:r>
      <w:r>
        <w:t xml:space="preserve"> workshop, various, structures; EU scope visible. This is a provisional connection, not an outcome finding.</w:t>
      </w:r>
    </w:p>
    <w:p>
      <w:pPr>
        <w:pStyle w:val="SourceNote"/>
      </w:pPr>
      <w:r>
        <w:rPr>
          <w:b/>
        </w:rPr>
        <w:t>Available abstract (not full text):</w:t>
      </w:r>
      <w:r>
        <w:t xml:space="preserve"> The Scenario Development Workshop represents a key step within the broader architecture of the SWINS project, supporting the development of a coherent analytical framework for the ex-ante assessment of investment in social policies and services. More specifically, the workshop contributed to establishing a shared conceptual and methodological basis for constructing policy-relevant scenarios, which will be put into practice in the project's empirical work. The overall objective of SWINS is to elaborate an effective framework for measuring the economic, social and environmental returns generated by investments in social policies and services. In doing so, the project addresses a number of interconnected methodological and analytical challenges. On the one hand, social investments may produce heterogeneous forms of returns, ranging from income and employment outcomes to broader dimensions such as sustainability, inequality reduction and wellbeing. On the other hand, these effects emerge through complex interactions between macro-level institutional changes and micro-level behavioural responses (Ciani &amp; Fattacciu, 2025). The analytical perspective adopted in SWINS is grounded in the Social Investment approach (Hemerijck, Ronchi, &amp; Plavgo, 2022). According to this approach, providing social policies and services can generate changes in individuals’ opportunity structures and behavio</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pStyle w:val="Heading2"/>
      </w:pPr>
      <w:r>
        <w:t>873.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2026:</w:t>
      </w:r>
      <w:r>
        <w:t xml:space="preserve"> Hybrid foresight: integrating artificial intelligence and expert judgement to address strategic challenges in UK Forest resilience — https://doi.org/10.1093/forestry/cpag066</w:t>
      </w:r>
    </w:p>
    <w:p>
      <w:pPr/>
      <w:r>
        <w:rPr>
          <w:b/>
        </w:rPr>
        <w:t>Shared claim-specific concepts:</w:t>
      </w:r>
      <w:r>
        <w:t xml:space="preserve"> foresight, system, expert, strategic; EU scope visible. This is a provisional connection, not an outcome finding.</w:t>
      </w:r>
    </w:p>
    <w:p>
      <w:pPr>
        <w:pStyle w:val="SourceNote"/>
      </w:pPr>
      <w:r>
        <w:rPr>
          <w:b/>
        </w:rPr>
        <w:t>Available abstract (not full text):</w:t>
      </w:r>
      <w:r>
        <w:t xml:space="preserve"> Abstract Forests occupy a pivotal position in addressing the intertwined crises of climate change, biodiversity loss, and sustainable resource use. Yet, the United Kingdom, one of Europe’s least-wooded and most nature-depleted nations, faces persistent barriers to resilient forest management: low forest cover, narrow species diversity, dependence on timber imports, and fragmented ownership. Building on a national horizon scan conducted in 2022, which identified ‘catastrophic forest ecosystem collapse’ as the most pressing emerging issue, this paper explores how artificial intelligence (AI) can strengthen foresight and policy coherence. Although large language models and other AI tools were technically available during the 2022 horizon-scanning exercise, their use in environmental foresight was not yet methodologically normalized or institutionally validated. The absence of AI from that process should therefore be understood less as an omission than as evidence of a rapidly changing methodological context. We propose an AI-assisted horizon-scanning framework that combines AI-enabled signal detection and synthesis with expert interpretation, deliberation and judgement through six iterative stages: framing, signal discovery, expert engagement, synthesis, simulation, and reflexive learning. The framework operationalizes principles of Responsible Research and Innovation and Responsi</w:t>
      </w:r>
    </w:p>
    <w:p>
      <w:pPr/>
      <w:r>
        <w:rPr>
          <w:b/>
        </w:rPr>
        <w:t>POSSIBLE 2026:</w:t>
      </w:r>
      <w:r>
        <w:t xml:space="preserve"> India’s role in the Arctic: comparative scenarios and strategic foresight — https://doi.org/10.3389/fpos.2026.1758233</w:t>
      </w:r>
    </w:p>
    <w:p>
      <w:pPr/>
      <w:r>
        <w:rPr>
          <w:b/>
        </w:rPr>
        <w:t>Shared claim-specific concepts:</w:t>
      </w:r>
      <w:r>
        <w:t xml:space="preserve"> foresight, strategic, directions, long-term; EU scope not established. This is a provisional connection, not an outcome finding.</w:t>
      </w:r>
    </w:p>
    <w:p>
      <w:pPr>
        <w:pStyle w:val="SourceNote"/>
      </w:pPr>
      <w:r>
        <w:rPr>
          <w:b/>
        </w:rPr>
        <w:t>Available abstract (not full text):</w:t>
      </w:r>
      <w:r>
        <w:t xml:space="preserve"> Introduction The Arctic has become a space for global interaction, serving not only as an arena for rivalry but also as a target for environmental initiatives. The growing interest of extra-regional powers, including India, increases the importance of research on the strategies and policies of non-Arctic states in the Arctic region. Considering and analyzing India’s experience and policies is essential for understanding how countries in the Global South and Asia are shaping and implementing their models of participation in the management of global common resources. The purpose of this article is to analyze and identify forecast scenarios for India’s Arctic strategy and policy, as well as benchmarking scenarios and identifying constraints and opportunities. Methods The study uses scenario analysis to explore several potential directions for India’s Arctic policy and their broader strategic implications. Along with examining the climate agenda, strategic forecasting is applied, expressing the diversity and multidimensionality of the research approaches. Results Three scenarios were developed, among them deepening Arctic cooperation, which involves India acting as a climate partner inscribed in multilateral governance and scientific diplomacy; polar competition, in which India cautiously aligns with Russia to secure access to energy resources amid geopolitical fragmentation; and 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expert, strategic, technological;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NEXUS-HC: A Framework for Technology Foresight in Strategic Communications — https://doi.org/10.34190/eccws.25.1.4709</w:t>
      </w:r>
    </w:p>
    <w:p>
      <w:pPr/>
      <w:r>
        <w:rPr>
          <w:b/>
        </w:rPr>
        <w:t>Shared claim-specific concepts:</w:t>
      </w:r>
      <w:r>
        <w:t xml:space="preserve"> foresight, system, evaluation, strategic; EU scope not established. This is a provisional connection, not an outcome finding.</w:t>
      </w:r>
    </w:p>
    <w:p>
      <w:pPr>
        <w:pStyle w:val="SourceNote"/>
      </w:pPr>
      <w:r>
        <w:rPr>
          <w:b/>
        </w:rPr>
        <w:t>Available abstract (not full text):</w:t>
      </w:r>
      <w:r>
        <w:t xml:space="preserve"> Strategic communications teams increasingly operate in an information environment shaped less by what people say to each other and more by what platforms choose to show, boost, or hide. Automation, synthetic media, and faster technology cycles mean influence activity can scale quickly, while decision-makers must still choose what to monitor, test, and prepare for. Many organisations track technology "hype" informally through news and vendor claims, but this often fails to produce clear priorities or explainable trade-offs. This paper introduces NEXUS-HC (Navigational Examination and Understanding System for Hype Cycle Analysis), a decision-oriented framework that adapts the familiar hype-cycle idea for contested, next-generation information environments. NEXUS-HC standardises technology assessment through a lightweight cross-impact rubric to compare likely effects, and links assessment to action through five portfolio postures: Monitor, Pilot, Adopt, Govern/Harden, or Counter. The framework separates (a) maturity and diffusion signals, (b) disruption mechanisms relevant to influence and integrity, and (c) adversarial leverage and governance readiness. We provide practical guidance for running the workflow in a small StratCom team, recording evidence notes and confidence, and setting reassessment triggers. A short three-technology illustration and light-touch retrospective valid</w:t>
      </w:r>
    </w:p>
    <w:p>
      <w:pPr/>
      <w:r>
        <w:rPr>
          <w:b/>
        </w:rPr>
        <w:t>POSSIBLE 2026:</w:t>
      </w:r>
      <w:r>
        <w:t xml:space="preserve"> Ukraine’s Electricity Sector Amidst “Creative Destruction”: A Foresight Analysis of Strategic Perspectives for Sustainable Entrepreneurship — https://doi.org/10.32983/2222-4459-2026-6-159-172</w:t>
      </w:r>
    </w:p>
    <w:p>
      <w:pPr/>
      <w:r>
        <w:rPr>
          <w:b/>
        </w:rPr>
        <w:t>Shared claim-specific concepts:</w:t>
      </w:r>
      <w:r>
        <w:t xml:space="preserve"> foresight, strategic, directions, technological; EU scope visible. This is a provisional connection, not an outcome finding.</w:t>
      </w:r>
    </w:p>
    <w:p>
      <w:pPr>
        <w:pStyle w:val="SourceNote"/>
      </w:pPr>
      <w:r>
        <w:rPr>
          <w:b/>
        </w:rPr>
        <w:t>Available abstract (not full text):</w:t>
      </w:r>
      <w:r>
        <w:t xml:space="preserve"> The article examines the transformational processes underway in Ukraine’s electricity sector through the lens of Schumpeter’s conception of «creative destruction». It is substantiated that the global energy transition, combined with the catastrophic consequences of the ongoing war, forms a unique configuration of factors that simultaneously destroys the sector’s established, largely Soviet-era structures and opens space for fundamentally new forms of entrepreneurial activity. The study reveals the paradoxical nature of the current energy transition, in which record investment in clean energy coexists with record fossil-fuel consumption, deepening strategic uncertainty for business actors. Methodologically, the research rests on a synthesis of foresight, oriented towards generating multiple alternative images of the future, and the theory of strategic entrepreneurship as the simultaneous pursuit of market opportunities and competitive advantage. On this basis, the authors propose an original set of sectoral development scenarios up to 2050, ranging from Ukraine’s transformation into a «green hub» of Europe to the inertial entrenchment of technological backwardness, and systematizes priority directions for sustainable entrepreneurship. The article contends that the scale of destruction caused by the war makes it economically rational not to restore obsolete infrastructure but to </w:t>
      </w:r>
    </w:p>
    <w:p>
      <w:pPr>
        <w:pStyle w:val="Heading2"/>
      </w:pPr>
      <w:r>
        <w:t>874.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Glacial lake outburst floods threaten millions globally — https://doi.org/10.1038/s41467-023-36033-x</w:t>
      </w:r>
    </w:p>
    <w:p>
      <w:pPr/>
      <w:r>
        <w:rPr>
          <w:b/>
        </w:rPr>
        <w:t>Shared claim-specific concepts:</w:t>
      </w:r>
      <w:r>
        <w:t xml:space="preserve"> number, millions, four, people; EU scope not established. This is a provisional connection, not an outcome finding.</w:t>
      </w:r>
    </w:p>
    <w:p>
      <w:pPr>
        <w:pStyle w:val="SourceNote"/>
      </w:pPr>
      <w:r>
        <w:rPr>
          <w:b/>
        </w:rPr>
        <w:t>Available abstract (not full text):</w:t>
      </w:r>
      <w:r>
        <w:t xml:space="preserve"> Glacial lake outburst floods (GLOFs) represent a major hazard and can result in significant loss of life. Globally, since 1990, the number and size of glacial lakes has grown rapidly along with downstream population, while socio-economic vulnerability has decreased. Nevertheless, contemporary exposure and vulnerability to GLOFs at the global scale has never been quantified. Here we show that 15 million people globally are exposed to impacts from potential GLOFs. Populations in High Mountains Asia (HMA) are the most exposed and on average live closest to glacial lakes with ~1 million people living within 10 km of a glacial lake. More than half of the globally exposed population are found in just four countries: India, Pakistan, Peru, and China. While HMA has the highest potential for GLOF impacts, we highlight the Andes as a region of concern, with similar potential for GLOF impacts to HMA but comparatively few published research studies.</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Health-related selection into employment among the unemployed — https://doi.org/10.1186/s12889-022-13023-0</w:t>
      </w:r>
    </w:p>
    <w:p>
      <w:pPr/>
      <w:r>
        <w:rPr>
          <w:b/>
        </w:rPr>
        <w:t>Shared claim-specific concepts:</w:t>
      </w:r>
      <w:r>
        <w:t xml:space="preserve"> unemployed, people, aged, between; EU scope not established. This is a provisional connection, not an outcome finding.</w:t>
      </w:r>
    </w:p>
    <w:p>
      <w:pPr>
        <w:pStyle w:val="SourceNote"/>
      </w:pPr>
      <w:r>
        <w:rPr>
          <w:b/>
        </w:rPr>
        <w:t>Available abstract (not full text):</w:t>
      </w:r>
      <w:r>
        <w:t xml:space="preserve"> BACKGROUND: Successful transitions from unemployment to employment are an important concern, yet little is known about health-related selection into employment. We assessed the association of various physical and psychiatric conditions with finding employment, and employment stability. METHODS: Using total population register data, we followed Finnish residents aged 30-60 with an unemployment spell during 2009-2018 (n = 814,085) for two years from the onset of unemployment. We predicted any, stable, and unstable employment by health status using Cox proportional hazards models. The data on specialized health care and prescription reimbursement were used to identify any alcohol-related conditions and poisonings, psychiatric conditions and self-harm, injuries, and physical conditions. We further separated physical conditions into cancer, diabetes, heart disease, and neurological conditions, and psychiatric conditions into depression, anxiety disorders and substance use disorders. RESULTS: The likelihood of any employment was lower among those who had any of the assessed health conditions. It was lowest among those with alcohol-related or psychiatric conditions with an age-adjusted hazard ratio of 0.45 (95% confidence interval 0.44, 0.46) among men and 0.39 (0.38, 0.41) among women for alcohol-related and 0.64 (0.63, 0.65) and 0.66 (0.65, 0.67) for psychiatric conditions, respecti</w:t>
      </w:r>
    </w:p>
    <w:p>
      <w:pPr/>
      <w:r>
        <w:rPr>
          <w:b/>
        </w:rPr>
        <w:t>POSSIBLE 2022:</w:t>
      </w:r>
      <w:r>
        <w:t xml:space="preserve"> Training during recessions: recent European evidence — https://doi.org/10.2478/izajolp-2022-0007</w:t>
      </w:r>
    </w:p>
    <w:p>
      <w:pPr/>
      <w:r>
        <w:rPr>
          <w:b/>
        </w:rPr>
        <w:t>Shared claim-specific concepts:</w:t>
      </w:r>
      <w:r>
        <w:t xml:space="preserve"> recent, unemployed, times; EU scope visible. This is a provisional connection, not an outcome finding.</w:t>
      </w:r>
    </w:p>
    <w:p>
      <w:pPr>
        <w:pStyle w:val="SourceNote"/>
      </w:pPr>
      <w:r>
        <w:rPr>
          <w:b/>
        </w:rPr>
        <w:t>Available abstract (not full text):</w:t>
      </w:r>
      <w:r>
        <w:t xml:space="preserve"> Abstract We use European Union Labour Force Survey data for the period 2005–2018 to investigate the cyclicality of training in Europe. Consistent with the view that firms use recessions as times to update skills, we find that training participation is moderately countercyclical for the employed. Within the not-employed group, this is true also for the unemployed, who are likely to be involved in public training programs during recessions, but not for the inactive, who may be affected by liquidity constraints.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pStyle w:val="Heading2"/>
      </w:pPr>
      <w:r>
        <w:t>875.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An Integrated IT Management Framework for Scenario-Based Enterprise Analytics and Strategic Decision Optimization — https://doi.org/10.63125/3wtc3z49</w:t>
      </w:r>
    </w:p>
    <w:p>
      <w:pPr/>
      <w:r>
        <w:rPr>
          <w:b/>
        </w:rPr>
        <w:t>Shared claim-specific concepts:</w:t>
      </w:r>
      <w:r>
        <w:t xml:space="preserve"> scenario-based, integrated, assessment; EU scope not established. This is a provisional connection, not an outcome finding.</w:t>
      </w:r>
    </w:p>
    <w:p>
      <w:pPr>
        <w:pStyle w:val="SourceNote"/>
      </w:pPr>
      <w:r>
        <w:rPr>
          <w:b/>
        </w:rPr>
        <w:t>Available abstract (not full text):</w:t>
      </w:r>
      <w:r>
        <w:t xml:space="preserve"> Enterprises increasingly invest in cloud platforms, enterprise systems, data warehouses, business intelligence applications, and analytical tools, yet strategic decisions often remain fragmented because governance, data, infrastructure, modeling, and user capabilities are insufficiently integrated. This study aimed to develop and quantitatively evaluate an integrated IT management framework for strengthening scenario-based enterprise analytics effectiveness and strategic decision optimiza_tion. A quantitative, cross-sectional, descriptive, explanatory, and case-based design was applied across selected enterprise cases using enterprise resource planning systems, cloud services, customer relationship management platforms, data warehouses, and decision-support technologies in financial services, manufacturing, logistics, telecommunications, retail, healthcare, and public-oriented institutions. From 360 distributed questionnaires, 312 valid responses were retained, producing an effective response rate of 86.67 percent. The model examined IT Governance and Strategic Alignment, Enterprise Data Integration and Information Quality, IT Infrastructure Flexibility and System Interoperability, Scenario-Modeling and Analytical Capability, Analytics-User Competency and Organizational Readiness, Scenario-Based Enterprise Analytics Effectiveness, and Strategic Decision Optimization. IBM SPSS w</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Developing Scenario‐Based Strategies for Health, Climate, and Environmental Preparedness: The One Health, One Earth Approach — https://doi.org/10.1029/2025gh001674</w:t>
      </w:r>
    </w:p>
    <w:p>
      <w:pPr/>
      <w:r>
        <w:rPr>
          <w:b/>
        </w:rPr>
        <w:t>Shared claim-specific concepts:</w:t>
      </w:r>
      <w:r>
        <w:t xml:space="preserve"> integrated, health, climate; EU scope not established. This is a provisional connection, not an outcome finding.</w:t>
      </w:r>
    </w:p>
    <w:p>
      <w:pPr>
        <w:pStyle w:val="SourceNote"/>
      </w:pPr>
      <w:r>
        <w:rPr>
          <w:b/>
        </w:rPr>
        <w:t>Available abstract (not full text):</w:t>
      </w:r>
      <w:r>
        <w:t xml:space="preserve"> workshop sought to explore this gap through human-centered design exercises involving interdisciplinary researchers from climate and Earth sciences, engineering, epidemiology, microbiology, and environmental health. Although participants did not co-develop solutions with affected communities, they used stakeholder role-playing to guide ideation and lay groundwork for actionable plans. Through these methods, participants identified community needs and proposed prototype solutions to alleviate health threats exacerbated by global environmental change. Prototypes were organized around infectious diseases, extreme weather, and air quality, as illustrative themes rather than an exhaustive set of risks. Key solutions included strategies for anticipatory systems and early warning (e.g., integrating environmental signals with health data), inclusive communication and infrastructure needs for responding to extreme weather events, and integrated platforms visualizing air quality trends to support tailored, context-aware guidance beyond one-size-fits-all alerts. The workshop highlighted opportunities such as leveraging machine learning, Earth observation, and real-time surveillance to protect communities, but also noted barriers including data quality, technological redundancy, privacy, and governance challenges. Additionally, participants emphasized the need for interdisciplinary teams c</w:t>
      </w:r>
    </w:p>
    <w:p>
      <w:pPr/>
      <w:r>
        <w:rPr>
          <w:b/>
        </w:rPr>
        <w:t>POSSIBLE 2026:</w:t>
      </w:r>
      <w:r>
        <w:t xml:space="preserve"> Extending integrated assessment model scenarios until 2150 using emulation approaches — https://doi.org/10.1088/2515-7620/ae661b</w:t>
      </w:r>
    </w:p>
    <w:p>
      <w:pPr/>
      <w:r>
        <w:rPr>
          <w:b/>
        </w:rPr>
        <w:t>Shared claim-specific concepts:</w:t>
      </w:r>
      <w:r>
        <w:t xml:space="preserve"> integrated, assessment, climate; EU scope not established. This is a provisional connection, not an outcome finding.</w:t>
      </w:r>
    </w:p>
    <w:p>
      <w:pPr>
        <w:pStyle w:val="SourceNote"/>
      </w:pPr>
      <w:r>
        <w:rPr>
          <w:b/>
        </w:rPr>
        <w:t>Available abstract (not full text):</w:t>
      </w:r>
      <w:r>
        <w:t xml:space="preserve"> Abstract Whereas there is growing interest in exploring very long-term climate with overshoot beyond 2100, most integrated assessment models (IAMs) generate emissions scenarios only through 2100. Here we propose approaches for extending scenarios until 2150 using an emulator of IAMs. Our approaches offer a potential interim solution for developing very long-term scenarios, such as the scenario model intercomparison project, circumventing the challenges of fully simulating IAMs beyond 2100.</w:t>
      </w:r>
    </w:p>
    <w:p>
      <w:pPr/>
      <w:r>
        <w:rPr>
          <w:b/>
        </w:rPr>
        <w:t>POSSIBLE 2026:</w:t>
      </w:r>
      <w:r>
        <w:t xml:space="preserve"> Integrating a pesticide risk indicator into a multi-criteria assessment tool for comparing crop protection scenarios — https://doi.org/10.1016/j.agsy.2026.104945</w:t>
      </w:r>
    </w:p>
    <w:p>
      <w:pPr/>
      <w:r>
        <w:rPr>
          <w:b/>
        </w:rPr>
        <w:t>Shared claim-specific concepts:</w:t>
      </w:r>
      <w:r>
        <w:t xml:space="preserve"> integrated, health, assessment, due, three; EU scope visible. This is a provisional connection, not an outcome finding.</w:t>
      </w:r>
    </w:p>
    <w:p>
      <w:pPr>
        <w:pStyle w:val="SourceNote"/>
      </w:pPr>
      <w:r>
        <w:rPr>
          <w:b/>
        </w:rPr>
        <w:t>Available abstract (not full text):</w:t>
      </w:r>
      <w:r>
        <w:t xml:space="preserve"> CONTEXT Chemical pesticides remain central to agricultural productivity but pose well documented risks to human health and ecosystems. While Integrated Pest Management (IPM) offers a more sustainable alternative, its adoption remains limited, partly due to the complex trade-offs that are not easily quantified and compared. OBJECTIVE This study presents the IPM Self-Assessment Tool (ISAT), a web-based application designed to enable transparent comparison of crop protection scenarios at the field level, integrating environmental, human health, agronomic, and economic indicators. METHODS A new harmonized pesticide risk indicator for Europe (PL EU – Pesticide Load Indicator for Europe) was developed. The PL EU covers 41 hazard metrics across three sub-indicators (Environmental Fate, Ecotoxicity, and Human Health). The PL EU was integrated into the ISAT alongside indicators for greenhouse gas (GHG) emissions and production costs, calculated using life cycle based methods. The tool was developed using data from ten European countries covering eight crops, with scenarios described by regional specialists and validated by farm advisors. RESULTS AND CONCLUSIONS The PL EU was calculated for 502 active ingredients (441 synthetic, 61 biopesticides) across eight pesticide groups. A case study on winter wheat in Germany showed that, relative to conventional practice, an IPM scenario replacin</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pStyle w:val="Heading2"/>
      </w:pPr>
      <w:r>
        <w:t>876.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climate, spain;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pStyle w:val="Heading2"/>
      </w:pPr>
      <w:r>
        <w:t>877.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Climate &amp; Air Quality projections over Europe for 2030 and 2050 — https://openalex.org/W7213705154</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regional, climate, investigate, temperature, period;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pStyle w:val="Heading2"/>
      </w:pPr>
      <w:r>
        <w:t>878.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2026:</w:t>
      </w:r>
      <w:r>
        <w:t xml:space="preserve"> A Multidimensional Muscle Quality Index in Severe Obesity: Relationships with Ageing, Adiposity, and Functional Performance — https://doi.org/10.3390/jcm15176696</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Background/Objectives: Traditional anthropometric indicators such as body mass index (BMI) may inadequately capture functional muscular impairment in obesity. To investigate a multidimensional composite muscle quality index (MQI) integrating relative strength and lower-limb functional power in adults with severe obesity. Methods: The study included 202 adults with severe obesity. The Composite MQI was calculated as the mean of standardized z-scores derived from handgrip strength (HG) normalized by fat-free mass (FFM) (HG/FFM) and sit-to-stand power (STS power) normalized by skeletal muscle mass (MM) (STS power/MM). Associations between the Composite MQI and demographic, anthropometric, and body composition variables were assessed using correlation analyses and multivariable linear regression. Participants were additionally stratified into quartiles of the Composite MQI to explore age-related differences. Results: The mean age of the study group was 44.9 ± 14.0 years, and the BMI was 42.5 ± 5.1 kg/m2. Age showed a moderate inverse association with the Composite MQI (r = −0.41, p &lt; 0.001), whereas BMI showed no significant correlation (r = −0.09). In multivariable regression models adjusted for sex and BMI, increasing age remained independently associated with lower Composite MQI (β = −0.022, p &lt; 0.001), whereas BMI was not independently associated with Composite MQI (p = 0.373).</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pStyle w:val="Heading2"/>
      </w:pPr>
      <w:r>
        <w:t>879.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2025:</w:t>
      </w:r>
      <w:r>
        <w:t xml:space="preserve"> Medical error and medical incident: common and different — https://doi.org/10.21045/3033-6341-2025-1-1-5-13</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Introduction. The development of modern medicine is characterized by technological progress with the increasing complexity of instruments, procedures, and manipulations. With the growth of the introduction of complex diagnostic and therapeutic technologies, the number of potential complications, failures, and errors increases accordingly. High-quality medical care is care without gross medical malpractice. The tension around medical malpractice has stimulated the legal system to formalise and expand the application of such concepts as «medical incident» and «insurance event». The given concepts are ambiguous, the nature of their relationship with the concepts of «medical malpractice» and «iatrogenesis» is not clearly defined, which complicates the understanding and control of the «medical malpractice” issue. The purpose of the study is to determine the common features and differences between the concepts of “medical malpractice” and “medical incident”. Materials and methods. The Study Materials include current laws in the field of healthcare, articles reflecting the problem of medical incidents and medical malpractice over the past five years. Research methods are axiomatic and general-logical (analysis and synthesis, induction and deduction, analogy, etc.). Results. A medical incident is a polysemantic concept, meaning both an event that caused harm to the patient’s health and</w:t>
      </w:r>
    </w:p>
    <w:p>
      <w:pPr/>
      <w:r>
        <w:rPr>
          <w:b/>
        </w:rPr>
        <w:t>POSSIBLE 2025:</w:t>
      </w:r>
      <w:r>
        <w:t xml:space="preserve"> Detection of QTL associated with morphological, adaptive, and reproductive traits in common bermudagrass — https://doi.org/10.1002/its2.70007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Common bermudagrass [ Cynodon dactylon (L.) Pers.] is an important turfgrass in tropical, subtropical, and warm temperate climates worldwide. However, molecular information associated with adaptive and morphological traits in this species is limited. Accordingly, the objectives of this study were to identify genomic regions associated with establishment rate, spring green‐up, drought response, leaf length and width, and stem internode length and width. We used an existing high‐density linkage map constructed with 3322 single nucleotide polymorphisms and 222 simple sequence repeat markers for “A12359” common bermudagrass. A total of 130 first‐generation selfed progeny of A12359 were evaluated in a field trial using a randomized complete block design with three replications. Thirty‐two QTL were identified as associated with the target traits. We identified 29 candidate genes from consistent and pleiotropic QTL regions. These results provide important genetic resources toward understanding the molecular information associated with the target traits as well as provide a foundation for marker‐assisted selection in bermudagrass breeding.</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2024:</w:t>
      </w:r>
      <w:r>
        <w:t xml:space="preserve"> Optimal in vitro models as a basis for understanding and more effective treatment of infantile haemangiomas — https://doi.org/10.1093/bjd/ljae505</w:t>
      </w:r>
    </w:p>
    <w:p>
      <w:pPr/>
      <w:r>
        <w:rPr>
          <w:b/>
        </w:rPr>
        <w:t>Shared claim-specific concepts:</w:t>
      </w:r>
      <w:r>
        <w:t xml:space="preserve"> accordingly, common, understanding, different; EU scope not established. This is a provisional connection, not an outcome finding.</w:t>
      </w:r>
    </w:p>
    <w:p>
      <w:pPr>
        <w:pStyle w:val="SourceNote"/>
      </w:pPr>
      <w:r>
        <w:rPr>
          <w:b/>
        </w:rPr>
        <w:t>Available abstract (not full text):</w:t>
      </w:r>
      <w:r>
        <w:t xml:space="preserve"> The pathogenesis of infantile haemangiomas (IHs) – the most common benign vascular tumours in infants regulated by multiple cellular mechanisms – has remained controversial. Various studies have suggested different cellular origins and molecular pathways.1 A complete understanding of the underlying mechanisms would open the door to targeted treatments that could improve clinical outcomes.2,3 Although the therapeutic efficacy of propranolol is internationally recognized, its adverse effects should not be overlooked, as well as the fact that a number of patients develop resistance or relapse, opening the way for the development and investigation of new, potentially better therapeutics within the framework of personalized medicine and precision therapy in the future.4 Accordingly, the development and establishment of stable and reliable IH models provide a standardized experimental platform for elucidating its pathogenesis, facilitating the development of new drugs and the identification of effective treatments. Common IH models include the cell suspension implantation model, the viral gene transfer model, the tissue block transplantation model and the most recent three-­dimensional (3D) microtumour model.5</w:t>
      </w:r>
    </w:p>
    <w:p>
      <w:pPr/>
      <w:r>
        <w:rPr>
          <w:b/>
        </w:rPr>
        <w:t>POSSIBLE 2024:</w:t>
      </w:r>
      <w:r>
        <w:t xml:space="preserve"> Common Security and Defence Policy: A Legal Framework for Developing the European Defence Industry — https://doi.org/10.54237/profnet.2024.zkjeszcodef_4</w:t>
      </w:r>
    </w:p>
    <w:p>
      <w:pPr/>
      <w:r>
        <w:rPr>
          <w:b/>
        </w:rPr>
        <w:t>Shared claim-specific concepts:</w:t>
      </w:r>
      <w:r>
        <w:t xml:space="preserve"> common, industry, rules; EU scope visible. This is a provisional connection, not an outcome finding.</w:t>
      </w:r>
    </w:p>
    <w:p>
      <w:pPr>
        <w:pStyle w:val="SourceNote"/>
      </w:pPr>
      <w:r>
        <w:rPr>
          <w:b/>
        </w:rPr>
        <w:t>Available abstract (not full text):</w:t>
      </w:r>
      <w:r>
        <w:t xml:space="preserve"> The European Union's (EU) Common Security and Defence Policy (CSDP) is a component of its Common Foreign and Security Policy (CFSP). It was established in the Maastricht Treaty on European Union, which included a provision for the gradual introduction of a common defence policy that could eventually lead to a common defence framework. The CFSP emerged from the need to enhance the EU's political identity on the international arena and assert Europe's independence in the post-Cold War era. Simultaneously, it remains one of the few areas of competence that exclusively belongs to Member States, where proposals to deepen integration processes have met with lukewarm responses. However, the Russo-Ukrainian war has prompted the European forum to strengthen cooperation between Member States, particularly in the defence industry sector. The CSDP is regulated only by the Treaty on EU (TEU), while other EU policies are governed by the Treaty on the Functioning of the EU (TFEU). The architects of the Lisbon reform aimed to underscore the distinctiveness of the CSDP from other EU policies, as demonstrated by its legal instruments, decision-making mechanisms, and the nature of EU competences. Cooperation under the CSDP does not fit neatly within the traditional treaty rules governing the division of competences between the EU and its Member States. Fundamental competences in the field of secu</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pStyle w:val="Heading2"/>
      </w:pPr>
      <w:r>
        <w:t>880.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2026:</w:t>
      </w:r>
      <w:r>
        <w:t xml:space="preserve"> Mapping climate change adaptation policy instruments in European agriculture: a qualitative analysis of National Adaptation Strategy and National Adaptation Plan — https://doi.org/10.1007/s10113-026-02691-y</w:t>
      </w:r>
    </w:p>
    <w:p>
      <w:pPr/>
      <w:r>
        <w:rPr>
          <w:b/>
        </w:rPr>
        <w:t>Shared claim-specific concepts:</w:t>
      </w:r>
      <w:r>
        <w:t xml:space="preserve"> adaptation, significant, between; EU scope visible. This is a provisional connection, not an outcome finding.</w:t>
      </w:r>
    </w:p>
    <w:p>
      <w:pPr>
        <w:pStyle w:val="SourceNote"/>
      </w:pPr>
      <w:r>
        <w:rPr>
          <w:b/>
        </w:rPr>
        <w:t>Available abstract (not full text):</w:t>
      </w:r>
      <w:r>
        <w:t xml:space="preserve"> Abstract Climate change poses an increasing threat to agricultural production and food security. While many European countries have developed National Adaptation Strategies (NASs) and National Adaptation Plans (NAPs), the alignment between proposed policies and their supporting mechanisms remains under-explored. This study maps adaptation frameworks across ten European countries—Finland, Austria, Switzerland, Belgium, the Netherlands, Denmark, Estonia, Spain, Latvia, and Lithuania—to clarify diverse national policies and identify how specific instruments are prioritized to address adaptation goals. Drawing upon 20 official documents available on the Climate-ADAPT platform and using ATLAS.ti for qualitative analysis, 131 climate adaptation policies in agriculture were extracted to form a thematic synthesis. Then, we determined which policy instruments (categorized into four groups: information-based, legal and regulatory, economic, and infrastructural and physical instruments) were associated with each policy. The findings indicate that while these frameworks provide strategic guidance, they place significant emphasis on information-based and awareness-raising measures. This suggests a distinct pattern in European climate governance: a preference for farmer engagement and voluntary action over more direct regulatory or economic interventions.</w:t>
      </w:r>
    </w:p>
    <w:p>
      <w:pPr/>
      <w:r>
        <w:rPr>
          <w:b/>
        </w:rPr>
        <w:t>POSSIBLE 2026:</w:t>
      </w:r>
      <w:r>
        <w:t xml:space="preserve"> Water allocation for drought adaptation: a review of practical options — https://doi.org/10.3389/frwa.2026.1803379</w:t>
      </w:r>
    </w:p>
    <w:p>
      <w:pPr/>
      <w:r>
        <w:rPr>
          <w:b/>
        </w:rPr>
        <w:t>Shared claim-specific concepts:</w:t>
      </w:r>
      <w:r>
        <w:t xml:space="preserve"> adaptation, options, significant; EU scope not established. This is a provisional connection, not an outcome finding.</w:t>
      </w:r>
    </w:p>
    <w:p>
      <w:pPr>
        <w:pStyle w:val="SourceNote"/>
      </w:pPr>
      <w:r>
        <w:rPr>
          <w:b/>
        </w:rPr>
        <w:t>Available abstract (not full text):</w:t>
      </w:r>
      <w:r>
        <w:t xml:space="preserve"> This review highlights five types of strategic activities and four types of operational activities through which water allocation systems can mitigate the impacts of droughts and increase the resilience of communities and ecosystems to climate change. The review draws on the literature of drought and water allocation in general and that of Ethiopia, South Africa and Chile in particular. The analysis discusses the complexities and challenges that can arise during the implementation of these activities. Many existing water allocation systems are inadequate or outdated, as they were designed at a time when water was perceived as abundant. Significant reforms may be needed to manage water resources more equitably, efficiently, and sustainably, in recognition of the "new normal" created by climate change. The insights are relevant both to low-income countries in Africa and South Asia where severe drought conditions are intensifying, and to high-income countries that are newly experiencing droughts.</w:t>
      </w:r>
    </w:p>
    <w:p>
      <w:pPr>
        <w:pStyle w:val="Heading2"/>
      </w:pPr>
      <w:r>
        <w:t>881.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2025:</w:t>
      </w:r>
      <w:r>
        <w:t xml:space="preserve"> INDICATORS OF SOCIO-ECONOMIC EFFICIENCY OF PERSONNEL DEVELOPMENT IN THE CONTEXT OF DIGITALIZATION — https://doi.org/10.30525/2500-946x/2025-2-6</w:t>
      </w:r>
    </w:p>
    <w:p>
      <w:pPr/>
      <w:r>
        <w:rPr>
          <w:b/>
        </w:rPr>
        <w:t>Shared claim-specific concepts:</w:t>
      </w:r>
      <w:r>
        <w:t xml:space="preserve"> socio-economic, included; EU scope not established. This is a provisional connection, not an outcome finding.</w:t>
      </w:r>
    </w:p>
    <w:p>
      <w:pPr>
        <w:pStyle w:val="SourceNote"/>
      </w:pPr>
      <w:r>
        <w:rPr>
          <w:b/>
        </w:rPr>
        <w:t>Available abstract (not full text):</w:t>
      </w:r>
      <w:r>
        <w:t xml:space="preserve"> In the context of rapid digital transformation, the issue of assessing the socio-economic efficiency of personnel development is gaining strategic importance. This article proposes a system of indicators that reflects both quantitative and qualitative changes in employee development under digitalization. The study identifies key performance criteria, such as productivity, adaptability, digital skills, and return on training investment, which can serve as tools for evaluating human capital efficiency in modern organizations. The proposed indicator framework allows for a more accurate alignment of HR development strategies with organizational goals in the digital era. The purpose of this article is to develop and substantiate a system of socio-economic indicators that can be used to evaluate the efficiency of personnel development in the conditions of digital transformation. Methodology. The study is based on a combination of theoretical analysis and expert evaluation methods. A review of scientific literature and international reports was conducted to identify existing approaches to performance measurement. The final system of indicators was structured through comparative analysis and validated using expert assessments and relevance criteria. Both quantitative (e.g., digital ROI) and qualitative (e.g., employee adaptability) indicators were included. Results. The article present</w:t>
      </w:r>
    </w:p>
    <w:p>
      <w:pPr/>
      <w:r>
        <w:rPr>
          <w:b/>
        </w:rPr>
        <w:t>POSSIBLE 2025:</w:t>
      </w:r>
      <w:r>
        <w:t xml:space="preserve"> Socio-Economic Inequalities during the Conjuncture of the Fourteenth Century — https://doi.org/10.36253/979-12-215-0705-8</w:t>
      </w:r>
    </w:p>
    <w:p>
      <w:pPr/>
      <w:r>
        <w:rPr>
          <w:b/>
        </w:rPr>
        <w:t>Shared claim-specific concepts:</w:t>
      </w:r>
      <w:r>
        <w:t xml:space="preserve"> socio-economic, range, between; EU scope visible. This is a provisional connection, not an outcome finding.</w:t>
      </w:r>
    </w:p>
    <w:p>
      <w:pPr>
        <w:pStyle w:val="SourceNote"/>
      </w:pPr>
      <w:r>
        <w:rPr>
          <w:b/>
        </w:rPr>
        <w:t>Available abstract (not full text):</w:t>
      </w:r>
      <w:r>
        <w:t xml:space="preserve"> This volume aims to bring together, discuss and further develop the findings and perspectives of two relevant debates in medieval and economic history – the fourteenth-century conjuncture and pre-industrial inequality – through nineteen original and state-of-the-art contributions in English and Italian by established scholars and promising young researchers. Focusing on Central-Northern Italy and Western Europe between c. 1270 and c. 1350, the volume aims to understand why, how and to what extent medieval society was unequal in the seventy years before the Great Plague of 1347-52, presenting a wide range of sources and methods, exploring and discussing the causal mechanisms of socio-economic inequalities, and examining how these differences were perceived, represented and dealt with in the late Middle Ages, extending the investigation in some cases to the post-Black Death period.</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pStyle w:val="Heading2"/>
      </w:pPr>
      <w:r>
        <w:t>882.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883.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2026:</w:t>
      </w:r>
      <w:r>
        <w:t xml:space="preserve"> A multi-model analysis of hydrogen uptake in a climate-neutral Europe — https://doi.org/10.1038/s41467-026-78681-9</w:t>
      </w:r>
    </w:p>
    <w:p>
      <w:pPr/>
      <w:r>
        <w:rPr>
          <w:b/>
        </w:rPr>
        <w:t>Shared claim-specific concepts:</w:t>
      </w:r>
      <w:r>
        <w:t xml:space="preserve"> energy, role, hydrogen, climate;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2025:</w:t>
      </w:r>
      <w:r>
        <w:t xml:space="preserve"> From grey to “Green”: Modelling the non-energy uses of hydrogen for the EU energy transition — https://doi.org/10.1016/j.apenergy.2025.126325</w:t>
      </w:r>
    </w:p>
    <w:p>
      <w:pPr/>
      <w:r>
        <w:rPr>
          <w:b/>
        </w:rPr>
        <w:t>Shared claim-specific concepts:</w:t>
      </w:r>
      <w:r>
        <w:t xml:space="preserve"> bottom-up, energy, system, used, hydrogen, current; EU scope visible. This is a provisional connection, not an outcome finding.</w:t>
      </w:r>
    </w:p>
    <w:p>
      <w:pPr>
        <w:pStyle w:val="SourceNote"/>
      </w:pPr>
      <w:r>
        <w:rPr>
          <w:b/>
        </w:rPr>
        <w:t>Available abstract (not full text):</w:t>
      </w:r>
      <w:r>
        <w:t xml:space="preserve"> Hydrogen (H 2 ) used as feedstock (i.e., as raw material) in chemicals, refineries, and steel is currently produced from fossil fuels , thus leading to significant carbon dioxide (CO 2 ) emissions. As these hard-to-abate sectors have limited electrification alternatives, H 2 produced by electrolysis offers a potential option for decarbonising them. Existing modelling analyses to date provide limited insights due to their predominant use of sector-specific, static, non-recursive, and non-open models. This paper advances research by presenting a dynamic, recursive, open-access energy model using System Dynamics to study long-term systemic and environmental impacts of transitioning from fossil-based methods to electrolytic H 2 production for industrial feedstock. The regional model adopts a bottom-up approach and is applied to the EU across five innovative decarbonisation scenarios, including varying technological transition speeds and a paradigm-shift scenario (Degrowth). Our results indicate that, assuming continued H 2 demand trends and large-scale electrolytic H 2 deployment by 2030, grid decarbonisation in the EU must accelerate to ensure green H 2 for industrial feedstock emits less CO 2 than fossil fuel methods, doubling the current pace. Otherwise, electrolytic H 2 won't offer clear CO 2 reduction benefits until 2040. The most effective CO 2 emission mitigation occurs in g</w:t>
      </w:r>
    </w:p>
    <w:p>
      <w:pPr/>
      <w:r>
        <w:rPr>
          <w:b/>
        </w:rPr>
        <w:t>POSSIBLE 2025:</w:t>
      </w:r>
      <w:r>
        <w:t xml:space="preserve"> Future Wood Availability in Europe in Light of Climate and Energy Policy and Geopolitical Developments—A Wood Resource Balance-Based Assessment — https://doi.org/10.3390/su17031291</w:t>
      </w:r>
    </w:p>
    <w:p>
      <w:pPr/>
      <w:r>
        <w:rPr>
          <w:b/>
        </w:rPr>
        <w:t>Shared claim-specific concepts:</w:t>
      </w:r>
      <w:r>
        <w:t xml:space="preserve"> energy, climate, current; EU scope visible. This is a provisional connection, not an outcome finding.</w:t>
      </w:r>
    </w:p>
    <w:p>
      <w:pPr>
        <w:pStyle w:val="SourceNote"/>
      </w:pPr>
      <w:r>
        <w:rPr>
          <w:b/>
        </w:rPr>
        <w:t>Available abstract (not full text):</w:t>
      </w:r>
      <w:r>
        <w:t xml:space="preserve"> The amended European Union (EU) Renewable Energy Directive—in aiming to increase the share of renewable energy in overall energy consumption—promotes an increased demand for wood, while the EU’s updated Land Use, Land-Use Change, and Forestry (LULUCF) Regulation sets ambitious, binding national targets for the increase in net greenhouse gas removals that could restrict the supply of wood. Additionally, the ongoing war in Ukraine has directly affected the availability of woody biomass in Europe through the EU’s import ban on timber and timber products from Russia and Belarus. This paper provides an in-depth comparative analysis of sources and uses of woody biomass in four European regions in light of these recent climate and energy policies and geopolitical developments. The analysis indicates significantly underestimated reported removals in three of the four European regions studied. Further, projections suggest policy incoherence between current climate and energy objectives until 2030 in all four regions, as fellings increase at a faster rate than net annual increment in all four regions, decreasing the forest carbon sink and thus making it all but impossible to reach the 2030 target of the LULUCF regulation. However, between 2030 and 2040, energy-related fellings could decrease in regions north and west, while they could continue to grow in regions east and south, albeit at</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pStyle w:val="Heading2"/>
      </w:pPr>
      <w:r>
        <w:t>884.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2026:</w:t>
      </w:r>
      <w:r>
        <w:t xml:space="preserve"> Smart Grids and Renewable Energy Communities in Pakistan and the Middle East: Present Situation, Perspectives, Future Developments, and Comparison with EU — https://doi.org/10.3390/en19020535</w:t>
      </w:r>
    </w:p>
    <w:p>
      <w:pPr/>
      <w:r>
        <w:rPr>
          <w:b/>
        </w:rPr>
        <w:t>Shared claim-specific concepts:</w:t>
      </w:r>
      <w:r>
        <w:t xml:space="preserve"> smart, energy, policies, perspectives; EU scope visible. This is a provisional connection, not an outcome finding.</w:t>
      </w:r>
    </w:p>
    <w:p>
      <w:pPr>
        <w:pStyle w:val="SourceNote"/>
      </w:pPr>
      <w:r>
        <w:rPr>
          <w:b/>
        </w:rPr>
        <w:t>Available abstract (not full text):</w:t>
      </w:r>
      <w:r>
        <w:t xml:space="preserve"> The shift towards the integration of and transition to renewable energy has led to an increase in renewable energy communities (RECs) and smart grids (SGs). The significance of these RECs is mainly energy self-sufficiency, energy independence, and energy autonomy. Despite this, in low- and middle-income countries and regions like Pakistan and the Middle East, SGs and RECs are still in their initial stage. However, they have potential for green energy solutions rooted in their unique geographic and climatic conditions. SGs offer energy monitoring, communication infrastructure, and automation features to help these communities build flexible and efficient energy systems. This work provides an overview of Pakistani and Middle Eastern energy policies, goals, and initiatives while aligning with European comparisons. This work also highlights technical, regulatory, and economic challenges in those regions. The main objectives of the research are to ensure that residential service sizes are optimized to maximize the economic and environmental benefits of green energy. Furthermore, in line with SDG 7, affordable and clean energy, the focus in this study is on the development and transformation of energy systems for sustainability and creating synergies with other SDGs. The paper presents insights on the European Directive, including the amended Renewable Energy Directive (RED II and II</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2025:</w:t>
      </w:r>
      <w:r>
        <w:t xml:space="preserve"> Smart Grid Development for Efficient Energy Use and Management — https://doi.org/10.70382/ajsede.v10i5.023</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This paper presents a comprehensive overview smart-grid deployment in Nigeria to improve energy efficiency, reliability, and management. It synthesizes recent policy initiatives, pilot projects, and sector metrics; describes essential smart-grid components and architectures; analyses Nigeria-specific technical, economic, and institutional barriers; and proposes a staged implementation roadmap (national → regional → distribution/metro → rural microgrids) that leverages distributed renewable energy, advanced metering, and market reforms. Key recommendations cover regulatory reform, targeted investments in distribution automation, data/telecom infrastructure, workforce capacity building, and financing models to accelerate adoption. Evidence from NERC and recent donor/private projects shows distributed renewables and mini/microgrid programs are already central to expanding access smart grids can multiply their benefits when integrated with grid modernization efforts.</w:t>
      </w:r>
    </w:p>
    <w:p>
      <w:pPr/>
      <w:r>
        <w:rPr>
          <w:b/>
        </w:rPr>
        <w:t>POSSIBLE 2025:</w:t>
      </w:r>
      <w:r>
        <w:t xml:space="preserve"> SMART GRID TECHNOLOGIES AND THEIR ROLE IN REDUCING ENERGY CONSUMPTION: A STUDY ON THE FUTURE OF RENEWABLE ENERGY INTEGRATION — https://openalex.org/W7220191985</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 technologies represent a fundamental transformation of traditional electrical infrastructure, enabling bidirectional energy flows, real-time monitoring, and intelligent demand response to optimize energy consumption and integrate renewable energy sources. This study provides a comprehensive analysis of smart grid implementations across 45 pilot projects in North America, Europe, and Asia from 2015-2023, examining technological efficacy, energy savings, and integration challenges. Results demonstrate that advanced metering infrastructure (AMI) reduces residential energy consumption by 5-15% through behavioral feedback, while dynamic pricing strategies achieve 10-25% peak demand reduction. Grid modernization incorporating phasor measurement units (PMUs) and distribution automation reduces system losses from 6.8% to 3.2% on average, while improving renewable integration capacity from 20% to 45% of total generation. Machine learning algorithms for load forecasting achieve 92.3% accuracy, enabling better generation planning and reducing reserve requirements by 15-30%. Energy storage integration, particularly lithium-ion batteries at grid scale, enhances renewable utilization by 22-40% through time-shifting of solar and wind generation. However, cybersecurity vulnerabilities present significant risks, with penetration testing revealing successful attacks on 18% of smart me</w:t>
      </w:r>
    </w:p>
    <w:p>
      <w:pPr/>
      <w:r>
        <w:rPr>
          <w:b/>
        </w:rPr>
        <w:t>POSSIBLE 2025:</w:t>
      </w:r>
      <w:r>
        <w:t xml:space="preserve"> EERA Joint Programme Smart Grids White Paper: The crucial role of Smart Grids for the success of the clean energy transition — https://doi.org/10.5281/zenodo.19497090</w:t>
      </w:r>
    </w:p>
    <w:p>
      <w:pPr/>
      <w:r>
        <w:rPr>
          <w:b/>
        </w:rPr>
        <w:t>Shared claim-specific concepts:</w:t>
      </w:r>
      <w:r>
        <w:t xml:space="preserve"> smart, grid, energy, policies, electricity; EU scope visible. This is a provisional connection, not an outcome finding.</w:t>
      </w:r>
    </w:p>
    <w:p>
      <w:pPr>
        <w:pStyle w:val="SourceNote"/>
      </w:pPr>
      <w:r>
        <w:rPr>
          <w:b/>
        </w:rPr>
        <w:t>Available abstract (not full text):</w:t>
      </w:r>
      <w:r>
        <w:t xml:space="preserve"> Reliable, interconnected electricity grids are essential for Europe’s energy transition, enabling renewable integration and electrification. The white paper highlights the need for major investment to modernise and digitalise infrastructure using technologies like AI. It identifies key challenges, including renewable integration, electrification, cybersecurity, and skills gaps. It calls for a shift to flexible, decentralised, consumer-driven systems, supported by innovative technologies and policies to build a resilient, integrated European power grid aligned with climate goals.</w:t>
      </w:r>
    </w:p>
    <w:p>
      <w:pPr/>
      <w:r>
        <w:rPr>
          <w:b/>
        </w:rPr>
        <w:t>POSSIBLE 2024:</w:t>
      </w:r>
      <w:r>
        <w:t xml:space="preserve"> Smart grids: A comprehensive survey of challenges, industry applications, and future trends — https://doi.org/10.1016/j.egyr.2024.05.051</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With the increasing energy demands of the 21st century, there is a clear need for developing a more sustainable method of energy generation, distribution, and transmission. Modern power grid infrastructures are currently managing these aspects, though their outdated configuration results in rigid and inefficient operation. The emerging technology of Smart Grids offers innovative solutions to these issues, utilizing advanced communication and computation structures. Through the integration of a bidirectional power and information flow, smart systems, and renewable energy sources, Smart Grids are the next generation of power grids, enabling cooperativity, automation, and efficiency. Even on small scales, the proposed benefits of the Smart Grid are substantial in maintaining sustainable energy use with growing demands. In this survey, we provide a comprehensive overview of Smart Grid technology, specifically focusing on the challenges presented by cybersecurity, interoperability, and renewable energy integration. These aspects were determined to be the most prevalent issues facing the advancement of Smart Grids, specifically for global application. We discuss these challenges thoroughly, determining the difficulties they induce and proposed solutions presented in literature. As such, this survey is intended to be a reference for other researchers, providing state-of-the-art approa</w:t>
      </w:r>
    </w:p>
    <w:p>
      <w:pPr/>
      <w:r>
        <w:rPr>
          <w:b/>
        </w:rPr>
        <w:t>POSSIBLE 2024:</w:t>
      </w:r>
      <w:r>
        <w:t xml:space="preserve"> Vulnerability of Machine Learning Approaches Applied in IoT-Based Smart Grid: A Review — https://doi.org/10.1109/jiot.2024.3349381</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Machine learning (ML) sees an increasing prevalence of being used in the internet-of-things (IoT)-based smart grid. However, the trustworthiness of ML is a severe issue that must be addressed to accommodate the trend of ML-based smart grid applications (MLsgAPPs). The adversarial distortion injected into the power signal will greatly affect the system’s normal control and operation. Therefore, it is imperative to conduct vulnerability assessment for MLsgAPPs applied in the safety-critical power systems. In this paper, we provide a comprehensive review of the recent progress in designing attack and defense methods for MLsgAPPs. Unlike the traditional survey about ML security, this is the first review work about the security of MLsgAPPs that focuses on the characteristics of power systems. We first highlight the specifics for constructing adversarial attacks on MLsgAPPs. Then, the vulnerability of MLsgAPP is analyzed from the perspective of the power system and ML model, respectively. Afterward, a comprehensive survey is conducted to review and compare existing studies about the adversarial attacks on MLsgAPPs in scenarios of generation, transmission, distribution, and consumption, and the countermeasures are reviewed according to the attacks that they defend against. Finally, the future research directions are discussed on the attacker’s and defender’s side, respectively. We als</w:t>
      </w:r>
    </w:p>
    <w:p>
      <w:pPr>
        <w:pStyle w:val="Heading2"/>
      </w:pPr>
      <w:r>
        <w:t>885.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2021:</w:t>
      </w:r>
      <w:r>
        <w:t xml:space="preserve"> Transboundary Marine Spatial Planning in European Sea Basins: Experimenting with Collaborative Planning and Governance — https://doi.org/10.1080/02697459.2021.2015855</w:t>
      </w:r>
    </w:p>
    <w:p>
      <w:pPr/>
      <w:r>
        <w:rPr>
          <w:b/>
        </w:rPr>
        <w:t>Shared claim-specific concepts:</w:t>
      </w:r>
      <w:r>
        <w:t xml:space="preserve"> planning, approach, developed, framework; EU scope visible. This is a provisional connection, not an outcome finding.</w:t>
      </w:r>
    </w:p>
    <w:p>
      <w:pPr>
        <w:pStyle w:val="SourceNote"/>
      </w:pPr>
      <w:r>
        <w:rPr>
          <w:b/>
        </w:rPr>
        <w:t>Available abstract (not full text):</w:t>
      </w:r>
      <w:r>
        <w:t xml:space="preserve"> This article employs a multi-disciplinary planning and political science perspective to examine transboundary marine spatial planning (TMSP) in European sea basins through a collaborative governance and planning framework. The article argues that TMSP is a breeding ground for collaborative planning and governance in the Baltic Sea, North Sea and Adriatic Sea Regions. Collaborative governance and planning models can be developed into an effective framework for MSP policymakers, practitioners and researchers to structure and evaluate TMSP practices. The approach can potentially contribute towards overcoming TMSP challenges and to increasing cohesion and alignment of national marine spatial plans within European sea basins.</w:t>
      </w:r>
    </w:p>
    <w:p>
      <w:pPr>
        <w:pStyle w:val="Heading2"/>
      </w:pPr>
      <w:r>
        <w:t>886.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2025:</w:t>
      </w:r>
      <w:r>
        <w:t xml:space="preserve"> EXAD: Framework for Designing Explanations in Adaptive User Interfaces — https://doi.org/10.1109/ichora65333.2025.11017085</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Adaptive user interfaces that personalize their behavior based on user patterns are becoming increasingly common, yet they often fail to communicate their adaptations to users effectively. This paper introduces EXAD, a framework for designing explanations in adaptive interfaces that considers adaptation type, explanation timing, and user characteristics. Through a mixed-methods study with 42 participants, we investigated how explanation approaches affect trust, understanding, and efficiency across content, layout, and interaction adaptations. Our findings demonstrate that explanation effectiveness varies significantly by adaptation type: Proactive explanations build the highest trust for layout adaptations, while progressive explanations offer the best balance between transparency and efficiency. We extend the EXAD framework to B5G (Beyond Fifth Generation) network systems, enabling context-aware explanations that enhance trust and transparency. Our results show that carefully designed explanation strategies improve user understanding and operational efficiency, and can be translatable in dynamic network environments such as resource allocation based on user patterns in B5G networks. This research bridges theoretical work in explainable AI with practical implementation challenges in adaptive interfaces.</w:t>
      </w:r>
    </w:p>
    <w:p>
      <w:pPr/>
      <w:r>
        <w:rPr>
          <w:b/>
        </w:rPr>
        <w:t>POSSIBLE 2025:</w:t>
      </w:r>
      <w:r>
        <w:t xml:space="preserve"> Collective Counterfactual Explanations: Balancing Individual Goals and Collective Dynamics — https://doi.org/10.52202/085713-1685</w:t>
      </w:r>
    </w:p>
    <w:p>
      <w:pPr/>
      <w:r>
        <w:rPr>
          <w:b/>
        </w:rPr>
        <w:t>Shared claim-specific concepts:</w:t>
      </w:r>
      <w:r>
        <w:t xml:space="preserve"> implement, theoretical, explanation; EU scope not established. This is a provisional connection, not an outcome finding.</w:t>
      </w:r>
    </w:p>
    <w:p>
      <w:pPr>
        <w:pStyle w:val="SourceNote"/>
      </w:pPr>
      <w:r>
        <w:rPr>
          <w:b/>
        </w:rPr>
        <w:t>Available abstract (not full text):</w:t>
      </w:r>
      <w:r>
        <w:t xml:space="preserve"> Counterfactual explanations provide individuals with cost-optimal recommendations to achieve their desired outcomes. However, when a significant number of individuals seek similar state modifications, this individual-centric approach can inadvertently create competition and introduce unforeseen costs. Additionally, disregarding the underlying data distribution may lead to recommendations that individuals perceive as unusual or impractical. To address these challenges, we propose a novel framework that extends standard counterfactual explanations by incorporating a population dynamics model. This framework penalizes deviations from equilibrium after individuals follow the recommendations, effectively mitigating externalities caused by correlated changes across the population. By balancing individual modification costs with their impact on others, our method ensures more equitable and efficient outcomes. We show how this approach reframes the counterfactual explanation problem from an individual-centric task to a collective optimization problem. Augmenting our theoretical insights, we design and implement scalable algorithms for computing collective counterfactuals, showcasing their effectiveness and advantages over existing recourse methods, particularly in aligning with collective objectives.</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2024:</w:t>
      </w:r>
      <w:r>
        <w:t xml:space="preserve"> ROBOTICS AS ONE OF THE TOOLS OF IMPLEMENTATION OF STEM-EDUCATION — https://doi.org/10.32626/2307-4507.2024-30.67-71</w:t>
      </w:r>
    </w:p>
    <w:p>
      <w:pPr/>
      <w:r>
        <w:rPr>
          <w:b/>
        </w:rPr>
        <w:t>Shared claim-specific concepts:</w:t>
      </w:r>
      <w:r>
        <w:t xml:space="preserve"> shows, tool, theoretical; EU scope not established. This is a provisional connection, not an outcome finding.</w:t>
      </w:r>
    </w:p>
    <w:p>
      <w:pPr>
        <w:pStyle w:val="SourceNote"/>
      </w:pPr>
      <w:r>
        <w:rPr>
          <w:b/>
        </w:rPr>
        <w:t>Available abstract (not full text):</w:t>
      </w:r>
      <w:r>
        <w:t xml:space="preserve"> The article is dedicated to the implementation of educational robotics as a component of STEMeducation in the New Ukrainian School learning process. Robotics is a versatile educational tool suitable for all ages, from elementary school students to university students and researchers. Studying robotics creates conditions for the students' personal socialization and provides opportunities for their continuous technical education.The use of educational robotics allows to detect students' technical talents on the early stage, develop them, and form their STEM-competencies overall. The analysis shows how, by studying this course, students learn to process and interpret information, analyze data, think critically, develop creativity, engineering thinking, and communication skills. The article offers an analysis of theoretical information on the current state of educational robotics development and implementation in the educational process. It determines that the form of educational activity used during the course has many advantages, such as high effectiveness in knowledge acquisition and skill formation, increased productivity, formation of cooperation skills, and others. It is established that students who study robotics become self-confident, demonstrate their creativity and creative thinking, develop research skills, as well as responsibility, patience, organization, diligence, a</w:t>
      </w:r>
    </w:p>
    <w:p>
      <w:pPr/>
      <w:r>
        <w:rPr>
          <w:b/>
        </w:rPr>
        <w:t>POSSIBLE 2024:</w:t>
      </w:r>
      <w:r>
        <w:t xml:space="preserve"> ANALYSING THE IMPORTANCE OF IMPLEMENTING DIGITAL TOOLS BY CONSTRUCTION COMPANIES — https://doi.org/10.36750/2524-2555.77.67-73</w:t>
      </w:r>
    </w:p>
    <w:p>
      <w:pPr/>
      <w:r>
        <w:rPr>
          <w:b/>
        </w:rPr>
        <w:t>Shared claim-specific concepts:</w:t>
      </w:r>
      <w:r>
        <w:t xml:space="preserve"> shows, performance, project; EU scope not established. This is a provisional connection, not an outcome finding.</w:t>
      </w:r>
    </w:p>
    <w:p>
      <w:pPr>
        <w:pStyle w:val="SourceNote"/>
      </w:pPr>
      <w:r>
        <w:rPr>
          <w:b/>
        </w:rPr>
        <w:t>Available abstract (not full text):</w:t>
      </w:r>
      <w:r>
        <w:t xml:space="preserve"> Abstract. This article provides a thorough analysis of the importance of the implementation of digital tools by enterprises in the construction industry. The focus is on studying how digitization affects various aspects of construction companies' operations, including project management efficiency, cost optimization, productivity improvement and risk reduction. Digital tools, such as project management systems, building information modeling software (BIM), tools for planning and monitoring work, significantly change approaches to the organization and management of construction processes. The implementation of these technologies allows for greater accuracy in calculations, more efficient use of resources, reduced costs of materials and labor, and improved coordination between various project participants. The article also examines the challenges faced by enterprises in the transition to digital technologies. These can be both technical problems and issues related to personnel training, changes in the internal processes of companies, as well as financial investments. However, despite these difficulties, the analysis shows that the long-term benefits of digitization far outweigh the initial costs and efforts. Digitization contributes not only to increased efficiency and productivity, but also provides the ability to adapt to rapid changes in the industry, which is especially impor</w:t>
      </w:r>
    </w:p>
    <w:p>
      <w:pPr/>
      <w:r>
        <w:rPr>
          <w:b/>
        </w:rPr>
        <w:t>POSSIBLE 2024:</w:t>
      </w:r>
      <w:r>
        <w:t xml:space="preserve"> Determinants of firms' initiative and inertia in pursuing climate neutrality strategies—Theoretical explanations and empirical evidence — https://doi.org/10.1002/bse.3698</w:t>
      </w:r>
    </w:p>
    <w:p>
      <w:pPr/>
      <w:r>
        <w:rPr>
          <w:b/>
        </w:rPr>
        <w:t>Shared claim-specific concepts:</w:t>
      </w:r>
      <w:r>
        <w:t xml:space="preserve"> implement, theoretical, explanation; EU scope visible. This is a provisional connection, not an outcome finding.</w:t>
      </w:r>
    </w:p>
    <w:p>
      <w:pPr>
        <w:pStyle w:val="SourceNote"/>
      </w:pPr>
      <w:r>
        <w:rPr>
          <w:b/>
        </w:rPr>
        <w:t>Available abstract (not full text):</w:t>
      </w:r>
      <w:r>
        <w:t xml:space="preserve"> Abstract In view of global warming and growing demands that economies, industries, and firms should be climate‐neutral by mid‐century, various sources complain that firms are still hesitant to implement a corresponding climate neutrality strategy (CNS). To date, however, there is little empirical evidence or explanation for such an alleged inertia. This study fills this void by analyzing key determinants that may explain whether a CNS is pursued at the firm level. We develop and test hypotheses grounded in theory using firm‐level data from the 2021 European Flash Eurobarometer as well as country‐level datasets to examine the impact of formal and informal institutions. Our results reveal that the majority of firms across many countries and industries have no explicit CNS. As predicted by institutional logics, the extent of a firm's home country's exposure to climate change, climate problem awareness, and regulatory enforcement has a significant positive impact on the likelihood of CNS being formulated and pursued by firms. Extending traditional structural inertia theory, internal factors cause large and old firms to be more likely to report having explicit CNS. We further find that these structural characteristics partially moderate the link between institutions and CNS. After a thorough discussion of the results, potential limitations, research opportunities, and implications f</w:t>
      </w:r>
    </w:p>
    <w:p>
      <w:pPr/>
      <w:r>
        <w:rPr>
          <w:b/>
        </w:rPr>
        <w:t>POSSIBLE 2024:</w:t>
      </w:r>
      <w:r>
        <w:t xml:space="preserve"> Theoretical Mechanism and Implementation Path of Digital Technology Enabling Cultural Heritage Protection — https://doi.org/10.1515/cfer-2024-0006</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Cultural heritage is an important carrier of Chinese excellent traditional culture, based on the background of digital and real integration, introducing symbiosis theory into the theoretical analysis framework of the integration and development of cultural heritage and digital technology has important academic value and practical significance. Based on the in-depth explanation of the connotation of the integration of cultural heritage and digital technology, we specifically analyze the symbiotic unit, symbiotic environment, and symbiotic mode in the dynamic symbiosis system, and discuss the application of digital technology in the protection, dissemination, and experience of cultural heritage. The integration development of Chinese cultural heritage and digital technology has made remarkable achievements, but there are still constraints such as insufficient integration depth, high user demand but weak practical application, and backward protection and utilization cognition. Therefore, it is necessary to accelerate the application and management of technology research and development, pay attention to user needs, and improve the level of social cognition, to realize the value of cultural heritage shared by the society.</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pStyle w:val="Heading2"/>
      </w:pPr>
      <w:r>
        <w:t>887.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2025:</w:t>
      </w:r>
      <w:r>
        <w:t xml:space="preserve"> Migration and citizenship pathways in/beyond Asia — https://doi.org/10.1080/01419870.2024.2441910</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Citizenship regimes are highly variegated in both migrant-sending and migrant-receiving countries. This special issue examines the diversified citizenship pathways that migrants undertake to manage uncertainties and global disparities or opportunities in various national contexts and at different life stages. We define citizenship pathways as the routes and processes that shape how migrants pursue personal and family goals to achieve citizenship recognition and redistribution. As migrants respond to changes in citizenship regimes or personal circumstances, their citizenship pathways evolve across national and transnational spaces, as well as over time. The special issue introduction sets out our conceptualization of citizenship pathways and provides an overview of how the papers in this collection engage with it. We foreground four themes: the geopolitical contexts of citizenship pathways; the strategies which migrants use to advance citizenship pathways; the temporal dimensions of citizenship pathways; and the new digital routes in citizenship pathways.</w:t>
      </w:r>
    </w:p>
    <w:p>
      <w:pPr/>
      <w:r>
        <w:rPr>
          <w:b/>
        </w:rPr>
        <w:t>POSSIBLE 2025:</w:t>
      </w:r>
      <w:r>
        <w:t xml:space="preserve"> Integrating sustainability in dentistry: a pathway towards achieving the UN 2030 agenda — https://doi.org/10.3389/froh.2025.1549020</w:t>
      </w:r>
    </w:p>
    <w:p>
      <w:pPr/>
      <w:r>
        <w:rPr>
          <w:b/>
        </w:rPr>
        <w:t>Shared claim-specific concepts:</w:t>
      </w:r>
      <w:r>
        <w:t xml:space="preserve"> energy, climate, significant; EU scope not established. This is a provisional connection, not an outcome finding.</w:t>
      </w:r>
    </w:p>
    <w:p>
      <w:pPr>
        <w:pStyle w:val="SourceNote"/>
      </w:pPr>
      <w:r>
        <w:rPr>
          <w:b/>
        </w:rPr>
        <w:t>Available abstract (not full text):</w:t>
      </w:r>
      <w:r>
        <w:t xml:space="preserve"> The growing impact of the climate crisis has raised significant concerns due to its profound effects on public health and ecological stability. This article explores how the implementation of sustainable practices in dentistry can contribute to a more efficient, safe and environmentally responsible approach, in line with the Sustainable Development Goals outlined in the United Nations' 2030 Agenda. A key focus is on waste reduction, which is achieved through the promotion of oral health and disease prevention, thereby minimising the waste and carbon emissions associated with dental care. In addition, the responsible use of resources such as water and energy and the use of environmentally sustainable dental materials play a critical role in reducing the environmental footprint of dentistry. Key measures such as the recycling of single-use plastics are essential to curb pollution and reduce the uptake of microplastics by marine ecosystems and humans. Education and awareness of sustainability is also essential. This can be promoted by integrating sustainable principles into the curriculum of dental courses and within scientific committees. Promoting these practices among emerging health professionals and researchers will drive the development of innovative alternatives that further reduce the environmental impact of the field.</w:t>
      </w:r>
    </w:p>
    <w:p>
      <w:pPr/>
      <w:r>
        <w:rPr>
          <w:b/>
        </w:rPr>
        <w:t>POSSIBLE 2025:</w:t>
      </w:r>
      <w:r>
        <w:t xml:space="preserve"> Impact of a standardized emergency department asthma care pathway on health services utilization — https://doi.org/10.1186/s13223-025-00973-4</w:t>
      </w:r>
    </w:p>
    <w:p>
      <w:pPr/>
      <w:r>
        <w:rPr>
          <w:b/>
        </w:rPr>
        <w:t>Shared claim-specific concepts:</w:t>
      </w:r>
      <w:r>
        <w:t xml:space="preserve"> developed, department, all; EU scope not established. This is a provisional connection, not an outcome finding.</w:t>
      </w:r>
    </w:p>
    <w:p>
      <w:pPr>
        <w:pStyle w:val="SourceNote"/>
      </w:pPr>
      <w:r>
        <w:rPr>
          <w:b/>
        </w:rPr>
        <w:t>Available abstract (not full text):</w:t>
      </w:r>
      <w:r>
        <w:t xml:space="preserve"> BACKGROUND: An evidence-based standardized ED asthma care pathway (EDACP) was developed and implemented in Ontario, Canada. OBJECTIVE: To determine the impact of EDACP implementation and access to ED asthma management resources and specialists on return ED visits. METHODS: All 173 Ontario hospitals were surveyed regarding their access to community and ED asthma specialists and ED asthma management resources, including EDACP implementation date and status as of August 2017. Survey data were linked to provincial health administrative data to quantify acute health services utilization. A Poisson regression interrupted time series analysis was conducted. RESULTS: Of the 123 hospitals responding to the survey, 44 (35.8%) had approved the EDACP. Data were analyzed for the 5 years preceding (30,028 asthma visits) and 17 months following (7,916 asthma visits) implementation, with a 3-month implementation black-out period. After controlling for auto-regressive factors, EDACP implementation was associated with a 2% reduction in the absolute rate of return ED visits within 72 h (p = 0.0124), and within 7 days (p = 0.0295) at teaching hospitals. The same effect was not seen at community hospitals. Peak expiratory flow testing (available at 77% of sites) and spirometry (available at 45% of sites) were associated with 34% (p = 0.0071) and 23% (p = 0.028) reductions in the odds of return ED v</w:t>
      </w:r>
    </w:p>
    <w:p>
      <w:pPr>
        <w:pStyle w:val="Heading2"/>
      </w:pPr>
      <w:r>
        <w:t>888.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2025:</w:t>
      </w:r>
      <w:r>
        <w:t xml:space="preserve"> Dynamical landscape and multistability of a climate model — https://openalex.org/W3166250015</w:t>
      </w:r>
    </w:p>
    <w:p>
      <w:pPr/>
      <w:r>
        <w:rPr>
          <w:b/>
        </w:rPr>
        <w:t>Shared claim-specific concepts:</w:t>
      </w:r>
      <w:r>
        <w:t xml:space="preserve"> two, energy, climate, both; EU scope not established. This is a provisional connection, not an outcome finding.</w:t>
      </w:r>
    </w:p>
    <w:p>
      <w:pPr>
        <w:pStyle w:val="SourceNote"/>
      </w:pPr>
      <w:r>
        <w:rPr>
          <w:b/>
        </w:rPr>
        <w:t>Available abstract (not full text):</w:t>
      </w:r>
      <w:r>
        <w:t xml:space="preserve"> We apply two independent data analysis methodologies to locate stable climate states in an intermediate complexity climate model and analyse their interplay. First, drawing from the theory of quasi-potentials, and viewing the state space as an energy landscape with valleys and mountain ridges, we infer the relative likelihood of the identified multistable climate states and investigate the most likely transition trajectories as well as the expected transition times between them. Second, harnessing techniques from data science, and specifically manifold learning, we characterize the data landscape of the simulation output to find climate states and basin boundaries within a fully agnostic and unsupervised framework. Both approaches show remarkable agreement, and reveal, apart from the well known warm and snowball earth states, a third intermediate stable state in one of the two versions of PLASIM, the climate model used in this study. The combination of our approaches allows to identify how the negative feedback of ocean heat transport and entropy production via the hydrological cycle drastically change the topography of the dynamical landscape of Earth's climate.</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2024:</w:t>
      </w:r>
      <w:r>
        <w:t xml:space="preserve"> Numerical Modelling of Conductor Casing Settlement Using a Two-phase Model — https://doi.org/10.55592/cilamce.v6i06.10384</w:t>
      </w:r>
    </w:p>
    <w:p>
      <w:pPr/>
      <w:r>
        <w:rPr>
          <w:b/>
        </w:rPr>
        <w:t>Shared claim-specific concepts:</w:t>
      </w:r>
      <w:r>
        <w:t xml:space="preserve"> two, modelled, achieve; EU scope not established. This is a provisional connection, not an outcome finding.</w:t>
      </w:r>
    </w:p>
    <w:p>
      <w:pPr>
        <w:pStyle w:val="SourceNote"/>
      </w:pPr>
      <w:r>
        <w:rPr>
          <w:b/>
        </w:rPr>
        <w:t>Available abstract (not full text):</w:t>
      </w:r>
      <w:r>
        <w:t xml:space="preserve"> Oil exploration in subsea wells is a complex activity that involves a number of technical challenges, including installation conductor casing installation. The conductor casing plays a crucial role in the structural stability and overall performance of the well. Thus, for the conductor sttelemnt, one can highlight, among other techniques, the jetting method. Jetting is a promising technique for clay soils since seabed sediments behave like fine mud. In order to numerically model the operation, the clayay soil can be represented by a highly viscous non-Newtonian fluid. The aim of this study was therefore to carry out a numerical analysis of the conductor settlement by jetting. In order to achieve the proposed objectives, an eulerian - eulerian two phase model has been adopted. The soil phase has been modelled as a non-Newtonian fluid and computational fluid dynamics (CFD) has emerged as a powerful numerical tool for modeling and simulating problems of this nature in a attempt to bypass the issues that comes with large deformations problems other numerical methods. Ansys Fluent software was used, a CFD program based on the Finite Volume Method (FVM), which stands out for its robustness and precision when carrying out fluid dynamic simulations. The numerical analysis was carried out using the Gidaspow drag model to characterize the soil, which combines the Ergun and Wen-Yu empiric</w:t>
      </w:r>
    </w:p>
    <w:p>
      <w:pPr>
        <w:pStyle w:val="Heading2"/>
      </w:pPr>
      <w:r>
        <w:t>889.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2026:</w:t>
      </w:r>
      <w:r>
        <w:t xml:space="preserve"> MODELING SUSTAINABLE AGRICULTURAL DEVELOPMENT IN THE UNITED STATES AND WESTERN EUROPE — https://doi.org/10.36871/ek.up.p.r.2026.09.01.009</w:t>
      </w:r>
    </w:p>
    <w:p>
      <w:pPr/>
      <w:r>
        <w:rPr>
          <w:b/>
        </w:rPr>
        <w:t>Shared claim-specific concepts:</w:t>
      </w:r>
      <w:r>
        <w:t xml:space="preserve"> united, states, environmental, agricultural; EU scope visible. This is a provisional connection, not an outcome finding.</w:t>
      </w:r>
    </w:p>
    <w:p>
      <w:pPr>
        <w:pStyle w:val="SourceNote"/>
      </w:pPr>
      <w:r>
        <w:rPr>
          <w:b/>
        </w:rPr>
        <w:t>Available abstract (not full text):</w:t>
      </w:r>
      <w:r>
        <w:t xml:space="preserve"> This article presents a comprehensive review and comparative analysis of mathematical models used to analyze sustainable agricultural development in the United States and developed Western European countries. The author systematizes the conceptual differences in understanding sustainable development in the agricultural sector: while the United States emphasizes economic efficiency and environmental safety, the EU’s approach is more socially oriented and significantly stricter in environmental regulation, as reflected in the Green Deal strategies. The main content of the paper is devoted to a detailed description of key dynamic models. In the United States, field-level biophysical models (SWAT, EPIC, DAYCENT) and national-scale partial equilibrium models (FASOM, APEX) predominate. European modeling is represented by complex integrated systems such as CAPRI (an EU agricultural policy model), RAUMIS (a regional agricultural policy model in Germany), AROPAj (a model for analyzing agrifood systems in France and the EU), FAPRI-UK (for assessing the effectiveness of measures to reduce nitrogen and greenhouse gas emissions in UK agriculture), and MITERRA (for assessing the effectiveness of measures to reduce nitrogen and greenhouse gas emissions in Dutch agriculture). For each model, its mathematical structure, objective function, and practical application examples are described—from a</w:t>
      </w:r>
    </w:p>
    <w:p>
      <w:pPr>
        <w:pStyle w:val="Heading2"/>
      </w:pPr>
      <w:r>
        <w:t>890.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2026:</w:t>
      </w:r>
      <w:r>
        <w:t xml:space="preserve"> Electricity Generation: Are Uganda’s Electricity Generating Firms Efficient? — https://doi.org/10.56279/orseaj.special.5</w:t>
      </w:r>
    </w:p>
    <w:p>
      <w:pPr/>
      <w:r>
        <w:rPr>
          <w:b/>
        </w:rPr>
        <w:t>Shared claim-specific concepts:</w:t>
      </w:r>
      <w:r>
        <w:t xml:space="preserve"> electricity, generation; EU scope not established. This is a provisional connection, not an outcome finding.</w:t>
      </w:r>
    </w:p>
    <w:p>
      <w:pPr>
        <w:pStyle w:val="SourceNote"/>
      </w:pPr>
      <w:r>
        <w:rPr>
          <w:b/>
        </w:rPr>
        <w:t>Available abstract (not full text):</w:t>
      </w:r>
      <w:r>
        <w:t xml:space="preserve"> High tariffs and low access to electricity in Uganda remains a challenge despite surplus generation capacity. The excess generation is suggests inefficiencies in power generation. Most research has focused on demand side efficiency and limited attention is accorded to supply side technical efficiency, especially using Data Envelopment Analysis (DEA) and Tobit models. Therefore, the study extends DEA and Tobit model to evaluated technical efficiency and examine its drives of efficiency of generation companies in Uganda. Secondary data from Electricity Regulatory Authority (ERA) of Uganda from 2016 to 2023, for 36 generating firms, were analyses using an input-oriented Data Envelopment Analysis (DEA) and Tobit regression to examine the drivers of efficiency.Findings indicate that 22% of the firms are technically efficient while 67% are operating below 50% technical efficiency. This was attributed to aged technologies, high administrative or operation costs, and regulatory challenges.Plant size, workforce size, operations and maintenance costs, and energy source were found to be the major drivers of efficiency at generation level. The study extends the application of DEA approaches and Tobit model to firm-level generation side context. This shows that electricity is not efficiently generated in Uganda. Therefore, the responsible line ministry should put in place better rulesand re</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2025:</w:t>
      </w:r>
      <w:r>
        <w:t xml:space="preserve"> Globally interconnected solar-wind system addresses future electricity demands — https://doi.org/10.1038/s41467-025-59879-9</w:t>
      </w:r>
    </w:p>
    <w:p>
      <w:pPr/>
      <w:r>
        <w:rPr>
          <w:b/>
        </w:rPr>
        <w:t>Shared claim-specific concepts:</w:t>
      </w:r>
      <w:r>
        <w:t xml:space="preserve"> electricity, renewable, generation, meet; EU scope not established. This is a provisional connection, not an outcome finding.</w:t>
      </w:r>
    </w:p>
    <w:p>
      <w:pPr>
        <w:pStyle w:val="SourceNote"/>
      </w:pPr>
      <w:r>
        <w:rPr>
          <w:b/>
        </w:rPr>
        <w:t>Available abstract (not full text):</w:t>
      </w:r>
      <w:r>
        <w:t xml:space="preserve"> Accelerating energy transition towards renewables is central to net-zero emissions. However, building a global power system dominated by solar and wind energy presents immense challenges. Here, we demonstrate the potential of a globally interconnected solar-wind system to meet future electricity demands. We estimate that such a system could generate ~3.1 times the projected 2050 global electricity demand. By optimizing solar-wind deployment, storage capacity, and trans-regional transmission, the solar-wind penetration could be achieved using only 29.4% of the highest potential, with a 15.6% reduction in initial investment compared to a strategy without interconnection. Global interconnection improves energy efficiency, mitigates the variability of renewable energy, promotes energy availability, and eases the economic burden of decarbonization. Importantly, this interconnected system shows remarkable resilience to climate extremes, generation outages, transmission disruptions, and geopolitical conflicts. Our findings underscore the potential of global interconnection in enabling high renewable penetration and guiding sustainable energy transitions.</w:t>
      </w:r>
    </w:p>
    <w:p>
      <w:pPr/>
      <w:r>
        <w:rPr>
          <w:b/>
        </w:rPr>
        <w:t>POSSIBLE 2025:</w:t>
      </w:r>
      <w:r>
        <w:t xml:space="preserve"> Shifting Electricity Demand Under Temperature Extremes in Bangladesh — https://doi.org/10.3390/earth6040127</w:t>
      </w:r>
    </w:p>
    <w:p>
      <w:pPr/>
      <w:r>
        <w:rPr>
          <w:b/>
        </w:rPr>
        <w:t>Shared claim-specific concepts:</w:t>
      </w:r>
      <w:r>
        <w:t xml:space="preserve"> electricity, significant; EU scope not established. This is a provisional connection, not an outcome finding.</w:t>
      </w:r>
    </w:p>
    <w:p>
      <w:pPr>
        <w:pStyle w:val="SourceNote"/>
      </w:pPr>
      <w:r>
        <w:rPr>
          <w:b/>
        </w:rPr>
        <w:t>Available abstract (not full text):</w:t>
      </w:r>
      <w:r>
        <w:t xml:space="preserve"> Bangladesh is among the world’s most climate-vulnerable countries, facing recurrent hazards that disrupt lives and livelihoods. Among these, heatwaves and cold snaps strongly affect electricity consumption, representing a key socio-economic impact of climate extremes. In this study, we used meteorological and electricity data from six sub-regions of Bangladesh to examine long-term changes in extreme temperature days and their effects on electricity usage. Results showed that western inland stations (Chuadanga, Jashore) experienced hotter summers and colder winters, whereas coastal sites (Barishal, Patuakhali) were moderated by maritime influences. Trend analysis revealed significant increases in hot-day frequency since 1961 (up to 1.8 days yr−1 at coastal areas, while cold-day frequencies generally declined but with regional variability. Electricity demand followed a clear pattern, being highest on hot days, lowest on cold days, and intermediate on normal days. Among the regions, Khulna consistently recorded the greatest demand (up to 161 MWh), while Patuakhali remained the lowest (~19–32 MWh). Regression analysis further showed that demand rises with maximum temperature, with slopes up to 5.7 MWh °C−1 and moderate correlations (r = 0.27–0.47). Importantly, the temperature–demand relationship has strengthened in recent years, as similar climatic conditions now correspond to hig</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2024:</w:t>
      </w:r>
      <w:r>
        <w:t xml:space="preserve"> Is larger really better? Productivity and firm size in European electricity generation sectors — https://doi.org/10.1016/j.jclepro.2024.141382</w:t>
      </w:r>
    </w:p>
    <w:p>
      <w:pPr/>
      <w:r>
        <w:rPr>
          <w:b/>
        </w:rPr>
        <w:t>Shared claim-specific concepts:</w:t>
      </w:r>
      <w:r>
        <w:t xml:space="preserve"> electricity, renewable, generation, substantial, sectors; EU scope visible. This is a provisional connection, not an outcome finding.</w:t>
      </w:r>
    </w:p>
    <w:p>
      <w:pPr>
        <w:pStyle w:val="SourceNote"/>
      </w:pPr>
      <w:r>
        <w:rPr>
          <w:b/>
        </w:rPr>
        <w:t>Available abstract (not full text):</w:t>
      </w:r>
      <w:r>
        <w:t xml:space="preserve"> Although a conventional wisdom claims that larger firms perform better than smaller ones, the conclusions drawn by the literature are ambiguous. This study examines the effect of firm size on productivity, using a dataset on European electricity generators from 2012 to 2020. European electricity generation sectors are particularly interesting given the substantial liberalisations in the past decades and strong subsidisation of electricity generated from renewables. Next to estimating productivity of electricity generators and establishing a link between firm size and performance in this industry, the analysis allows for heterogeneity of impacts of firm size on productivity across various dimensions (e.g., regulation scheme, state ownership), as firm size may attenuate or fuel associated problems and benefits. Besides, it adds to the literature by investigating whether and how renewable subsidies impact reallocation from the technically less efficient to the more productive firms, since they often favour smaller generators in European countries that might be less productive. The overall results highlight that firm size significantly boosts firm performance. Effects, however, diminish with size. Last, renewable subsidies deteriorate allocative efficiency. Hence, renewable subsidies favouring smaller generators are at the cost of allocative efficiency.</w:t>
      </w:r>
    </w:p>
    <w:p>
      <w:pPr>
        <w:pStyle w:val="Heading2"/>
      </w:pPr>
      <w:r>
        <w:t>891.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best;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Exploration of transfer learning techniques for the prediction of PM10 — https://doi.org/10.1038/s41598-025-86550-6</w:t>
      </w:r>
    </w:p>
    <w:p>
      <w:pPr/>
      <w:r>
        <w:rPr>
          <w:b/>
        </w:rPr>
        <w:t>Shared claim-specific concepts:</w:t>
      </w:r>
      <w:r>
        <w:t xml:space="preserve"> pm10, concentrations, different; EU scope visible. This is a provisional connection, not an outcome finding.</w:t>
      </w:r>
    </w:p>
    <w:p>
      <w:pPr>
        <w:pStyle w:val="SourceNote"/>
      </w:pPr>
      <w:r>
        <w:rPr>
          <w:b/>
        </w:rPr>
        <w:t>Available abstract (not full text):</w:t>
      </w:r>
      <w:r>
        <w:t xml:space="preserve"> Abstract Modelling of pollutants provides valuable insights into air quality dynamics, aiding exposure assessment where direct measurements are not viable. Machine learning (ML) models can be employed to explore such dynamics, including the prediction of air pollution concentrations, yet demanding extensive training data. To address this, techniques like transfer learning (TL) leverage knowledge from a model trained on a rich dataset to enhance one trained on a sparse dataset, provided there are similarities in data distribution. In our experimental setup, we utilize meteorological and pollutant data from multiple governmental air quality measurement stations in Graz, Austria, supplemented by data from one station in Zagreb, Croatia to simulate data scarcity. Common ML models such as Random Forests, Multilayer Perceptrons, Long-Short-Term Memory, and Convolutional Neural Networks are explored to predict particulate matter in both cities. Our detailed analysis of PM 10 suggests that similarities between the cities and the meteorological features exist and can be further exploited. Hence, TL appears to offer a viable approach to enhance PM 10 predictions for the Zagreb station, despite the challenges posed by data scarcity. Our results demonstrate the feasibility of different TL techniques to improve particulate matter prediction on transferring a ML model trained from all statio</w:t>
      </w:r>
    </w:p>
    <w:p>
      <w:pPr/>
      <w:r>
        <w:rPr>
          <w:b/>
        </w:rPr>
        <w:t>POSSIBLE 2025:</w:t>
      </w:r>
      <w:r>
        <w:t xml:space="preserve"> Evaluation of a gravimetrical method with a cyclonic pre-separator against the reference method for measuring high PM10 mass concentrations in livestock houses — https://doi.org/10.1016/j.atmosenv.2025.121076</w:t>
      </w:r>
    </w:p>
    <w:p>
      <w:pPr/>
      <w:r>
        <w:rPr>
          <w:b/>
        </w:rPr>
        <w:t>Shared claim-specific concepts:</w:t>
      </w:r>
      <w:r>
        <w:t xml:space="preserve"> furthermore, pm10, concentrations, different, emission; EU scope not established. This is a provisional connection, not an outcome finding.</w:t>
      </w:r>
    </w:p>
    <w:p>
      <w:pPr>
        <w:pStyle w:val="SourceNote"/>
      </w:pPr>
      <w:r>
        <w:rPr>
          <w:b/>
        </w:rPr>
        <w:t>Available abstract (not full text):</w:t>
      </w:r>
      <w:r>
        <w:t xml:space="preserve"> PM 10 emission from livestock houses is a major contributor to the ambient PM 10 mass concentrations in many industrialized countries. Measurement methods developed for stationary source PM 10 emissions (e.g., EN 13284) are often unsuitable for application in livestock houses whereas methods for ambient air based on impaction pre-separators (e.g., EN 12341) are vulnerable to particle bouncing and overloading. In the past, a gravimetric reference method of EN 12341 (IPS) has been modified by incorporating a cyclone as pre-separator (CPS). The aim of this study was to investigate the equivalence of the modified version of the reference method used in livestock houses. Previous studies comparing the CPS and IPS reported a high variation in the relationship between these two samplers. This study examines the effect of different livestock categories on this relationship, as differences in particle size distributions associated with different livestock categories, are expected to influence the relationship between these two methods. Both CPS and IPS were applied in this study across multiple livestock houses of 3 livestock categories (fattening pigs , laying hens , broilers). Additionally, a meta-analysis was conducted, incorporating data from previous studies on gravimetric measurements of PM 10 , to establish a calibration function for measurements obtained using the CPS. This stud</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pStyle w:val="Heading2"/>
      </w:pPr>
      <w:r>
        <w:t>892.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2026:</w:t>
      </w:r>
      <w:r>
        <w:t xml:space="preserve"> Composite tidal flood risk assessment for adaptation prioritization — https://doi.org/10.61511/calamity.v4i1.2026.3759</w:t>
      </w:r>
    </w:p>
    <w:p>
      <w:pPr/>
      <w:r>
        <w:rPr>
          <w:b/>
        </w:rPr>
        <w:t>Shared claim-specific concepts:</w:t>
      </w:r>
      <w:r>
        <w:t xml:space="preserve"> tidal, coastal, areas; EU scope not established. This is a provisional connection, not an outcome finding.</w:t>
      </w:r>
    </w:p>
    <w:p>
      <w:pPr>
        <w:pStyle w:val="SourceNote"/>
      </w:pPr>
      <w:r>
        <w:rPr>
          <w:b/>
        </w:rPr>
        <w:t>Available abstract (not full text):</w:t>
      </w:r>
      <w:r>
        <w:t xml:space="preserve"> Background: Coastal areas of Jakarta, Indonesia face increasing flood risk due to sea-level rise, land subsidence, tidal inundation, dense urban development, and uneven social vulnerability. Existing coastal flood studies in Indonesia often analyze hazard, exposure, or vulnerability in isolation, limiting their value for integrated adaptation, especially in data-limited planning. This study aims to create a data-minimal risk assessment framework for Penjaringan District, North Jakarta, by integrating tidal flood trends, asset exposure values, and social vulnerability at the urban village level. Methods: The study used official tidal flood records, spatial building data, asset values from official unit costs and content ratios, and social vulnerability indicators (population density, slum settlement proportion, and malnutrition prevalence). Analysis included trend assessment, exposure estimation, min-max normalization, composite risk indexing, sensitivity analysis, risk typology, and hazard-vulnerability quadrant analysis. Findings: Results show a spatial mismatch between hazard concentration and composite risk. Pluit accounted for 149 of 171 flood-affected days (87.1%) and scored the highest Hazard Index (HI = 1.000), but Penjaringan reached the highest Risk Index (RI = 0.628), due to a Very High Exposure Index (EI = 0.816) and High Social Vulnerability Index (SVI = 0.667). Dis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2025:</w:t>
      </w:r>
      <w:r>
        <w:t xml:space="preserve"> Repeatability of tidal expiratory flow limitation during peak exercise — https://doi.org/10.36905/jses.2025.02.01</w:t>
      </w:r>
    </w:p>
    <w:p>
      <w:pPr/>
      <w:r>
        <w:rPr>
          <w:b/>
        </w:rPr>
        <w:t>Shared claim-specific concepts:</w:t>
      </w:r>
      <w:r>
        <w:t xml:space="preserve"> tidal, capacity, significant; EU scope not established. This is a provisional connection, not an outcome finding.</w:t>
      </w:r>
    </w:p>
    <w:p>
      <w:pPr>
        <w:pStyle w:val="SourceNote"/>
      </w:pPr>
      <w:r>
        <w:rPr>
          <w:b/>
        </w:rPr>
        <w:t>Available abstract (not full text):</w:t>
      </w:r>
      <w:r>
        <w:t xml:space="preserve"> The presence and degree of tidal expiratory flow limitation (EFLT) during exercise are usually determined from single observations and it is assumed that EFLT is a repeatable phenomenon.This study aimed to determine the repeatability of the presence and degree of EFLT and breathing patterns during peak exercise in healthy, young, athletic subjects.Fifteen subjects (9 males, 6 females; mean age of 23 ± 3 years) completed two maximal cardiopulmonary exercise tests (CPET) seven days apart.Coefficient of variation (CoV) were calculated for continuous variables and the Cohen's kappa coefficient was determined for the presence of EFLT.There were no significant differences in CPET variables between visits.The presence or absence of EFLT agreed in 14 out of 15 subjects (Cohen's kappa coefficient = 0.76, p = 0.007, indicating moderate agreement).The degree of EFLT showed high variability (CoV = 32.9%).Variability was low (CoV ranged between 2.8-6.1%) for end-inspiratory lung volume, tidal volume (VT), VT relative to forced vital capacity, inspiratory capacity, breathing frequency, and for end-expiratory lung volume the CoV = 10.9%.In conclusion, the presence or absence of EFLT showed good agreement and breathing patterns are highly repeatable observations in healthy subjects during peak exercise suggesting that reliable inferences can be made from single observations.</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pStyle w:val="Heading2"/>
      </w:pPr>
      <w:r>
        <w:t>893.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2026:</w:t>
      </w:r>
      <w:r>
        <w:t xml:space="preserve"> The politics of urban growth and decline — https://doi.org/10.14749/32847788</w:t>
      </w:r>
    </w:p>
    <w:p>
      <w:pPr/>
      <w:r>
        <w:rPr>
          <w:b/>
        </w:rPr>
        <w:t>Shared claim-specific concepts:</w:t>
      </w:r>
      <w:r>
        <w:t xml:space="preserve"> purpose, two, cities; EU scope visible. This is a provisional connection, not an outcome finding.</w:t>
      </w:r>
    </w:p>
    <w:p>
      <w:pPr>
        <w:pStyle w:val="SourceNote"/>
      </w:pPr>
      <w:r>
        <w:rPr>
          <w:b/>
        </w:rPr>
        <w:t>Available abstract (not full text):</w:t>
      </w:r>
      <w:r>
        <w:t xml:space="preserve"> The purpose of this chapter is to explore the literature and arguments that have emerged over the last two decades about the politics of urban policy in Europe and North America. We consider the debates about the emergence of a stronger economic dimension to urban policy and what this means for social cohesion and democracy. We also discuss the significance of policy decentralization and the consequences for different kinds of places and people. We argue that local political processes matter to the social and economic trajectories of cities and that decentralization can be a positive force for prosperity and participation, although it can also be subverted for narrower political purposes and exacerbate inequalities. The structure of the chapter is as follows. The next section considers the economic sources and impacts of recent urban growth. Section two discusses the political processes that contribute to urban success. The third section contrasts different political theories of urban policy. Section four compares different perspectives on developments in Europe and North America. The fifth section examines who benefits from urban policy. The conclusion draws the threads together and outlines some directions for future research.</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2025:</w:t>
      </w:r>
      <w:r>
        <w:t xml:space="preserve"> Purpose as an Ancient yet Nascent Construct — https://doi.org/10.1017/9781009407427.001</w:t>
      </w:r>
    </w:p>
    <w:p>
      <w:pPr/>
      <w:r>
        <w:rPr>
          <w:b/>
        </w:rPr>
        <w:t>Shared claim-specific concepts:</w:t>
      </w:r>
      <w:r>
        <w:t xml:space="preserve"> purpose, questions; EU scope not established. This is a provisional connection, not an outcome finding.</w:t>
      </w:r>
    </w:p>
    <w:p>
      <w:pPr>
        <w:pStyle w:val="SourceNote"/>
      </w:pPr>
      <w:r>
        <w:rPr>
          <w:b/>
        </w:rPr>
        <w:t>Available abstract (not full text):</w:t>
      </w:r>
      <w:r>
        <w:t xml:space="preserve"> Inquiry into purpose spans multiple disciplines, perspectives, and centuries. Seemingly inherent in the process of human development is the desire for humans to find a direction for their lives. This chapter provides an introduction to purpose inquiry, underscoring how purpose research shows that the construct can permeate multiple domains of life. We outline some of the frameworks and theoretical traditions that the reader will encounter throughout this volume. Following this section, we discuss three central questions regarding the nature of purpose that have yielded nascent reflections and research directions to this day. We conclude by providing the outline for the upcoming chapters, noting how each provides a valuable and unique piece to the puzzle of purpose.</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2024:</w:t>
      </w:r>
      <w:r>
        <w:t xml:space="preserve"> Launching a European Employee Stock Ownership Plan (European ESOP) — https://doi.org/10.1108/jpeo-06-2024-0010</w:t>
      </w:r>
    </w:p>
    <w:p>
      <w:pPr/>
      <w:r>
        <w:rPr>
          <w:b/>
        </w:rPr>
        <w:t>Shared claim-specific concepts:</w:t>
      </w:r>
      <w:r>
        <w:t xml:space="preserve"> purpose, two, alternative, light;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pStyle w:val="Heading2"/>
      </w:pPr>
      <w:r>
        <w:t>894.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2025:</w:t>
      </w:r>
      <w:r>
        <w:t xml:space="preserve"> D7.2 Bottom-up and top-down linkages between macro-level models and high-resolution models : Land use and management modelling for sustainable governance — https://openalex.org/W7154809934</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This deliverable documents how the LAMASUS modelling toolbox-more specifically, the macro-level models GLOBIOM, CAPRI, IMAGE, and MAGNET, together with the highresolution land-use model CLUMondo-has been further integrated to ensure consistent, spatially grounded land-use projections across Europe.Climate, economic, energy, and trade dynamics are captured by the macro models at the country to EU scale, while resulting landuse pressures are allocated by CLUMondo across a 1 km landscape.The deliverable focuses on four key drivers of land-use change-yield improvements, urban expansion, conservation areas, and afforestation.For each of these drivers, the deliverable methodologically improves the linkages and consistency within and across models.We report three major methodological advances: first, technological yield growth from GLOBIOM is implemented in CLUMondo.Second, CLUMondo's spatially explicit urban expansion and conservation maps are aggregated to NUTS2 and incorporated in GLOBIOM and CAPRI as land-availability constraints.Third, afforestation trajectories generated by G4M-GLOBIOM are interpreted both economically and spatially by IMAGE-MAGNET and spatially within CLUMondo, which can subsequently inform CAPRI.Together, these developments strengthen the two-way exchange between macro-level dynamics and high-resolution land-system outcomes, laying the methodological groundwor</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pStyle w:val="Heading2"/>
      </w:pPr>
      <w:r>
        <w:t>895.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2026:</w:t>
      </w:r>
      <w:r>
        <w:t xml:space="preserve"> ACT4CAP27 Project Newsletter / Edition 4 / June 2026 — https://doi.org/10.5281/zenodo.21067483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ACT4CAP27 Project Newsletter / Edition 4 / June 2026 This the fourth in the series of 6 monthly newsletters in the ACT4CAP27 project. From this issue of our newsletter, you can get to know: What ACT4CAP27 is all about? • ACT4CAP27 is a Horizon Europe-funded five-year Research and Innovation Action that aims to enhance analytical capabilities, modelling tools and collaborative technical infrastructure within the policy modelling community, supporting evidence-based EU agri-food policies beyond 2027. What are the latest developments in our project? • Read the editorial from our Project Coordinator reflecting on the first half of 2026 and the progress achieved across the project. • Discover highlights from our 3rd Annual Meeting in Madrid, advances in modelling baselines and digitalisation scenarios, continued work on the Accelerator Platform, and strong coordination across the project's work packages. How are we engaging with stakeholders and building capacity? • Learn how stakeholder contributions during our April workshop on sugar tax and biodiversity scenarios are helping shape policy-relevant research and strengthen project outcomes. • Read about our latest capacity-building activities, including the CAPRI Developer Seminar, the CAPRI Applied Data Analysis Course, and the continued development of the Agri-Food Model Young Researchers Network (AMYRN), as well as achievements b</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union, determine;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2025:</w:t>
      </w:r>
      <w:r>
        <w:t xml:space="preserve"> Modelling scope and data needs : D5.1 — https://openalex.org/W7172178632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respecti</w:t>
      </w:r>
    </w:p>
    <w:p>
      <w:pPr/>
      <w:r>
        <w:rPr>
          <w:b/>
        </w:rPr>
        <w:t>POSSIBLE 2025:</w:t>
      </w:r>
      <w:r>
        <w:t xml:space="preserve"> D5.1 - Modelling scope and data needs [STEP UP] — https://openalex.org/W7132132062</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overarching objective of Work Package (WP) 5 is to provide a model-based assessment of scenarios that depict a transition of European livestock production systems (ELPS) towards more economically, ecologically, and socially sustainable systems, as defined in WP6. To achieve this objective, the modelling framework combines three models: MAFSEU, AGMEMOD and CAPRI. The description of each model outlines its specific modelling approach and highlights its strengths. The particular role of each model in the STEP UP modelling framework is then defined based on this information. AGMEMOD is the only recursive-dynamic model that delivers year-by-year projections. It will be used to make initial projections for a number of mainly trend-driven variables (e.g. yields, stocks) over a defined time horizon. Also, operating at the level of member states, it can focus on simulating country-specific policy measures. The MAFSEU model, with its envisaged explicit representation of antibiotic use and use of other chemical inputs, serves as a tool for simulating changes in their use. MAFSEU also encompasses the link between food consumption and health indicators, and can be used to assess the health consequences of dietary shifts. CAPRI provides a highly detailed representation of greenhouse gas emissions and nutrient flows, including depictions of mitigation options, and will be used for respect</w:t>
      </w:r>
    </w:p>
    <w:p>
      <w:pPr>
        <w:pStyle w:val="Heading2"/>
      </w:pPr>
      <w:r>
        <w:t>896.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2024:</w:t>
      </w:r>
      <w:r>
        <w:t xml:space="preserve"> Board of directors and innovation: A state‐of‐the‐art review from a contingency perspective — https://doi.org/10.1002/cjas.1761</w:t>
      </w:r>
    </w:p>
    <w:p>
      <w:pPr/>
      <w:r>
        <w:rPr>
          <w:b/>
        </w:rPr>
        <w:t>Shared claim-specific concepts:</w:t>
      </w:r>
      <w:r>
        <w:t xml:space="preserve"> contingency, due, thus; EU scope not established. This is a provisional connection, not an outcome finding.</w:t>
      </w:r>
    </w:p>
    <w:p>
      <w:pPr>
        <w:pStyle w:val="SourceNote"/>
      </w:pPr>
      <w:r>
        <w:rPr>
          <w:b/>
        </w:rPr>
        <w:t>Available abstract (not full text):</w:t>
      </w:r>
      <w:r>
        <w:t xml:space="preserve"> Abstract The link between the board of directors and innovation has received increasing interest from scholars, executives, and policymakers in recent years. Nevertheless, it remains somewhat cryptic, mainly due to limitations in terms of analytical frameworks, theoretical constructs, and methodological designs, as well as the absence of an approach that integrates the importance of contingencies. Thus, a systematic literature review at the junction of the highest strategic body (i.e., board of directors) and one of the most strategic organizational outcomes (i.e., innovation) proves to be an opportune exercise both from a scientific and practical perspective. Ultimately, the approach adopted in this study has led to the emergence of an integrative conceptual framework from a contingency perspective and various observations that dissect the impact of the board of directors on innovation based on a corpus of 114 articles published over a period of 33 years. Also, a research agenda and some key recommendations are derived from the in‐depth analysis conducted and constitute solid foundations on which to build tomorrow's studies in this research field.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multiple, population, decline, due;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ATC Human Factors Involved in RPAS Contingency Management in Non-Segregated Airspace — https://doi.org/10.3390/app13031408</w:t>
      </w:r>
    </w:p>
    <w:p>
      <w:pPr/>
      <w:r>
        <w:rPr>
          <w:b/>
        </w:rPr>
        <w:t>Shared claim-specific concepts:</w:t>
      </w:r>
      <w:r>
        <w:t xml:space="preserve"> contingency, thus, two; EU scope not established. This is a provisional connection, not an outcome finding.</w:t>
      </w:r>
    </w:p>
    <w:p>
      <w:pPr>
        <w:pStyle w:val="SourceNote"/>
      </w:pPr>
      <w:r>
        <w:rPr>
          <w:b/>
        </w:rPr>
        <w:t>Available abstract (not full text):</w:t>
      </w:r>
      <w:r>
        <w:t xml:space="preserve"> Objectives: The overall approach towards Remotely Piloted Aerial System integration into a non-segregated airspace is that the unmanned vehicles should be able to fit into the current air traffic management system, thus meeting all the technical and regulatory requirements to be treated similar to any other airspace user. Such a requirement implies that unmanned aircraft operations should behave as close as possible to manned aviation or at least generate the most negligible possible negative impact on the system. From the air traffic management point of view, this implies that air traffic controllers should be capable of effectively handling different types of RPAS operating in a nominal state but also when suffering a potential contingency. This paper aims to analyse how air traffic controllers involved in managing unmanned aircraft integration into non-segregated airspace are impacted when an unmanned vehicle suffers a contingency. Participants: Six air traffic controllers were the test subjects, complemented by one RPAS pilot and several pseudo-pilots controlling the simulated manned traffic. The project collected real-time simulation data to develop specific indicators to determine how the controllers’ workload increases while managing complex traffic scenarios, including a single RPAS. Study Method: We conducted exhaustive traffic flight simulations, recreating complex ai</w:t>
      </w:r>
    </w:p>
    <w:p>
      <w:pPr/>
      <w:r>
        <w:rPr>
          <w:b/>
        </w:rPr>
        <w:t>POSSIBLE 2023:</w:t>
      </w:r>
      <w:r>
        <w:t xml:space="preserve"> Chance, Strategy, and Change: The Structure of Contingency in the Evolution of the Nokia Corporation, 1986–2015 — https://doi.org/10.5465/amd.2019.0067</w:t>
      </w:r>
    </w:p>
    <w:p>
      <w:pPr/>
      <w:r>
        <w:rPr>
          <w:b/>
        </w:rPr>
        <w:t>Shared claim-specific concepts:</w:t>
      </w:r>
      <w:r>
        <w:t xml:space="preserve"> multiple, contingency, two; EU scope not established. This is a provisional connection, not an outcome finding.</w:t>
      </w:r>
    </w:p>
    <w:p>
      <w:pPr>
        <w:pStyle w:val="SourceNote"/>
      </w:pPr>
      <w:r>
        <w:rPr>
          <w:b/>
        </w:rPr>
        <w:t>Available abstract (not full text):</w:t>
      </w:r>
      <w:r>
        <w:t xml:space="preserve"> Earlier research has analyzed how chance influences strategic choices, yet it has largely ignored the processes that chance events generate. We address this issue by analyzing how chance events and political dynamics coproduce strategic change. We study the history of the Nokia Corporation between 1986 and 2015, focusing on the event structures that led to the divestment of core businesses on two separate occasions. Our findings show how chance events and resulting political dynamics generate periods of collective indeterminacy where multiple, competing strategic scenarios become apparent. These emerge either directly from chance events or indirectly from political dynamics as coalitions translate chance events into their preferred scenarios. The search for a new strategic direction then ensues through the emergence and elimination of alternative scenarios until an acceptable scenario is converged upon, ending the period of collective indeterminacy.</w:t>
      </w:r>
    </w:p>
    <w:p>
      <w:pPr>
        <w:pStyle w:val="Heading2"/>
      </w:pPr>
      <w:r>
        <w:t>897.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2026:</w:t>
      </w:r>
      <w:r>
        <w:t xml:space="preserve"> Conceptualizing Luxury Services and Consumption Trends in Romania within the European Context — https://doi.org/10.33727/jriss.2026.1.8:69-77</w:t>
      </w:r>
    </w:p>
    <w:p>
      <w:pPr/>
      <w:r>
        <w:rPr>
          <w:b/>
        </w:rPr>
        <w:t>Shared claim-specific concepts:</w:t>
      </w:r>
      <w:r>
        <w:t xml:space="preserve"> consumption, production, products; EU scope visible. This is a provisional connection, not an outcome finding.</w:t>
      </w:r>
    </w:p>
    <w:p>
      <w:pPr>
        <w:pStyle w:val="SourceNote"/>
      </w:pPr>
      <w:r>
        <w:rPr>
          <w:b/>
        </w:rPr>
        <w:t>Available abstract (not full text):</w:t>
      </w:r>
      <w:r>
        <w:t xml:space="preserve"> Luxury represents a complex and multidimensional concept, encompassing economic, sociological, psychological, and marketing perspectives. While the literature on luxury goods is well established, the conceptualization of luxury services remains fragmented, often implicitly derived from theories developed for tangible products. This gap highlights the need for an integrative framework that addresses luxury within the specific context of services, characterized by intangibility, simultaneity of production and consumption, and value co-creation. In contemporary economies increasingly dominated by the service sector, services play a crucial role in enhancing quality of life, while also representing a significant component of household expenditure, GDP formation, and employment. Within this context, luxury services emerge as a distinct segment, reflecting both the diversification of market offerings and the evolving structure of consumption. The expansion of companies providing highly specialized and personalized services suggests the existence of a growing demand, supported by increasing purchasing power among certain consumer segments. These services range from advanced riskmanagement solutions and personalized domestic assistance to high-end medical care delivered in private settings, illustrating the breadth and complexity of luxury service provision. This paper aims to conceptu</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pStyle w:val="Heading2"/>
      </w:pPr>
      <w:r>
        <w:t>898.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Modeling soil solution electrical conductivity across Europe — https://doi.org/10.1016/j.scitotenv.2026.182021</w:t>
      </w:r>
    </w:p>
    <w:p>
      <w:pPr/>
      <w:r>
        <w:rPr>
          <w:b/>
        </w:rPr>
        <w:t>Shared claim-specific concepts:</w:t>
      </w:r>
      <w:r>
        <w:t xml:space="preserve"> here, climate, predicted, data, predict;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Effects of the projected changes in land use and climate on soil vulnerability in Europe — https://doi.org/10.5194/egusphere-egu25-6131</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Effects of the projected changes in land use and climate on soil vulnerability in Europe — https://doi.org/10.15480/882.16429</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climate, two, based;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pStyle w:val="Heading2"/>
      </w:pPr>
      <w:r>
        <w:t>899.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2026:</w:t>
      </w:r>
      <w:r>
        <w:t xml:space="preserve"> The Economic and Technological Resilience in the European Union: Geopolitical Fragmentation, Economic Security and the Future of Competitiveness — https://doi.org/10.3390/world7080135</w:t>
      </w:r>
    </w:p>
    <w:p>
      <w:pPr/>
      <w:r>
        <w:rPr>
          <w:b/>
        </w:rPr>
        <w:t>Shared claim-specific concepts:</w:t>
      </w:r>
      <w:r>
        <w:t xml:space="preserve"> further, technological, industrial; EU scope visible. This is a provisional connection, not an outcome finding.</w:t>
      </w:r>
    </w:p>
    <w:p>
      <w:pPr>
        <w:pStyle w:val="SourceNote"/>
      </w:pPr>
      <w:r>
        <w:rPr>
          <w:b/>
        </w:rPr>
        <w:t>Available abstract (not full text):</w:t>
      </w:r>
      <w:r>
        <w:t xml:space="preserve"> The European Union operates in a highly fragmented international environment shaped by geopolitical rivalry, geoeconomic competition, technological disruption, and growing uncertainty regarding critical external dependencies. These developments have elevated economic security and resilience to the centre of European policymaking, challenging assumptions that traditionally linked economic openness with stability, prosperity, and sustainable development. The purpose of this article is to examine how geopolitical and geoeconomic fragmentation is reshaping the European Union’s approach to economic and technological resilience and to analyse the implications of this transformation for long-term competitiveness and sustainable development. Employing a qualitative research design based on policy analysis and systematic document analysis, supported by secondary statistical evidence from European and international institutional sources, the study investigates three interconnected dimensions of resilience: technological resilience, resource resilience, and competitiveness resilience. The findings indicate that the European Union is moving from an efficiency-oriented model of globalisation towards a resilience-oriented governance framework focused on managing sensitive dependencies in critical technologies, strategic resources, and supply chains. The analysis further demonstrates that res</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steps, further, technological;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r>
        <w:rPr>
          <w:b/>
        </w:rPr>
        <w:t>POSSIBLE 2024:</w:t>
      </w:r>
      <w:r>
        <w:t xml:space="preserve"> European solidarity and social class. An uneasy alliance — https://doi.org/10.1080/07036337.2024.2318550</w:t>
      </w:r>
    </w:p>
    <w:p>
      <w:pPr/>
      <w:r>
        <w:rPr>
          <w:b/>
        </w:rPr>
        <w:t>Shared claim-specific concepts:</w:t>
      </w:r>
      <w:r>
        <w:t xml:space="preserve"> steps, political; EU scope visible. This is a provisional connection, not an outcome finding.</w:t>
      </w:r>
    </w:p>
    <w:p>
      <w:pPr>
        <w:pStyle w:val="SourceNote"/>
      </w:pPr>
      <w:r>
        <w:rPr>
          <w:b/>
        </w:rPr>
        <w:t>Available abstract (not full text):</w:t>
      </w:r>
      <w:r>
        <w:t xml:space="preserve"> In response to various crises and a growing Eurosceptic electorate, the European Union (EU) has taken steps to implement solidarity measures aimed at mitigating economic risks and inequalities among member states and their citizens. However, the social basis of support for such redistributive policies in a supranational context remains largely unexplored, despite the ongoing relevance of social class for crucial political outcomes related to European integration.To address this gap, this article distinguishes between transnational and member state solidarity, scrutinizing how the post-industrial division of social classes shapes these two dimensions of European solidarity. The research reveals that the post-industrial structure of social classes, significantly affects both forms of European solidarity, independent of attitudes toward redistribution and European integration. Furthermore, it highlights the transformative potential of supranational redistribution in fostering political support and social cohesion among production workers manifesting exclusive national identities.</w:t>
      </w:r>
    </w:p>
    <w:p>
      <w:pPr>
        <w:pStyle w:val="Heading2"/>
      </w:pPr>
      <w:r>
        <w:t>900.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2025:</w:t>
      </w:r>
      <w:r>
        <w:t xml:space="preserve"> Cardiometabolic biomarkers in blood and the risk of cerebrovascular disease — https://doi.org/10.5287/ora-8jnj92pky</w:t>
      </w:r>
    </w:p>
    <w:p>
      <w:pPr/>
      <w:r>
        <w:rPr>
          <w:b/>
        </w:rPr>
        <w:t>Shared claim-specific concepts:</w:t>
      </w:r>
      <w:r>
        <w:t xml:space="preserve"> finally, rsf, makes, use, level; EU scope visible. This is a provisional connection, not an outcome finding.</w:t>
      </w:r>
    </w:p>
    <w:p>
      <w:pPr>
        <w:pStyle w:val="SourceNote"/>
      </w:pPr>
      <w:r>
        <w:rPr>
          <w:b/>
        </w:rPr>
        <w:t>Available abstract (not full text):</w:t>
      </w:r>
      <w:r>
        <w:t xml:space="preserve"> Background: Studies have reported inconsistent associations, with little causal evidence, between metabolites and ischaemic stroke. The aim of this DPhil project is to understand the molecular mechanisms underlying ischaemic stroke and to identify predictive and causal biomarkers based on the sociodemographic, lifestyle, clinical, molecular, and genetic data in UK Biobank (UKB). Methods: I studied 249 plasma metabolites using the nuclear magnetic resonance platform from UKB (N = 274,355, median 13.8 follow-up years). First, I studied the association of each of these metabolites individually with ischaemic stroke using Cox proportional hazards regression adjusting for age, sex, ethnicity, lipid modifying medication, fasting time, spectrometers, assessment centres, smoking status, alcohol intake, dietary supplement use, 13 dietary variables, physical activity, body mass index, prevalent diabetes, and systolic blood pressure. Second, I applied extreme gradient boosting model (XGBoost) and random survival forests (RSF) to assess the additional predictive values of metabolites over traditional risk factors. The Boruta algorithm was used to procure the relevant metabolites related to ischaemic stroke. Finally, bidirectional two-sample Mendelian randomisation (MR) was used to evaluate the causal relationship of identified metabolites with ischaemic stroke. Genome-wide association stud</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2024:</w:t>
      </w:r>
      <w:r>
        <w:t xml:space="preserve"> Trends in enrolment in primary, secondary and tertiary education in Egypt — https://doi.org/10.1787/7b2bf5af-en</w:t>
      </w:r>
    </w:p>
    <w:p>
      <w:pPr/>
      <w:r>
        <w:rPr>
          <w:b/>
        </w:rPr>
        <w:t>Shared claim-specific concepts:</w:t>
      </w:r>
      <w:r>
        <w:t xml:space="preserve"> makes, level; EU scope not established. This is a provisional connection, not an outcome finding.</w:t>
      </w:r>
    </w:p>
    <w:p>
      <w:pPr>
        <w:pStyle w:val="SourceNote"/>
      </w:pPr>
      <w:r>
        <w:rPr>
          <w:b/>
        </w:rPr>
        <w:t>Available abstract (not full text):</w:t>
      </w:r>
      <w:r>
        <w:t xml:space="preserve"> Growth has held up better in Egypt than in neighbouring countries until recently but inflation has reached very high levels and financing conditions have tightened along with foreign currency shortages. In this context, Egypt is stepping up economic reform efforts. The exchange rate needs to become more flexible with monetary policy geared to bring inflation down to target. High public debt makes Egypt more vulnerable to external shocks. Committing to a credible consolidation strategy is key to restore public finance health, which would improve investor confidence and thereby reduce debt servicing costs. While expanding cash transfers to the most vulnerable, broad-based energy subsidies should be phased out, which would also reduce emissions. As public investment has expanded substantially, further efforts to rationalise large-scale construction projects should be pursued, while allocating resources to green investment. To revive private sector growth, the regulatory burden and the state footprint ought to be reduced, and ongoing reforms including the divestment plan should be implemented fully and effectively. As the working-age population will expand with a rising education level, younger generations need to be better integrated into the labour market. This requires reducing labour taxation, enhancing public employment support and better aligning skills to labour market needs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pStyle w:val="Heading2"/>
      </w:pPr>
      <w:r>
        <w:t>901.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2026:</w:t>
      </w:r>
      <w:r>
        <w:t xml:space="preserve"> Exploring Principal Autonomy in the Emirates School Establishment: A Qualitative Case Study — https://doi.org/10.1080/15700763.2026.2636604</w:t>
      </w:r>
    </w:p>
    <w:p>
      <w:pPr/>
      <w:r>
        <w:rPr>
          <w:b/>
        </w:rPr>
        <w:t>Shared claim-specific concepts:</w:t>
      </w:r>
      <w:r>
        <w:t xml:space="preserve"> principal, although, need, across; EU scope not established. This is a provisional connection, not an outcome finding.</w:t>
      </w:r>
    </w:p>
    <w:p>
      <w:pPr>
        <w:pStyle w:val="SourceNote"/>
      </w:pPr>
      <w:r>
        <w:rPr>
          <w:b/>
        </w:rPr>
        <w:t>Available abstract (not full text):</w:t>
      </w:r>
      <w:r>
        <w:t xml:space="preserve"> School principals play a critical role in shaping school culture and leading reform. This study examined the degree of autonomy experienced by public school principals in the United Arab Emirates under the Emirates School Establishment (ESE), and explored the challenges they face within a centralized governance system. A qualitative multi-case study design was employed across eight public schools, involving semi-structured interviews with eleven school leaders (ten principals and one cluster manager). Findings are organized around five themes: executive management constraints on school-level decision-making; limited authority in personnel recruitment; the need for targeted leadership preparation to exercise autonomy effectively; restricted financial discretion; and the role of collaborative decision-making processes. Although participants demonstrated strong leadership capacity and commitment to school improvement, centralized structures were perceived to limit timely, context-responsive decision-making. The study concludes that recalibrating principal autonomy at the policy level—while maintaining clear accountability frameworks and strengthening leadership development systems—may enhance school effectiveness and responsiveness within the current governance model.</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component, general, across;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pStyle w:val="Heading2"/>
      </w:pPr>
      <w:r>
        <w:t>902.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2025:</w:t>
      </w:r>
      <w:r>
        <w:t xml:space="preserve"> EXPERIENCES OF FOREIGN STUDENTS IN SILESIA: KEY CONCLUSIONS FOR THE INTERNATIONALIZATION OF UNIVERSITIES AND THE REGION — https://doi.org/10.29119/1641-3466.2025.217.11</w:t>
      </w:r>
    </w:p>
    <w:p>
      <w:pPr/>
      <w:r>
        <w:rPr>
          <w:b/>
        </w:rPr>
        <w:t>Shared claim-specific concepts:</w:t>
      </w:r>
      <w:r>
        <w:t xml:space="preserve"> conclusions, internationalization, education, among, international, key; EU scope not established. This is a provisional connection, not an outcome finding.</w:t>
      </w:r>
    </w:p>
    <w:p>
      <w:pPr>
        <w:pStyle w:val="SourceNote"/>
      </w:pPr>
      <w:r>
        <w:rPr>
          <w:b/>
        </w:rPr>
        <w:t>Available abstract (not full text):</w:t>
      </w:r>
      <w:r>
        <w:t xml:space="preserve"> The article analyzes the internationalization of Silesian universities and the region, emphasizing the importance of collaboration between academic institutions and the local community.This synergy is essential for creating a supportive environment for international students, facilitating their adaptation and integration.The study of international students' experiences provides insights into the impact of internationalization on fostering an open and diverse academic community.Design/methodology/approach: The study employed an online survey conducted during the 2024/2025 academic year among international students at Silesian universities.The questionnaire combined closed-ended questions for quantitative analysis with open-ended questions to explore students' experiences in depth. Findings:The results reveal a variety of experiences among international students, highlighting both opportunities and challenges.Students appreciate the quality of education and affordability in the region but encounter administrative difficulties, language barriers, and challenges with social integration.These findings underscore the need to enhance internationalization strategies and foster a more inclusive academic environment. Research limitations/implications:The study was conducted on a pilot sample of 54 students, which limits its scope.Further research with a larger sample is required.Addition</w:t>
      </w:r>
    </w:p>
    <w:p>
      <w:pPr/>
      <w:r>
        <w:rPr>
          <w:b/>
        </w:rPr>
        <w:t>POSSIBLE 2025:</w:t>
      </w:r>
      <w:r>
        <w:t xml:space="preserve"> Hiring a Consulting Firm for Internationalization - The Role of Consulting in Decision-Making about Internationalization Processes from the Perspective of CH Group — https://openalex.org/W7112896486</w:t>
      </w:r>
    </w:p>
    <w:p>
      <w:pPr/>
      <w:r>
        <w:rPr>
          <w:b/>
        </w:rPr>
        <w:t>Shared claim-specific concepts:</w:t>
      </w:r>
      <w:r>
        <w:t xml:space="preserve"> internationalization, based, international, key, findings; EU scope visible. This is a provisional connection, not an outcome finding.</w:t>
      </w:r>
    </w:p>
    <w:p>
      <w:pPr>
        <w:pStyle w:val="SourceNote"/>
      </w:pPr>
      <w:r>
        <w:rPr>
          <w:b/>
        </w:rPr>
        <w:t>Available abstract (not full text):</w:t>
      </w:r>
      <w:r>
        <w:t xml:space="preserve"> This report investigates the strategic role of consulting firms in the internationalization enterprises, based on the experience gained during a curricular internship at Grupo CH.Through direct involvement in three distinct projects -TISSOA (focused on IT services and shared services outsourcing to Asia), SAVEURS du PORTUGAL (centered on the international promotion of agri-food products), and the reverse mission from Sweden and Scandinavian countries (supporting the natural stone sector) -the internship provided insights into how consulting firms help overcome key internationalization barriers.The report combines academic frameworks, such as the Uppsala Model, Dunning's Eclectic Paradigm, and network-based approaches, with practical consulting activities, highlighting the multidimensional role of consultants in reducing uncertainty, building capabilities, activating networks, and translating strategic goals into actionable plans.Ultimately, the findings confirm that internationalization consulting, when tailored to SMEs' constraints and sectoral realities, plays a crucial role in enabling sustainable and competitive global expansion.</w:t>
      </w:r>
    </w:p>
    <w:p>
      <w:pPr/>
      <w:r>
        <w:rPr>
          <w:b/>
        </w:rPr>
        <w:t>POSSIBLE 2025:</w:t>
      </w:r>
      <w:r>
        <w:t xml:space="preserve"> The internationalization of renewable energy finance — https://doi.org/10.1016/j.isci.2025.112367</w:t>
      </w:r>
    </w:p>
    <w:p>
      <w:pPr/>
      <w:r>
        <w:rPr>
          <w:b/>
        </w:rPr>
        <w:t>Shared claim-specific concepts:</w:t>
      </w:r>
      <w:r>
        <w:t xml:space="preserve"> internationalization, international, findings; EU scope not established. This is a provisional connection, not an outcome finding.</w:t>
      </w:r>
    </w:p>
    <w:p>
      <w:pPr>
        <w:pStyle w:val="SourceNote"/>
      </w:pPr>
      <w:r>
        <w:rPr>
          <w:b/>
        </w:rPr>
        <w:t>Available abstract (not full text):</w:t>
      </w:r>
      <w:r>
        <w:t xml:space="preserve"> Mitigating climate change necessitates vast investments in clean energy technologies globally, requiring internationalization not only of knowledge, production, and policies but also finance. This article examines 42,291 renewable energy investment deals across OECD countries from 2004 to 2022, revealing highly international capital flows. Results show that $US 45.4B annually (45%) is invested across borders, with varying degrees between countries. Further, renewable energy investments increasingly mirror general foreign direct investment (89% correlation), indicating financial mainstreaming, which can contribute to rapid deployment. These results are primarily driven by onshore wind and solar photovoltaic (PV). While all technologies experienced increased international capital mobility, offshore wind leads with 76% of capital exiting borders, whereas biomass is largely financed domestically (36% international). In sum, while international capital mobility has been crucial for growth in RE deployment, substantial country and technology differences exist. Our findings offer insights for novel low-carbon technologies and inform future research.</w:t>
      </w:r>
    </w:p>
    <w:p>
      <w:pPr>
        <w:pStyle w:val="Heading2"/>
      </w:pPr>
      <w:r>
        <w:t>903.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2025:</w:t>
      </w:r>
      <w:r>
        <w:t xml:space="preserve"> Du cinéma au baccalauréat ? Définir une « matière cinéma » au lycée (1984-1995) — https://doi.org/10.4000/155qy</w:t>
      </w:r>
    </w:p>
    <w:p>
      <w:pPr/>
      <w:r>
        <w:rPr>
          <w:b/>
        </w:rPr>
        <w:t>Shared claim-specific concepts:</w:t>
      </w:r>
      <w:r>
        <w:t xml:space="preserve"> les, une, article; EU scope visible. This is a provisional connection, not an outcome finding.</w:t>
      </w:r>
    </w:p>
    <w:p>
      <w:pPr>
        <w:pStyle w:val="SourceNote"/>
      </w:pPr>
      <w:r>
        <w:rPr>
          <w:b/>
        </w:rPr>
        <w:t>Available abstract (not full text):</w:t>
      </w:r>
      <w:r>
        <w:t xml:space="preserve"> Le présent article se propose d’analyser la création et la pérennisation des options Cinéma et audiovisuel au lycée entre 1984 et 1995 en France. À partir d’un corpus de sources diverses, notamment une dizaine d’entretiens réalisés auprès d’enseignants ayant participé à ces premières « classes cinéma », il s’agit d’analyser la naissance d’un réseau spécifique autour des « premiers » professeurs de cinéma, mais également l’offre de formation qui leur est proposée, la conception des programmes, des évaluations et le choix des films étudiés, ainsi que les différents débats que suscite l’introduction de cette nouvelle « matière cinéma » au baccalauréat. Cette reconnaissance officielle est ainsi une étape majeure dans le long processus de légitimation du statut artistique du cinéma qui tend à devenir, du moins en principe, un enseignement à part entière, au même titre que la musique, le théâtre ou les arts plastiques.</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Actes des 22es Rencontres des Jeunes Chercheurs en Intelligence Artificielle — https://openalex.org/W4400479966</w:t>
      </w:r>
    </w:p>
    <w:p>
      <w:pPr/>
      <w:r>
        <w:rPr>
          <w:b/>
        </w:rPr>
        <w:t>Shared claim-specific concepts:</w:t>
      </w:r>
      <w:r>
        <w:t xml:space="preserve"> les, cadre, pour, une, article; EU scope visible. This is a provisional connection, not an outcome finding.</w:t>
      </w:r>
    </w:p>
    <w:p>
      <w:pPr>
        <w:pStyle w:val="SourceNote"/>
      </w:pPr>
      <w:r>
        <w:rPr>
          <w:b/>
        </w:rPr>
        <w:t>Available abstract (not full text):</w:t>
      </w:r>
      <w:r>
        <w:t xml:space="preserve"> Rencontres des Jeunes Chercheurs en Intelligence ArtificielleComme leur nom l'indique, les Rencontres des Jeunes Chercheurs en Intelligence Artificielle (RJCIA) sont destinées aux jeunes chercheurs en Intelligence Artificielle (IA), doctorants ou titulaires d'un doctorat depuis moins d'un an.A ce titre, l'objectif de cette manifestation est double : 1. permettre aux jeunes chercheurs préparant une thèse en IA, ou l'ayant soutenue depuis peu, de se rencontrer et de présenter leurs travaux, et d'ainsi nouer des contacts avec d'autres jeunes chercheurs et d'élargir leurs perspectives en échangeant avec des spécialistes d'autres domaines de l'IA ; 2. former les jeunes chercheurs à la préparation d'un article, à sa révision pour tenir compte des observations du comité de programme, et à sa présentation devant un auditoire de spécialistes, leur permettant ainsi d'obtenir des retours de chercheurs de leur domaine ou de domaines connexes.Toute contribution relevant de IA est la bienvenue ; l'IA s'invitant partout, traversant les disciplines et les défis en Recherche.Une liste non exhaustive de thématiques est donnée à titre indicatif : -recherche heuristique et résolution de problèmes ; -incertitude et intelligence artificielle ; -logique, satisfiabilité et satisfaction de contraintes ; -apprentissage automatique ; -extraction, ingénierie, représentation et gestion des connaissances et</w:t>
      </w:r>
    </w:p>
    <w:p>
      <w:pPr>
        <w:pStyle w:val="Heading2"/>
      </w:pPr>
      <w:r>
        <w:t>904.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2026:</w:t>
      </w:r>
      <w:r>
        <w:t xml:space="preserve"> Plant Crude Polysaccharide‐Enabled Hydrogel Electrodes for Long‐Term Stable EMG Recording — https://doi.org/10.1002/adfm.79041</w:t>
      </w:r>
    </w:p>
    <w:p>
      <w:pPr/>
      <w:r>
        <w:rPr>
          <w:b/>
        </w:rPr>
        <w:t>Shared claim-specific concepts:</w:t>
      </w:r>
      <w:r>
        <w:t xml:space="preserve"> recording, often, interactions, however, incorporating; EU scope not established. This is a provisional connection, not an outcome finding.</w:t>
      </w:r>
    </w:p>
    <w:p>
      <w:pPr>
        <w:pStyle w:val="SourceNote"/>
      </w:pPr>
      <w:r>
        <w:rPr>
          <w:b/>
        </w:rPr>
        <w:t>Available abstract (not full text):</w:t>
      </w:r>
      <w:r>
        <w:t xml:space="preserve"> ABSTRACT Conductive hydrogels with high conductivity, flexibility, skin compatibility, and long‐term stability are essential for reliable bioelectrical signal recording in flexible bioelectronic interfaces for wearable health monitoring and human‐machine interaction. However, additive‐based enhancement often disrupts the intrinsic hydrogel network, leading to trade‐offs among conductivity, flexibility, biocompatibility, and long‐term stability. To address this challenge, we propose a conductive hydrogel formation strategy based on the endogenous synergy of plant‐derived polysaccharides. As a representative system, we constructed a gelatin/PCA‐Na hydrogel incorporating safflower crude polysaccharides, which was denoted as GPP. Plant‐derived polysaccharide systems contain abundant hydrophilic groups and active components, including phenolic and ketone groups, which introduce multiple hydrogen bonds and non‐covalent interactions into the hydrogel network. As a result, GPP exhibits strong overall performance, with an adhesion strength of 50.1 kPa and a conductivity of 6.3 S m −1 . Moreover, it enables repeated EMG recordings during 7‐day continuous wear, with the signal‐to‐noise ratio remaining above 30 dB, indicating stable skin contact and reliable signal output. In addition, the endogenous synergy mechanism was extended to Prunella vulgaris crude polysaccharides. Overall, this w</w:t>
      </w:r>
    </w:p>
    <w:p>
      <w:pPr/>
      <w:r>
        <w:rPr>
          <w:b/>
        </w:rPr>
        <w:t>POSSIBLE 2026:</w:t>
      </w:r>
      <w:r>
        <w:t xml:space="preserve"> Quantifying soybean biological nitrogen fixation using long-term isotope enrichment — https://doi.org/10.1007/s11104-026-08810-2</w:t>
      </w:r>
    </w:p>
    <w:p>
      <w:pPr/>
      <w:r>
        <w:rPr>
          <w:b/>
        </w:rPr>
        <w:t>Shared claim-specific concepts:</w:t>
      </w:r>
      <w:r>
        <w:t xml:space="preserve"> long-term, biological, however; EU scope not established. This is a provisional connection, not an outcome finding.</w:t>
      </w:r>
    </w:p>
    <w:p>
      <w:pPr>
        <w:pStyle w:val="SourceNote"/>
      </w:pPr>
      <w:r>
        <w:rPr>
          <w:b/>
        </w:rPr>
        <w:t>Available abstract (not full text):</w:t>
      </w:r>
      <w:r>
        <w:t xml:space="preserve"> Abstract Background and aims Biological nitrogen fixation (BNF) supplies much of soybean ( Glycine max (L.) Merr.) nitrogen (N) demand, but reported fixation rates vary widely, leading to uncertainty in the soybean N cycle. We quantified whole-plant soybean BNF and N allocation using long-term 15 N labeling to assess whether BNF can offset grain N removal in a high-yielding system, and to quantify root contributions to fixed N. Methods Field mesocosms in Iowa, USA received three legacy fertilizer N rates as 2 atom% 15 N-enriched urea for four prior seasons of maize ( Zea mays L.) production. In 2024, N-fixing and non-N-fixing soybeans were grown to physiological maturity. Grain, aboveground biomass, and roots were analyzed to quantify BNF and to estimate whole-plant N budget. Results Soybean derived 81.8% ± 1% (SE) of total plant N from BNF. Legacy N rate had no effect on whole-plant N accumulation, BNF, or N partitioning among tissues (p &gt; 0.05). Roots contained ~2% of total fixed N, with most BNF-derived N allocated to grain. High grain N removal was largely offset by BNF (174.7 ± 8.9 kg N ha −1 ), resulting in a near-neutral partial N balance (−5.7 ± 2 kg N ha⁻ 1 ). Conclusion From this one-season mesocosm study, our finding of negligible fixed N in soybean roots indicates that neglecting root BNF does not necessarily bias conclusions about soybean N cycle. However, the comb</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pStyle w:val="Heading2"/>
      </w:pPr>
      <w:r>
        <w:t>905.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2025:</w:t>
      </w:r>
      <w:r>
        <w:t xml:space="preserve"> European Spatial Visions – Reflections from a practice perspective (The case of Austria) — https://doi.org/10.1080/02513625.2025.2518860</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The paper emphasizes the importance of spatial planning, argues for a reconceptualization of Europe’s internal stability and its role as a global actor. It outlines three steps for strengthening European spatial development: documenting and analyzing spatial development, presenting the spatial impact of sector policies, and adopting a decision-making role through integrated spatial development. The paper highlights the need for active participation in societal debates, the use of strategic visions, and the development of competences and resources to address future challenges. The transformation of the energy system and the design of equitable spatial development serve as illustrative examples that underscore the significance of these issues. From the perspective of planning practice, the authors draw conclusions about the (re-)formulation of spatial visions for Europe in 2050.</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r>
        <w:rPr>
          <w:b/>
        </w:rPr>
        <w:t>POSSIBLE 2024:</w:t>
      </w:r>
      <w:r>
        <w:t xml:space="preserve"> Introduction to a Special Issue: Social Europe: The Changing Contours of Transnational Employment Relations in the European Union — https://doi.org/10.1177/00197939241273523</w:t>
      </w:r>
    </w:p>
    <w:p>
      <w:pPr/>
      <w:r>
        <w:rPr>
          <w:b/>
        </w:rPr>
        <w:t>Shared claim-specific concepts:</w:t>
      </w:r>
      <w:r>
        <w:t xml:space="preserve"> relations, workers, financial; EU scope visible. This is a provisional connection, not an outcome finding.</w:t>
      </w:r>
    </w:p>
    <w:p>
      <w:pPr>
        <w:pStyle w:val="SourceNote"/>
      </w:pPr>
      <w:r>
        <w:rPr>
          <w:b/>
        </w:rPr>
        <w:t>Available abstract (not full text):</w:t>
      </w:r>
      <w:r>
        <w:t xml:space="preserve"> Employment relations in Europe today differ from how they were prior to the 2008 financial crisis and the COVID-19 pandemic, as key terms and conditions (e.g., wages) and sectors of economic activity (e.g., platform work and the green economy) are now subject to direct political intervention by the European institutions. Transnational (horizontal) competition within the Single European Market has long provided a context for national employment relations in Europe, and various national institutions impacted workers’ rights and conditions of employment. Under the new economic governance (NEG) regime triggered by the financial crisis, political (vertical) intervention in employment relations created strong pressure toward the commodification of labor. The COVID pandemic involved policymaking in the opposite (decommodifying) direction. That said, and as the articles in this special issue clearly demonstrate, commodifying pressures are still strong, and the full realization of Social Europe is arguably as elusive as ever.</w:t>
      </w:r>
    </w:p>
    <w:p>
      <w:pPr>
        <w:pStyle w:val="Heading2"/>
      </w:pPr>
      <w:r>
        <w:t>906.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907.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2026:</w:t>
      </w:r>
      <w:r>
        <w:t xml:space="preserve"> Climate mitigation and adaptation strategies tailored for different types of European cities: a typology and associated systematic review — https://doi.org/10.1088/1748-9326/ae7e97</w:t>
      </w:r>
    </w:p>
    <w:p>
      <w:pPr/>
      <w:r>
        <w:rPr>
          <w:b/>
        </w:rPr>
        <w:t>Shared claim-specific concepts:</w:t>
      </w:r>
      <w:r>
        <w:t xml:space="preserve"> inertia, need, identify, challenges; EU scope visible. This is a provisional connection, not an outcome finding.</w:t>
      </w:r>
    </w:p>
    <w:p>
      <w:pPr>
        <w:pStyle w:val="SourceNote"/>
      </w:pPr>
      <w:r>
        <w:rPr>
          <w:b/>
        </w:rPr>
        <w:t>Available abstract (not full text):</w:t>
      </w:r>
      <w:r>
        <w:t xml:space="preserve"> Abstract Amidst escalating climate impacts and continued emissions, numerous case studies have examined how cities can mitigate and adapt to climate change. Yet, systematic cross-sectoral and cross-impact assessments that identify which climate actions are relevant to which types of cities remain limited. This study addresses this gap for Europe through a data-driven analysis of European cities, categorising them into four distinct city types ( Shrinking cities, Growing cities, Established cities, Metropolises ), quantitatively analysing their need and capacity to act on climate change, and providing a systematic overview of effective climate action strategies for each of these clusters. Based on harmonised data for all 1263 cities in Europe, we identify sectoral and climate impact hotspots requiring concerted climate action across the four city types. These include reducing building- and transport-related greenhouse gas emissions in Metropolises and Established cities , heat and drought risk in Growing cities , and flood risk in Shrinking cities . Drawing on the existing case study literature comprising 1613 climate action assessments, we provide context-specific recommendations for addressing these climate hotspots and unlocking co-benefits by overcoming reported implementation challenges such as limited finance, local governance capacity, behavioural inertia and distribution</w:t>
      </w:r>
    </w:p>
    <w:p>
      <w:pPr/>
      <w:r>
        <w:rPr>
          <w:b/>
        </w:rPr>
        <w:t>POSSIBLE 2026:</w:t>
      </w:r>
      <w:r>
        <w:t xml:space="preserve"> Institutional inertia and labor market adjustment in a late-reforming emerging economy — https://doi.org/10.14254/2071-789x.2026/19-2/3</w:t>
      </w:r>
    </w:p>
    <w:p>
      <w:pPr/>
      <w:r>
        <w:rPr>
          <w:b/>
        </w:rPr>
        <w:t>Shared claim-specific concepts:</w:t>
      </w:r>
      <w:r>
        <w:t xml:space="preserve"> inertia, need, identify; EU scope visible. This is a provisional connection, not an outcome finding.</w:t>
      </w:r>
    </w:p>
    <w:p>
      <w:pPr>
        <w:pStyle w:val="SourceNote"/>
      </w:pPr>
      <w:r>
        <w:rPr>
          <w:b/>
        </w:rPr>
        <w:t>Available abstract (not full text):</w:t>
      </w:r>
      <w:r>
        <w:t xml:space="preserve"> Structural transformation in emerging economies often proceeds without a clear movement of labor into high-productivity sectors. This paper examines that pattern through Uzbekistan, a late-reforming economy in Central Asia, and reads its labor market trajectory against the wider post-socialist experience, drawing on Kazakhstan and Poland as contextual benchmarks. Using shift-share decomposition together with matched domain-specific and pooled panel regressions, we identify the sectors that drove employment change and assess how the supply of graduates relates to sectoral labor absorption. Employment change has followed a mainly service-led path, with manufacturing playing only a limited role in net job creation. The link between education and employment is uneven across sectors. Absorption is stronger in a few knowledge-intensive and highly skilled activities and weaker across several broader training areas. This pattern raises the question of whether labor reallocation is productivity-enhancing and underscores the need to align the expansion of higher education with the changing structure of labor demand.</w:t>
      </w:r>
    </w:p>
    <w:p>
      <w:pPr/>
      <w:r>
        <w:rPr>
          <w:b/>
        </w:rPr>
        <w:t>POSSIBLE 2026:</w:t>
      </w:r>
      <w:r>
        <w:t xml:space="preserve"> How do collective identities influence sector‐wide digital transformations? Insights from the European cooperative sector — https://doi.org/10.1111/emre.70057</w:t>
      </w:r>
    </w:p>
    <w:p>
      <w:pPr/>
      <w:r>
        <w:rPr>
          <w:b/>
        </w:rPr>
        <w:t>Shared claim-specific concepts:</w:t>
      </w:r>
      <w:r>
        <w:t xml:space="preserve"> sector, perspective, focusing; EU scope visible. This is a provisional connection, not an outcome finding.</w:t>
      </w:r>
    </w:p>
    <w:p>
      <w:pPr>
        <w:pStyle w:val="SourceNote"/>
      </w:pPr>
      <w:r>
        <w:rPr>
          <w:b/>
        </w:rPr>
        <w:t>Available abstract (not full text):</w:t>
      </w:r>
      <w:r>
        <w:t xml:space="preserve"> Abstract This paper applies the multilevel perspective (MLP) theory to investigate how collective identities influence sector‐wide digital transformations, focusing on the cooperative sector in Europe. By employing a wide mix of primary and secondary data from platform and incumbent cooperatives, our analysis showed that collective identities facilitate sector‐wide digital transformations by mobilizing resources and enhancing the legitimacy of niche innovations. However, they can also act as a source of friction across the different phases theorized by the MLP. Drawing on these findings, we propose a novel framework that links the influence of collective identities with overarching narratives framing digital transformation as either a threat, an inevitable tendency, or an opportunity to reaffirm collective identities. In addition to expanding current theorization on the role of collective identities, narratives, and intermediaries in sociotechnical transitions, our analysis urges managers and intermediary organizations to take the lead on the co‐creation of sector‐specific digital transformation narratives, reconciling collective identities with transition processes (and vice versa).</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pStyle w:val="Heading2"/>
      </w:pPr>
      <w:r>
        <w:t>908.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2023:</w:t>
      </w:r>
      <w:r>
        <w:t xml:space="preserve"> Cards against gamification: Using a role-playing game to tell alternative futures in the gig economy — https://doi.org/10.1177/00380261231184755</w:t>
      </w:r>
    </w:p>
    <w:p>
      <w:pPr/>
      <w:r>
        <w:rPr>
          <w:b/>
        </w:rPr>
        <w:t>Shared claim-specific concepts:</w:t>
      </w:r>
      <w:r>
        <w:t xml:space="preserve"> several, cards, reach, beyond; EU scope not established. This is a provisional connection, not an outcome finding.</w:t>
      </w:r>
    </w:p>
    <w:p>
      <w:pPr>
        <w:pStyle w:val="SourceNote"/>
      </w:pPr>
      <w:r>
        <w:rPr>
          <w:b/>
        </w:rPr>
        <w:t>Available abstract (not full text):</w:t>
      </w:r>
      <w:r>
        <w:t xml:space="preserve"> The discussions on the future of work are pulled between technological optimism and the increasing concerns regarding the precarity brought about by the gig economy. Often, these scenarios fail to meaningfully engage and account for the workers’ experiences, whose agency in effectively shaping their working future is denied and obscured behind discourses of autonomy, entrepreneurship and individual responsibility. In the context of the increased use of gamification strategies by platforms to both monitor and incentivise couriers, this article examines the capacity of playful methods to act as effective forms of engagement and mobilisation amongst gig workers. A workshop with this aim was run online in April 2021, at the end of the third Covid lockdown in the UK, using a role-playing card game with food couriers in Manchester. It drew on ethnographic data to explore how to support empathy and solidarity amongst couriers, how to facilitate the creation of a shared pool of knowledge about the job and how to reconfigure other stakeholders’ roles to improve working conditions. We finally offer some ideas to take the game beyond the workshop space suggesting several pathways for the future: a face-to-face game using printed cards, an open-source version of the game and collaborating with trade unions to reach more couriers.</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pStyle w:val="Heading2"/>
      </w:pPr>
      <w:r>
        <w:t>909.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2026:</w:t>
      </w:r>
      <w:r>
        <w:t xml:space="preserve"> Patient satisfaction towards pharmacists’ services in the community pharmacies in the Hail region — https://doi.org/10.1371/journal.pone.0354731</w:t>
      </w:r>
    </w:p>
    <w:p>
      <w:pPr/>
      <w:r>
        <w:rPr>
          <w:b/>
        </w:rPr>
        <w:t>Shared claim-specific concepts:</w:t>
      </w:r>
      <w:r>
        <w:t xml:space="preserve"> three, community, pharmacists, health, all, pharmaceutical; EU scope not established. This is a provisional connection, not an outcome finding.</w:t>
      </w:r>
    </w:p>
    <w:p>
      <w:pPr>
        <w:pStyle w:val="SourceNote"/>
      </w:pPr>
      <w:r>
        <w:rPr>
          <w:b/>
        </w:rPr>
        <w:t>Available abstract (not full text):</w:t>
      </w:r>
      <w:r>
        <w:t xml:space="preserve"> OBJECTIVES: Research on patient satisfaction with community pharmacy services in Saudi Arabia has mostly concentrated on large cities, leaving a significant gap in understanding these services within the Hail region. Evaluating patient satisfaction in Hail is essential to address regional service gaps in privacy and counseling. Thus, this study was designed to assess the patient satisfaction with community pharmacy services in the Hail region. METHODS: This cross-sectional study targeting the community pharmacy visitors in Hail region was conducted among 200 participants for a duration of three months (i.e., from 14 June 2024-29 September 2024). Patient satisfaction was assessed by a reliable and valid questionnaire. The instrument consisted of 17 items; and all of them were 5-point Likert scale responses (Poor = 1, Fair = 2, Good = 3, Very good = 4, Excellent = 5). To guarantee diverse geographic representation, 20 community pharmacies were purposefully chosen from several Hail City districts. In order to achieve balanced sample across all sites, a total of 200 participants were recruited, with roughly 10 patients joined from each Pharmacy. The data was analyzed for descriptive statistics using the SPSS, version 29.0. RESULTS: The majority of the 200 participants in this study (mean age of 37.5 years) were married (60.5%) and male (56.5%). More than half had only completed hig</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2025:</w:t>
      </w:r>
      <w:r>
        <w:t xml:space="preserve"> Hypertension care: the knowledge and attitudes of the community pharmacists — https://doi.org/10.1080/20523211.2025.2544635</w:t>
      </w:r>
    </w:p>
    <w:p>
      <w:pPr/>
      <w:r>
        <w:rPr>
          <w:b/>
        </w:rPr>
        <w:t>Shared claim-specific concepts:</w:t>
      </w:r>
      <w:r>
        <w:t xml:space="preserve"> community, pharmacists, role, health, pharmaceutical, services; EU scope visible. This is a provisional connection, not an outcome finding.</w:t>
      </w:r>
    </w:p>
    <w:p>
      <w:pPr>
        <w:pStyle w:val="SourceNote"/>
      </w:pPr>
      <w:r>
        <w:rPr>
          <w:b/>
        </w:rPr>
        <w:t>Available abstract (not full text):</w:t>
      </w:r>
      <w:r>
        <w:t xml:space="preserve"> Background: Hypertension is a major global risk factor for cardiovascular disease and mortality. In Greece, prevalence is about 40%, with many cases undiagnosed or poorly managed. While doctors remain central to diagnosis and treatment, community pharmacists, as accessible healthcare professionals, can support early detection and ongoing management. This study assesses Greek community pharmacists' knowledge of hypertension detection and management, focusing on their ability to measure blood pressure accurately, categorise hypertension, and understand lifestyle factors. Methods: A cross-sectional survey was conducted with 92 community pharmacists in Greece, using a structured questionnaire to assess knowledge of blood pressure measurement, hypertension categorisation, and lifestyle influences. The instrument collected demographic data and responses on hypertension management practices. Data were gathered between December 2022 and April 2023 and analysed using SPSS v22. Results: The survey revealed moderate to good knowledge levels among pharmacists, particularly in blood pressure measurement (mean score: 71.74%, SD = 16.08) and hypertension categorisation (mean score: 76.9%, SD = 8.48). Knowledge about lifestyle impacts on blood pressure was lower (mean score: 53.57%, SD = 15.65). Younger pharmacists (26 36 years old) demonstrated significantly higher lifestyle impact knowledge </w:t>
      </w:r>
    </w:p>
    <w:p>
      <w:pPr>
        <w:pStyle w:val="Heading2"/>
      </w:pPr>
      <w:r>
        <w:t>910.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2024:</w:t>
      </w:r>
      <w:r>
        <w:t xml:space="preserve"> Introduction: the political philosophy of hope — https://doi.org/10.1080/13698230.2024.2344380</w:t>
      </w:r>
    </w:p>
    <w:p>
      <w:pPr/>
      <w:r>
        <w:rPr>
          <w:b/>
        </w:rPr>
        <w:t>Shared claim-specific concepts:</w:t>
      </w:r>
      <w:r>
        <w:t xml:space="preserve"> hope, about, role; EU scope not established. This is a provisional connection, not an outcome finding.</w:t>
      </w:r>
    </w:p>
    <w:p>
      <w:pPr>
        <w:pStyle w:val="SourceNote"/>
      </w:pPr>
      <w:r>
        <w:rPr>
          <w:b/>
        </w:rPr>
        <w:t>Available abstract (not full text):</w:t>
      </w:r>
      <w:r>
        <w:t xml:space="preserve"> Hope is in a twofold crises in Western societies: perceived as unavailable by some and as undesirable by others. Against this background, this introduction argues that there is a need to ask anew what (if anything) citizens should hope for. After some introductory remarks both about the current role of hope in the public arena and important developments in recent philosophical debates, I provide an overview of the contributions to the Special Issue. Through a variety of theoretical lenses and from a variety of theoretical backgrounds, the contributors systematically ask which hopes (if any) we should cultivate or whether it may sometimes be necessary to let go of certain hopes. While they agree that hope is indispensable as a way of dealing with our fragility and sustaining our resolve, it is not without dangers. What emerges is a profile of hope as a complex and ambivalent attitude that has so far received too little attention by political philosophers, despite its prominent and increasingly contested role in political practice.</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pStyle w:val="Heading2"/>
      </w:pPr>
      <w:r>
        <w:t>911.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show, area, significantly, but, remains, land;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pStyle w:val="Heading2"/>
      </w:pPr>
      <w:r>
        <w:t>912.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2026:</w:t>
      </w:r>
      <w:r>
        <w:t xml:space="preserve"> Assessment and Potential of Geothermal Energy in Romania: A Path to Sustainable Heating Solutions — https://doi.org/10.3390/eng7070361</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paper explores the underutilized potential of geothermal energy in Romania, focusing on both shallow and deep geothermal systems as sustainable alternatives for heating applications. Romania’s unique geological features, particularly the Pannonian Depression, offer significant geothermal resources, yet these remain largely untapped in many regions. This study presents an analysis of the country’s geothermal reservoirs, highlighting their spatial distribution, thermophysical properties, and technical potential. In-depth data on aquifer characteristics, including temperatures, depths, and capacities, supports a comprehensive assessment of the energy output achievable from these natural systems. Current applications of geothermal resources are reviewed, including successful projects in Oradea and Timiș County, which demonstrate the viability of geothermal systems for residential and commercial heating. Furthermore, this study discusses Romania’s regulatory landscape and incentive frameworks aligned with European Union standards, identifying key barriers and opportunities for growth. With a robust foundation of technical and spatial data, this paper underscores the strategic role geothermal energy can play in Romania’s transition to a low-carbon economy, supporting both environmental sustainability and energy resilience. The results demonstrate how geomatics-based resource mapp</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pStyle w:val="Heading2"/>
      </w:pPr>
      <w:r>
        <w:t>913.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2026:</w:t>
      </w:r>
      <w:r>
        <w:t xml:space="preserve"> Multi-Model Ensemble Approaches in Air Quality Prediction: A Comprehensive Review from Chemical Transport Models to Hybrid Machine Learning — https://doi.org/10.3390/atmos17070689</w:t>
      </w:r>
    </w:p>
    <w:p>
      <w:pPr/>
      <w:r>
        <w:rPr>
          <w:b/>
        </w:rPr>
        <w:t>Shared claim-specific concepts:</w:t>
      </w:r>
      <w:r>
        <w:t xml:space="preserve"> multi-model, ensemble, regional, high; EU scope visible. This is a provisional connection, not an outcome finding.</w:t>
      </w:r>
    </w:p>
    <w:p>
      <w:pPr>
        <w:pStyle w:val="SourceNote"/>
      </w:pPr>
      <w:r>
        <w:rPr>
          <w:b/>
        </w:rPr>
        <w:t>Available abstract (not full text):</w:t>
      </w:r>
      <w:r>
        <w:t xml:space="preserve"> Over the past two decades, air-quality prediction has moved from a mainly single-model paradigm toward ensemble systems that make explicit use of diversity across models, observations, and data streams. This review connects developments that are often treated separately: chemical transport model (CTM) ensembles, tree-based and hybrid machine learning ensembles, deep learning architectures, physics-informed neural networks, and distributed approaches such as federated learning. Evidence summarized from recent systematic reviews and coordinated modeling initiatives indicates that, within comparable validation settings, ensembles often outperform individual models for PM2.5, PM10, O3, NO2, CO, and SO2 across a broad range of spatial scales and standard error metrics, including RMSE, MAE, and correlation. Operational CTM ensembles, such as the Copernicus Atmosphere Monitoring Service (CAMS) European system with eleven regional models, improve both forecast skill and uncertainty characterization for ozone and particulate matter. In data-driven applications, tree-based ensembles (Random Forest, gradient boosting, XGBoost, LightGBM) and hybrid deep architectures (CNN–LSTM models, attention-based multi-branch networks, graph neural networks) now form a core part of the state of the art for AQI (Air Quality Index) and particulate-matter estimation from structured and multi-source data. </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r>
        <w:rPr>
          <w:b/>
        </w:rPr>
        <w:t>POSSIBLE 2025:</w:t>
      </w:r>
      <w:r>
        <w:t xml:space="preserve"> Multi-model ensemble of CMIP6 projections for past and future climate change on mean precipitation and temperature — https://doi.org/10.1186/s40068-025-00422-6</w:t>
      </w:r>
    </w:p>
    <w:p>
      <w:pPr/>
      <w:r>
        <w:rPr>
          <w:b/>
        </w:rPr>
        <w:t>Shared claim-specific concepts:</w:t>
      </w:r>
      <w:r>
        <w:t xml:space="preserve"> multi-model, ensemble, climate, projections, used, temperature; EU scope not established. This is a provisional connection, not an outcome finding.</w:t>
      </w:r>
    </w:p>
    <w:p>
      <w:pPr>
        <w:pStyle w:val="SourceNote"/>
      </w:pPr>
      <w:r>
        <w:rPr>
          <w:b/>
        </w:rPr>
        <w:t>Available abstract (not full text):</w:t>
      </w:r>
      <w:r>
        <w:t xml:space="preserve"> High-resolution climatic Projections are increasingly essential for informed decision-making and efficient adaptation and mitigation planning, especially in climatically sensitive regions such as the Baro River sub-basin in Ethiopia. This study applied station observation data with systematic bias correction utilizing quantile mapping. Historical and future climate trends were analyzed using multi-model ensembles from high-resolution Coupled Model Intercomparison Project phase 6 (CMIP6) under two Shared Socioeconomic Pathways (SSP2-4.5 and SSP5-8.5). The non-parametric Mann–Kendall test and Sen’s Slope estimator were used to detect trends in the 21st century. Historical records (1986–2014) reveal a distinct seasonal rainfall pattern, with peak rainfall occurring in July and August. Projections for the late 21st century (2081–2100) suggest significant increases in mean monthly rainfall by 20.6% (159.1 mm/month) under SSP2-4.5 and by 46.7% (193.5 mm/month) under SSP5-8.5 compared to the historical baseline (132.0 mm/month). Station-level analysis reveals pronounced spatial variability, with substantial increases in rainfall at Lare (+ 129.99%) and Gambella (+ 103.09%) under SSP5-8.5, while other stations show slight increases or even negative trends. Mean annual temperatures are projected to rise by up to 7.16% (reaching 23.69 °C) under SSP2-4.5 and by 18.83% (up to 26.27 °C) und</w:t>
      </w:r>
    </w:p>
    <w:p>
      <w:pPr/>
      <w:r>
        <w:rPr>
          <w:b/>
        </w:rPr>
        <w:t>POSSIBLE 2025:</w:t>
      </w:r>
      <w:r>
        <w:t xml:space="preserve"> Supplementary material to "A large transient multi-scenario multi-model ensemble of future streamflow and groundwater projections in France" — https://doi.org/10.5194/egusphere-2025-1788-supplement</w:t>
      </w:r>
    </w:p>
    <w:p>
      <w:pPr/>
      <w:r>
        <w:rPr>
          <w:b/>
        </w:rPr>
        <w:t>Shared claim-specific concepts:</w:t>
      </w:r>
      <w:r>
        <w:t xml:space="preserve"> multi-model, ensemble, climate, projections, estimate; EU scope visible. This is a provisional connection, not an outcome finding.</w:t>
      </w:r>
    </w:p>
    <w:p>
      <w:pPr>
        <w:pStyle w:val="SourceNote"/>
      </w:pPr>
      <w:r>
        <w:rPr>
          <w:b/>
        </w:rPr>
        <w:t>Available abstract (not full text):</w:t>
      </w:r>
      <w:r>
        <w:t xml:space="preserve"> A large transient multi-scenario and multi-model ensemble of future streamflow and groundwater projections in France developed in a national project named Explore2 was recently made available.The main objective of Explore2 is to provide rich and spatially-consistent information for the future evolution of hydrological (surface and groundwater) resources and extremes in France to support adaptation strategies.The Explore2 dataset was obtained using a nested multi-scenario 35 multi-model approach to estimate future uncertainty and to assess local climate at the catchment scale: three greenhouse gas</w:t>
      </w:r>
    </w:p>
    <w:p>
      <w:pPr>
        <w:pStyle w:val="Heading2"/>
      </w:pPr>
      <w:r>
        <w:t>914.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2026:</w:t>
      </w:r>
      <w:r>
        <w:t xml:space="preserve"> Anthropogenic aerosol forcing of European windstorms in CMIP6 climate models — https://doi.org/10.5194/nhess-26-4663-2026</w:t>
      </w:r>
    </w:p>
    <w:p>
      <w:pPr/>
      <w:r>
        <w:rPr>
          <w:b/>
        </w:rPr>
        <w:t>Shared claim-specific concepts:</w:t>
      </w:r>
      <w:r>
        <w:t xml:space="preserve"> validated, climate, three, decades; EU scope visible. This is a provisional connection, not an outcome finding.</w:t>
      </w:r>
    </w:p>
    <w:p>
      <w:pPr>
        <w:pStyle w:val="SourceNote"/>
      </w:pPr>
      <w:r>
        <w:rPr>
          <w:b/>
        </w:rPr>
        <w:t>Available abstract (not full text):</w:t>
      </w:r>
      <w:r>
        <w:t xml:space="preserve"> A recently developed set of historical storm reconstructions were extensively validated by insurance loss data and revealed how European windstorm damages were three times higher in the 1980s and '90s compared to a few decades before and since. A better understanding of these slower fluctuations could improve how this costly risk is managed. Here, we explore the impacts of anthropogenic aerosols (AA) on European property damage using results from DAMIP (Detection and Attribution Model Intercomparison Project) climate model experiments. Multimodel mean DAMIP results indicate AA boosted European wind losses by 45 % in the late 20th century relative to preindustrial times, with the signal varying from zero to 100 % between the six models. A validation of these modelling results using independent data from previous climate studies suggested the signal is more likely to be at the higher end of this range. While this evidence suggests AA forcing contributed significantly to recent multidecadal changes in European windstorm losses, there remains significant uncertainties in model responses and the observational data used in their validation. Further research would benefit those exposed to this hazard.</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Outpacing climate change: adaptation to heatwaves in Europe — https://doi.org/10.1007/s00484-025-02872-0</w:t>
      </w:r>
    </w:p>
    <w:p>
      <w:pPr/>
      <w:r>
        <w:rPr>
          <w:b/>
        </w:rPr>
        <w:t>Shared claim-specific concepts:</w:t>
      </w:r>
      <w:r>
        <w:t xml:space="preserve"> climate, observed, current;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Selecting CMIP6 models to assess the impact of climate change on energy need for heating and cooling in Europe — https://doi.org/10.1007/s00704-024-05263-4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The CMIP project has reached the end of its sixth phase, with a large set of simulations: 30 research entities, 40 different climate models, and 8 socio-economic scenarios. All the simulations represent a very large volume of data amounting to more than 30 Petabytes. The exploitation of all the simulations in impact studies would be extremely costly in computing time and storage. Moreover, these models suffer from several sources of uncertainties (coarse spatial resolution, physical parameterizations, ...) which produce large systematic biases when they are compared to observations. This study details an approach developed for the selection of a subset of simulations from the CMIP6 multi-model ensemble to assess the impact of climate change on the energy demand in Europe. At a climatic time scale, besides socio-economic factors, energy demand variability and evolution depend mainly on air temperature (and to a lesser extent, wind speed, and humidity). The developed process of selection combines two main criteria applied to the daily mean, maximum, and minimum air temperature from all CMIP6 simulations where these variables are available. The first one consists of choosing a subset of models that represents the whole range of possible temperature changes in the future compared to the historical climate. The second criterion considers the skills of the CMIP6 historical s</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2024:</w:t>
      </w:r>
      <w:r>
        <w:t xml:space="preserve"> How many drugs are repositioned each year in Europe? — https://doi.org/10.1111/jwip.12327</w:t>
      </w:r>
    </w:p>
    <w:p>
      <w:pPr/>
      <w:r>
        <w:rPr>
          <w:b/>
        </w:rPr>
        <w:t>Shared claim-specific concepts:</w:t>
      </w:r>
      <w:r>
        <w:t xml:space="preserve"> conclude, over, last, decades, use; EU scope visible. This is a provisional connection, not an outcome finding.</w:t>
      </w:r>
    </w:p>
    <w:p>
      <w:pPr>
        <w:pStyle w:val="SourceNote"/>
      </w:pPr>
      <w:r>
        <w:rPr>
          <w:b/>
        </w:rPr>
        <w:t>Available abstract (not full text):</w:t>
      </w:r>
      <w:r>
        <w:t xml:space="preserve"> Abstract For two decades, commentators have argued for law and policy reform to incentivise organisations to develop new indications for (already) authorised drugs, an area of drug development known as ‘repositioning’. In short, they argue that hurdles in patent and pharmaceutical law hinder repositioning and, therefore, reform is required to increase its use. Yet, these arguments are made primarily on anecdotes; the empirical evidence is scant. One foundational question is how many drugs are repositioned each year in Europe. This study develops a method to examine the number authorised each year. The results show a marked increase in repositioning over the last 3 years, and that the number per year is comparable, though slightly fewer than, the number of new compounds, indicating modest to higher‐than‐expected activity. This study considers what the results mean for four suggested reform options, including the EU Commission's recent proposal. We conclude that the reforms may not achieve their goals or that further evidence is required before we can know whether they will be effective. Lastly, this paper explains how the method and data in this study could serve as a benchmark for evaluating the success of future reforms.</w:t>
      </w:r>
    </w:p>
    <w:p>
      <w:pPr/>
      <w:r>
        <w:rPr>
          <w:b/>
        </w:rPr>
        <w:t>POSSIBLE 2024:</w:t>
      </w:r>
      <w:r>
        <w:t xml:space="preserve"> Environmental niche modelling of the Chinese pond mussel invasion in Europe under climate change scenarios — https://doi.org/10.37828/em.2024.72.20</w:t>
      </w:r>
    </w:p>
    <w:p>
      <w:pPr/>
      <w:r>
        <w:rPr>
          <w:b/>
        </w:rPr>
        <w:t>Shared claim-specific concepts:</w:t>
      </w:r>
      <w:r>
        <w:t xml:space="preserve"> climate, three; EU scope visible. This is a provisional connection, not an outcome finding.</w:t>
      </w:r>
    </w:p>
    <w:p>
      <w:pPr>
        <w:pStyle w:val="SourceNote"/>
      </w:pPr>
      <w:r>
        <w:rPr>
          <w:b/>
        </w:rPr>
        <w:t>Available abstract (not full text):</w:t>
      </w:r>
      <w:r>
        <w:t xml:space="preserve"> In this paper, we modelled the Chinese pond mussel distribution in the European subcontinent under the recent climatic conditions and two climate change scenarios. Using species records of Sinanodonta woodiana (Bivalvia: Unionidae) in Europe and a set of bioclimatic variables, we applied the maximum entropy approach provided by MaxEnt to build the species distribution models and investigate how each climatic variable affects the species distribution. We found that winter temperatures had the largest contribution to the species distribution in all three scenarios (recent, RCP 4.5, RCP 8.5). We applied the minimum training presence threshold, as a less stringent, and 10th percentile training presence threshold, as more stringent, to map the potential area of the species occurrence. The models show that the climatically optimal range, depicted by the stricter threshold, will be expanded eastwards under all three scenarios. At the same time, the area of minimally suitable environments, represented by the less stringent threshold, will be contracted in the future climate. The species distribution models highlight that the climatic conditions of the British Isles and the Azov-Kuban Lowland are the most suitable, among the uninvaded regions, for further S. woodiana invasion.</w:t>
      </w:r>
    </w:p>
    <w:p>
      <w:pPr>
        <w:pStyle w:val="Heading2"/>
      </w:pPr>
      <w:r>
        <w:t>915.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2026:</w:t>
      </w:r>
      <w:r>
        <w:t xml:space="preserve"> Coupling hydrological, geotechnical and machine learning models to enhance landslide prediction for an early warning system: application to Upper Garonne River Basin, Pyrenees, Spain — https://doi.org/10.1007/s10346-025-02685-7</w:t>
      </w:r>
    </w:p>
    <w:p>
      <w:pPr/>
      <w:r>
        <w:rPr>
          <w:b/>
        </w:rPr>
        <w:t>Shared claim-specific concepts:</w:t>
      </w:r>
      <w:r>
        <w:t xml:space="preserve"> coupling, hydrological, use, generated; EU scope visible. This is a provisional connection, not an outcome finding.</w:t>
      </w:r>
    </w:p>
    <w:p>
      <w:pPr>
        <w:pStyle w:val="SourceNote"/>
      </w:pPr>
      <w:r>
        <w:rPr>
          <w:b/>
        </w:rPr>
        <w:t>Available abstract (not full text):</w:t>
      </w:r>
      <w:r>
        <w:t xml:space="preserve"> Abstract Landslide Early Warning Systems (LEWS) aim to anticipate slope failures by identifying critical hydrometeorological conditions, but their accuracy is often limited by simplified approaches that do not fully capture subsurface hydrological processes. To strengthen planning and management strategies for landslide hazard-prone areas in alpine regions, we developed the SCLAM model, which integrates the SNOW-17 snowmelt model, the coupled routing and excess storage (CREST) hydrological model, and a landslide model that combines the infinite slope method with a random forest approach. The SCLAM model was validated in the Upper Garonne River Basin (Pyrenees, Spain), a region that experienced multiple-occurrence landslide events on 18 June 2013 due to intense rainfall and snowmelt. The SCLAM model showed fast performance, with an average accuracy of 75% in identifying landslide initiation areas at a 30-m pixel scale. Furthermore, a key innovation of this study is the use of the baseflow excess variable from the CREST model as an indicator of subsurface hydrological conditions. As a result, we proposed a prototype LEWS capable of representing landslide-prone areas both spatially and temporally. The baseflow excess variable proved to be a reliable temporal indicator of slope instability, enabling the system to identify potential landslide triggers and reduce the number of false </w:t>
      </w:r>
    </w:p>
    <w:p>
      <w:pPr/>
      <w:r>
        <w:rPr>
          <w:b/>
        </w:rPr>
        <w:t>POSSIBLE 2026:</w:t>
      </w:r>
      <w:r>
        <w:t xml:space="preserve"> Continental-scale prediction of hydrologic signatures and processes — https://doi.org/10.5194/hess-30-3647-2026</w:t>
      </w:r>
    </w:p>
    <w:p>
      <w:pPr/>
      <w:r>
        <w:rPr>
          <w:b/>
        </w:rPr>
        <w:t>Shared claim-specific concepts:</w:t>
      </w:r>
      <w:r>
        <w:t xml:space="preserve"> hydrological, climate, water; EU scope not established. This is a provisional connection, not an outcome finding.</w:t>
      </w:r>
    </w:p>
    <w:p>
      <w:pPr>
        <w:pStyle w:val="SourceNote"/>
      </w:pPr>
      <w:r>
        <w:rPr>
          <w:b/>
        </w:rPr>
        <w:t>Available abstract (not full text):</w:t>
      </w:r>
      <w:r>
        <w:t xml:space="preserve"> Abstract. Understanding how dominant hydrologic processes and their drivers vary across diverse continental-scale landscapes is critical for hydrologic modeling and water management applications. Our research addresses this question by synthesizing large-sample watershed datasets, Caravan and GAGES-II, and developing random forest models to identify patterns in hydrologic behavior. We assessed dominant processes by examining hydrologic signatures—summary indicators of watershed behavior derived from hydroclimatic time series and random forest models across 14,146 gauged U.S. watersheds. The results reveal clear continental-scale gradients in hydrologic processes, including baseflow, overland flow, storage, and water balance losses. Our map of dominant processes highlights, for example, the transition from baseflow to fast responses and back to baseflow along the elevation gradient from the Appalachian spine, through the Piedmont, to the Eastern Coastal Plain; a distinct outer ring around the Great Lakes region; and sharp contrasts between coastal and inland processes in the West. Variable importance analysis from random forest models show that processes in the western U.S. are primarily controlled by climate, whereas in the eastern U.S., soil, geology, and topography play larger roles, with distinct human influences apparent in urban areas. Our estimates of dominant processes a</w:t>
      </w:r>
    </w:p>
    <w:p>
      <w:pPr/>
      <w:r>
        <w:rPr>
          <w:b/>
        </w:rPr>
        <w:t>POSSIBLE 2026:</w:t>
      </w:r>
      <w:r>
        <w:t xml:space="preserve"> Correcting Structural Bias in Dynamical Models of Infectious Disease Using a Bayesian State-Space Framework — https://doi.org/10.1007/s11538-026-01730-3</w:t>
      </w:r>
    </w:p>
    <w:p>
      <w:pPr/>
      <w:r>
        <w:rPr>
          <w:b/>
        </w:rPr>
        <w:t>Shared claim-specific concepts:</w:t>
      </w:r>
      <w:r>
        <w:t xml:space="preserve"> use, account, uncertainty; EU scope not established. This is a provisional connection, not an outcome finding.</w:t>
      </w:r>
    </w:p>
    <w:p>
      <w:pPr>
        <w:pStyle w:val="SourceNote"/>
      </w:pPr>
      <w:r>
        <w:rPr>
          <w:b/>
        </w:rPr>
        <w:t>Available abstract (not full text):</w:t>
      </w:r>
      <w:r>
        <w:t xml:space="preserve"> Deterministic dynamical models are widely used in infectious disease modelling, but they often become systematically biased when key drivers such as seasonality and random environmental variation are simplified or omitted. This paper proposes a practical way to account for structural bias while preserving the underlying mechanistic model. We model the observed time series as the sum of (i) a deterministic transmission component given by a reduced Ross malaria model and (ii) a latent stochastic seasonal component that captures unresolved seasonal forcing and other unmodelled variability. The seasonal component is defined as a mean-reverting stochastic differential equation with periodic forcing, which can be interpreted as a seasonally forced Ornstein-Uhlenbeck (OU) process and, at the same time, as a dynamically constrained model-discrepancy term. The combined model forms an additive Bayesian state-space system. A key challenge in additive decompositions is identifiability: many combinations of the deterministic and stochastic components can explain the same observations. We therefore use informative priors to stabilise this decomposition, together with a non-centred parameterisation (a reparameterisation that improves MCMC efficiency by sampling standardised noise terms instead of states directly) of the latent stochastic differential equation (SDE) states that enables efficie</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pStyle w:val="Heading2"/>
      </w:pPr>
      <w:r>
        <w:t>916.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2026:</w:t>
      </w:r>
      <w:r>
        <w:t xml:space="preserve"> European and Turkish Soft Power Geostrategies in Azerbaijan and Turkmenistan — https://doi.org/10.1080/08865655.2026.2724558</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This article examines the European Union’s and Türkiye’s soft power in Azerbaijan and Turkmenistan by combining Joseph Nye’s concept of soft power together with William Walters’ framework of geostrategies. William Walters identifies four geostrategies that the EU employs toward its near border to manage the relationship between its internal and external spheres. Building on this, this article aims at a conceptual synthesis by integrating Joseph Nye’s soft power with William Walters’ geostrategies. Thus, this study suggests the concept of “soft power geostrategies” which uses Walters’ geostrategic categories as an operational tool for classifying soft power practices and, therefore, to identify the practical and spatial characteristics of the soft power policies of the actors. It outlines similarities and differences between these two actors through the method of most similar system design and uses directed qualitative content analysis of official documents, policy frameworks, institutional reports, parliamentary resolutions, political speeches, and strategy papers. The findings indicate that both the EU and Türkiye display outward-oriented forms of soft power policies, but with fundamentally different meanings: the EU dwells on normative principles such as democracy, human rights, and the rule of law, while Türkiye emphasizes cultural identity-based affinity.</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2025:</w:t>
      </w:r>
      <w:r>
        <w:t xml:space="preserve"> Methods to assess on-farm biosecurity in Europe and beyond — https://doi.org/10.1016/j.prevetmed.2025.106486</w:t>
      </w:r>
    </w:p>
    <w:p>
      <w:pPr/>
      <w:r>
        <w:rPr>
          <w:b/>
        </w:rPr>
        <w:t>Shared claim-specific concepts:</w:t>
      </w:r>
      <w:r>
        <w:t xml:space="preserve"> aim, assess, four; EU scope visible. This is a provisional connection, not an outcome finding.</w:t>
      </w:r>
    </w:p>
    <w:p>
      <w:pPr>
        <w:pStyle w:val="SourceNote"/>
      </w:pPr>
      <w:r>
        <w:rPr>
          <w:b/>
        </w:rPr>
        <w:t>Available abstract (not full text):</w:t>
      </w:r>
      <w:r>
        <w:t xml:space="preserve"> The aim of this study was to identify which biosecurity assessment methods (BAMs) are currently used in practice in animal farms. To address this, a structured questionnaire was developed to gather information such as the animal species, main objectives, type of enforcement, output generated and feedback of the result. In the context of the BETTER Cost Action project, country representatives identified in each of their countries which BAMs were used and completed an online survey. The survey was prepared and translated in 23 languages. Besides a descriptive analysis, clusters of BAMs were determined using a multiple correspondence analysis. Responses, collected between December 2022 and July 2023, included 74 BAMs used in 28 countries. Most of them were used in a single country while three were used in multiple countries. This study provides a comprehensive picture of existing BAMs and insights into their diversity, such as variations in objectives, implementation, evaluators, respondents, feedback, or assessment outputs. Moreover, we identified four BAMs clusters differentiated by their objective, evaluator and type of feedback provided. This study might also represent the basis for future research on strengths and weaknesses of different BAMs.</w:t>
      </w:r>
    </w:p>
    <w:p>
      <w:pPr/>
      <w:r>
        <w:rPr>
          <w:b/>
        </w:rPr>
        <w:t>POSSIBLE 2025:</w:t>
      </w:r>
      <w:r>
        <w:t xml:space="preserve"> Urgent call to the European Commission to simplify and contextualize IVDR Article 5.5 for tailored and precision diagnostics — https://doi.org/10.1515/cclm-2025-1033</w:t>
      </w:r>
    </w:p>
    <w:p>
      <w:pPr/>
      <w:r>
        <w:rPr>
          <w:b/>
        </w:rPr>
        <w:t>Shared claim-specific concepts:</w:t>
      </w:r>
      <w:r>
        <w:t xml:space="preserve"> article, assess, requirements; EU scope visible. This is a provisional connection, not an outcome finding.</w:t>
      </w:r>
    </w:p>
    <w:p>
      <w:pPr>
        <w:pStyle w:val="SourceNote"/>
      </w:pPr>
      <w:r>
        <w:rPr>
          <w:b/>
        </w:rPr>
        <w:t>Available abstract (not full text):</w:t>
      </w:r>
      <w:r>
        <w:t xml:space="preserve"> The European Commission (EC) started targeted evaluations and public consultations regarding the EU IVDR 2017/746 to assess its effectiveness, efficiency, relevance, and EU-added value. The goal is to identify implementation challenges and unintended consequences, experienced by either IVD-manufacturers that put CE-IVDs on the EU market or by medical laboratories that establish and operate in-house-IVDs (IH-IVDs) in their healthcare institution (network). Based on stakeholder feedback the EC aims to be informed about potential regulatory revisions by late 2025. As IH-IVDs, used in different modes, have a vital role in the EU healthcare system, the authors make the statement that Article 5.5 of the IVDR should be systemically amended, removing conditions (a) and (d) through (i) for in-house tests, while retaining conditions (b) and (c). Having the prime objectives of the IVDR in mind, i.e. patient safety and clinical utility, this opinion paper urges the EC to revise IVDR Article 5.5 to prevent disservices to patients and caregivers by taking into account available quality management infrastructure in ISO 15189:2022 accredited medical laboratories and guaranteed professionality of registered laboratory specialists, both already monitored at the level of the EU member states. By abandoning unnecessary, non-valuable requirements from Article 5.5 overregulation is prevented and the</w:t>
      </w:r>
    </w:p>
    <w:p>
      <w:pPr>
        <w:pStyle w:val="Heading2"/>
      </w:pPr>
      <w:r>
        <w:t>917.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r>
        <w:rPr>
          <w:b/>
        </w:rPr>
        <w:t>POSSIBLE 2025:</w:t>
      </w:r>
      <w:r>
        <w:t xml:space="preserve"> Policy Gaps and Opportunities in Bio-Based Plastics: Implications for Sustainable Food Packaging — https://doi.org/10.3390/foods14111955</w:t>
      </w:r>
    </w:p>
    <w:p>
      <w:pPr/>
      <w:r>
        <w:rPr>
          <w:b/>
        </w:rPr>
        <w:t>Shared claim-specific concepts:</w:t>
      </w:r>
      <w:r>
        <w:t xml:space="preserve"> packaging, implications, opportunities; EU scope visible. This is a provisional connection, not an outcome finding.</w:t>
      </w:r>
    </w:p>
    <w:p>
      <w:pPr>
        <w:pStyle w:val="SourceNote"/>
      </w:pPr>
      <w:r>
        <w:rPr>
          <w:b/>
        </w:rPr>
        <w:t>Available abstract (not full text):</w:t>
      </w:r>
      <w:r>
        <w:t xml:space="preserve"> The increasing use of bio-based and/or biodegradable plastics reflects a global push towards more sustainable materials. In the context of food packaging, where plastic waste and contamination risks are acute, these materials offer promising alternatives. However, the transition is complex, requiring coordinated regulatory interventions and lifecycle assessments (LCA) to avoid unintended environmental and health consequences. This paper outlines the pressing need for policies that guide the development and deployment of bio-based plastics in food-related applications. It provides a policy-oriented synthesis focused on Europe and discusses recent concerns such as toxicity, end-of-life impacts, and food safety. The study draws from the literature review and regulatory analysis to suggest policy mechanisms that can accelerate safe, circular solutions in food packaging. Methodologically, this communication uses qualitative synthesis of scientific and regulatory data to assess gaps and align innovations with sustainability targets.</w:t>
      </w:r>
    </w:p>
    <w:p>
      <w:pPr>
        <w:pStyle w:val="Heading2"/>
      </w:pPr>
      <w:r>
        <w:t>918.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2024:</w:t>
      </w:r>
      <w:r>
        <w:t xml:space="preserve"> Perceptions of stakeholders on nature-based solutions in urban planning: A thematic analysis in six European cities — https://doi.org/10.1016/j.ufug.2024.128344</w:t>
      </w:r>
    </w:p>
    <w:p>
      <w:pPr/>
      <w:r>
        <w:rPr>
          <w:b/>
        </w:rPr>
        <w:t>Shared claim-specific concepts:</w:t>
      </w:r>
      <w:r>
        <w:t xml:space="preserve"> stakeholders, lack; EU scope visible. This is a provisional connection, not an outcome finding.</w:t>
      </w:r>
    </w:p>
    <w:p>
      <w:pPr>
        <w:pStyle w:val="SourceNote"/>
      </w:pPr>
      <w:r>
        <w:rPr>
          <w:b/>
        </w:rPr>
        <w:t>Available abstract (not full text):</w:t>
      </w:r>
      <w:r>
        <w:t xml:space="preserve"> A commonly addressed aspect of urban planning involves the integration of nature-based solutions (NBS). Before applying NBS, acquiring stakeholders' viewpoints, e.g., city councils, local governments, and academia, contributes to the successful application and thus to mitigation of global challenges such as climate change, loss of biodiversity, water, and food scarcity. The present study explores how stakeholders across Europe view the role of NBS in urban planning. A thematic analysis was conducted to identify patterns, themes, and concepts within interview transcripts gathered through semi-structured interviews held in Budapest, Cordoba, Ljubljana, Reykjavik, Vienna, and Zurich. The study resulted in 107 distinctive codes categorized into NBS benefits, challenges, opportunities, NBS actors, and regulations. The frequency of codes (Fr) mentioned by the interviewees showed that NBS benefit cooperation (Fr=125) between individuals, while the most challenging issue obstructing NBS implementation was the lack of NBS knowledge (Fr=93). The need for green areas (Fr=42) was identified as an opportunity that could give rise to NBS applications. This study also provides practical recommendations to overcome some barriers when implementing NBS.</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pStyle w:val="Heading2"/>
      </w:pPr>
      <w:r>
        <w:t>919.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2024:</w:t>
      </w:r>
      <w:r>
        <w:t xml:space="preserve"> Perceived Motivators And Barriers To Facilitate Exercise Among Primary Care Clinic Patients — https://doi.org/10.1249/01.mss.0001058532.55230.b0</w:t>
      </w:r>
    </w:p>
    <w:p>
      <w:pPr/>
      <w:r>
        <w:rPr>
          <w:b/>
        </w:rPr>
        <w:t>Shared claim-specific concepts:</w:t>
      </w:r>
      <w:r>
        <w:t xml:space="preserve"> planning, exercise, four, healthcare, care; EU scope not established. This is a provisional connection, not an outcome finding.</w:t>
      </w:r>
    </w:p>
    <w:p>
      <w:pPr>
        <w:pStyle w:val="SourceNote"/>
      </w:pPr>
      <w:r>
        <w:rPr>
          <w:b/>
        </w:rPr>
        <w:t>Available abstract (not full text):</w:t>
      </w:r>
      <w:r>
        <w:t xml:space="preserve"> PURPOSE: To determine what patients’ needs are to facilitate regular exercise, including what they look for from their healthcare providers as well as their barriers and motivators to exercise. These are essential in implementing an effective intervention. METHODS: 371 patients (&gt;18 years) at four local primary care outpatient clinics completed an online anonymous survey consisting of 24 questions including demographics, medical conditions, IPAQ-short form, questions about exercise education by healthcare providers, and barriers and motivators to regular exercise. 268 complete responses were categorized into with chronic disease conditions (CC; n = 88) and without chronic disease conditions (NCC; n = 180) to compare how the needs and barriers to exercise differ. RESULTS: Survey respondents were mostly female (65%), Caucasian (92%), and with postsecondary education (86%). The most common perceived barriers to exercise were low motivation, low energy, and it takes too long. The most common perceived motivators to exercise were having a support system, planning and preparing for exercising in advance, having a partner to exercise with, tracking progress, and positive verbal affirmations. Most in both groups (98%) agreed exercise will improve their health. While the amount of physical activity and sitting hours were similar between groups, fewer CC (53%) believed they participated </w:t>
      </w:r>
    </w:p>
    <w:p>
      <w:pPr/>
      <w:r>
        <w:rPr>
          <w:b/>
        </w:rPr>
        <w:t>POSSIBLE 2024:</w:t>
      </w:r>
      <w:r>
        <w:t xml:space="preserve"> Attitudes towards air quality during outdoor exercise amongst habitual exercisers — https://doi.org/10.1002/ejsc.12194</w:t>
      </w:r>
    </w:p>
    <w:p>
      <w:pPr/>
      <w:r>
        <w:rPr>
          <w:b/>
        </w:rPr>
        <w:t>Shared claim-specific concepts:</w:t>
      </w:r>
      <w:r>
        <w:t xml:space="preserve"> exercise, different, living, state; EU scope not established. This is a provisional connection, not an outcome finding.</w:t>
      </w:r>
    </w:p>
    <w:p>
      <w:pPr>
        <w:pStyle w:val="SourceNote"/>
      </w:pPr>
      <w:r>
        <w:rPr>
          <w:b/>
        </w:rPr>
        <w:t>Available abstract (not full text):</w:t>
      </w:r>
      <w:r>
        <w:t xml:space="preserve"> The effects of air pollution on health outcomes are well-established. However, little is known about perceptions of air pollution and how it may influence exercise behaviours. The aim of this study was to understand the perceived importance of air pollution during planned exercise, and where relevant, explore how those perceptions may differ between those living in different locations. A questionnaire was disseminated to several running and cycling clubs in the United Kingdom, covering population characteristics to determine urban, rural or coastal residents and exercisers, self-reported asthma, perceptions of air quality during active travel, planned exercise and attitudes towards learning more about the topic. Anonymised responses were gained from 381 adult participants (≥18 years and 60% female), 119 of whom answered questions related to active travel. More than half (54%) of all respondents think about the air quality they are exposed to during exercise and how it may affect their health. More urban than rural respondents (59% vs. 47% and p = 0.03) think about air quality and the impact it may have on their health when exercising. There were insufficient coastal respondents for direct comparison. Most survey respondents (57%) state that they would take the most severe course of action regarding exercise behaviour by avoiding it altogether during periods of heavy road traffi</w:t>
      </w:r>
    </w:p>
    <w:p>
      <w:pPr>
        <w:pStyle w:val="Heading2"/>
      </w:pPr>
      <w:r>
        <w:t>920.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2026:</w:t>
      </w:r>
      <w:r>
        <w:t xml:space="preserve"> The Narrative Field Hypothesis: Four Engines of Agency — Choice, Belief, Narrative, and Grounding as Determinants of Individual and Systemic Outcomes — https://doi.org/10.5281/zenodo.20064264</w:t>
      </w:r>
    </w:p>
    <w:p>
      <w:pPr/>
      <w:r>
        <w:rPr>
          <w:b/>
        </w:rPr>
        <w:t>Shared claim-specific concepts:</w:t>
      </w:r>
      <w:r>
        <w:t xml:space="preserve"> four, narratives, time, each, narrative; EU scope not established. This is a provisional connection, not an outcome finding.</w:t>
      </w:r>
    </w:p>
    <w:p>
      <w:pPr>
        <w:pStyle w:val="SourceNote"/>
      </w:pPr>
      <w:r>
        <w:rPr>
          <w:b/>
        </w:rPr>
        <w:t>Available abstract (not full text):</w:t>
      </w:r>
      <w:r>
        <w:t xml:space="preserve"> This interdisciplinary theoretical paper introduces the Narrative Field Hypothesis (NFH), an integrative framework proposing that human agency emerges through the interaction of four interconnected domains: choice, belief, narrative, and grounding. Drawing from cognitive neuroscience, psychology, mindfulness research, narrative identity theory, and network science, the paper argues that these domains function together as reinforcing systems shaping behavioral trajectories, emotional regulation, and systemic resilience.The framework organizes these domains into four functional roles: the Director (choice and executive control), the Architect (belief and expectancy effects), the Author (narrative construction and identity formation), and the Conductor (grounding and attentional regulation). Rather than proposing metaphysical mechanisms, the paper situates each component within established empirical research involving executive function, placebo and expectancy effects, narrative identity, mindfulness, and default mode network regulation.A major focus of the study is the interaction between these systems. The paper argues that decision-making reinforced by expectation, coherent narrative identity, and attentional regulation may create positive feedback loops that stabilize cognition, improve emotional regulation, and increase behavioral coherence over time. The framework emphasizes</w:t>
      </w:r>
    </w:p>
    <w:p>
      <w:pPr/>
      <w:r>
        <w:rPr>
          <w:b/>
        </w:rPr>
        <w:t>POSSIBLE 2026:</w:t>
      </w:r>
      <w:r>
        <w:t xml:space="preserve"> The Ontology of Fiction: From Reality-Preserving Narrative to Reality-Dissolving Imagination — https://doi.org/10.5281/zenodo.19793558</w:t>
      </w:r>
    </w:p>
    <w:p>
      <w:pPr/>
      <w:r>
        <w:rPr>
          <w:b/>
        </w:rPr>
        <w:t>Shared claim-specific concepts:</w:t>
      </w:r>
      <w:r>
        <w:t xml:space="preserve"> four, developed, each, narrative; EU scope not established. This is a provisional connection, not an outcome finding.</w:t>
      </w:r>
    </w:p>
    <w:p>
      <w:pPr>
        <w:pStyle w:val="SourceNote"/>
      </w:pPr>
      <w:r>
        <w:rPr>
          <w:b/>
        </w:rPr>
        <w:t>Available abstract (not full text):</w:t>
      </w:r>
      <w:r>
        <w:t xml:space="preserve"> Fiction has long been treated under a binary that fails it: true or false, real or unreal, factual or invented. This paper argues that fiction is more adequately understood as a graded ontology of reality-disclosure. Drawing on phenomenology, possible-worlds theory, and the disclosure framework developed in earlier work, I propose a five-mode continuum running from reality-preserving narrative through reality-reconstruction, reality-transformation, and reality-suspension to reality-dissolving imagination. The five modes are not asserted as a typology but derived from a single structural principle: the conditions of intelligibility of a lived world can be subjected to graded narrative pressure across four parameters—physical-causal, biological-psychological, socio-institutional, and logico-modal—and the five modes are the characteristic regions of pressure on these parameters. Each mode names a different relation between the narrated world and the lived world, and a different kind of access to reality that fiction makes available to consciousness. The continuum is not a typology of genres but an ontological grammar: a way of asking, of any narrative, what mode of reality it discloses, what conditions of intelligibility it preserves or alters, and what cognitive comportment it solicits from the reader. The paper distinguishes its disclosure-theoretic approach sharply from possibl</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2025:</w:t>
      </w:r>
      <w:r>
        <w:t xml:space="preserve"> The role of narratives in interprofessional collaboration during organizational change: an ethnographic case study in general practice — https://doi.org/10.1108/jhom-12-2024-0512</w:t>
      </w:r>
    </w:p>
    <w:p>
      <w:pPr/>
      <w:r>
        <w:rPr>
          <w:b/>
        </w:rPr>
        <w:t>Shared claim-specific concepts:</w:t>
      </w:r>
      <w:r>
        <w:t xml:space="preserve"> four, narratives, time, narrative, issues, practice; EU scope visible. This is a provisional connection, not an outcome finding.</w:t>
      </w:r>
    </w:p>
    <w:p>
      <w:pPr>
        <w:pStyle w:val="SourceNote"/>
      </w:pPr>
      <w:r>
        <w:rPr>
          <w:b/>
        </w:rPr>
        <w:t>Available abstract (not full text):</w:t>
      </w:r>
      <w:r>
        <w:t xml:space="preserve"> PURPOSE: The purpose of the study is to understand the role of narratives in interprofessional collaboration during organizational change by exploring the interplay between emerging narratives of collaboration in organizational change and established myths of collaboration in general practices undergoing change. DESIGN/METHODOLOGY/APPROACH: An ethnographic collective case study approach was deployed. Four general practices participating in a complex mental health intervention in the Central Denmark Region were used as cases. Ethnographic observations in the practices as well as one-person interviews and focus group interviews with clinic owners, staff and patients were used to collect data. FINDINGS: The study identified three narrative topics: Time, management and support. The topic of time illustrated how the narratives of change and the organizational myths sometimes varied profoundly, which created collaborative issues. The topic of management showed how narratives in some cases existed among different professional groups, which led to misunderstandings and conflicts. The topic of support demonstrated how the new narrative in the organizational process of change in some situations coexisted perfectly with the more established organizational myth. ORIGINALITY/VALUE: The study offers a new perspective to the field of narrative organizational research in healthcare by explorin</w:t>
      </w:r>
    </w:p>
    <w:p>
      <w:pPr>
        <w:pStyle w:val="Heading2"/>
      </w:pPr>
      <w:r>
        <w:t>921.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Surrogate Modelling of Range Shift Dynamics — https://doi.org/10.2139/ssrn.7428748</w:t>
      </w:r>
    </w:p>
    <w:p>
      <w:pPr/>
      <w:r>
        <w:rPr>
          <w:b/>
        </w:rPr>
        <w:t>Shared claim-specific concepts:</w:t>
      </w:r>
      <w:r>
        <w:t xml:space="preserve"> range, shift, dynamics;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Violent competitions over human rights and universalism: Europe and North Africa in the long 19th century — https://doi.org/10.1177/00472441261491842</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Based on cases from the history of North Africa, the main approach here is to consider Europe in the long 19th century – from the second half of the 18th century to the interwar period – as a place that claims not only to be the cradle of universal values and human rights but also as a place that attempts to monopolise what these so-called universal values and rights were by determining to whom these rights applied. The second section of the article aims to demonstrate that this European and, above all, French claim to formulate and embody universal rights, despite originating violent processes of domination, has been contested in various ways across North Africa.</w:t>
      </w:r>
    </w:p>
    <w:p>
      <w:pPr/>
      <w:r>
        <w:rPr>
          <w:b/>
        </w:rPr>
        <w:t>POSSIBLE 2026:</w:t>
      </w:r>
      <w:r>
        <w:t xml:space="preserve"> Habitat-specific trends in taxonomic, functional, and phylogenetic diversity in European plant communities over a century — https://doi.org/10.1038/s41467-026-72112-5</w:t>
      </w:r>
    </w:p>
    <w:p>
      <w:pPr/>
      <w:r>
        <w:rPr>
          <w:b/>
        </w:rPr>
        <w:t>Shared claim-specific concepts:</w:t>
      </w:r>
      <w:r>
        <w:t xml:space="preserve"> here, over, century; EU scope visible. This is a provisional connection, not an outcome finding.</w:t>
      </w:r>
    </w:p>
    <w:p>
      <w:pPr>
        <w:pStyle w:val="SourceNote"/>
      </w:pPr>
      <w:r>
        <w:rPr>
          <w:b/>
        </w:rPr>
        <w:t>Available abstract (not full text):</w:t>
      </w:r>
      <w:r>
        <w:t xml:space="preserve"> Despite widespread concern over global biodiversity loss, the balance between gains and losses within local plant communities remains contentious, largely due to a scarcity of integrative, long-term and large-scale analyses across different habitats and multiple facets of biodiversity. Here, we analyse 57,390 vegetation-plot time series of vascular plants across Europe to quantify the average and habitat-specific trends in taxonomic, functional, phylogenetic, and gamma diversity, alongside with changes in threatened Red List, non-native, and specialist versus generalist species. We find that, over the last 100 years, plant communities gained on average 0.7% in vegetation cover and 0.2% in species number per year, associated with gains in functional and phylogenetic diversity, non-native, Red List, and generalist species. Diversity changes are most pronounced in mire and wetland communities. Differences among habitat types and habitat-change trajectory (stable, successional, disturbed), together with the most recent observation year, explain 2.1%-36.6% of the variation in diversity trends. Habitat-specific gamma diversity showed no general trends and only increased in stable grasslands and successional sparsely vegetated habitats. By integrating habitat types and change trajectories, we reconcile some of the conflicting narratives on local biodiversity change in favour of a more</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r>
        <w:rPr>
          <w:b/>
        </w:rPr>
        <w:t>POSSIBLE 2024:</w:t>
      </w:r>
      <w:r>
        <w:t xml:space="preserve"> A Host Tree and Its Specialist Insects: Black Locust (Robinia pseudoacacia) Availability Largely Determines the Future Range Dynamics of Its Specialist Insects in Europe — https://doi.org/10.3390/insects15100765</w:t>
      </w:r>
    </w:p>
    <w:p>
      <w:pPr/>
      <w:r>
        <w:rPr>
          <w:b/>
        </w:rPr>
        <w:t>Shared claim-specific concepts:</w:t>
      </w:r>
      <w:r>
        <w:t xml:space="preserve"> here, range, dynamics, climate; EU scope visible. This is a provisional connection, not an outcome finding.</w:t>
      </w:r>
    </w:p>
    <w:p>
      <w:pPr>
        <w:pStyle w:val="SourceNote"/>
      </w:pPr>
      <w:r>
        <w:rPr>
          <w:b/>
        </w:rPr>
        <w:t>Available abstract (not full text):</w:t>
      </w:r>
      <w:r>
        <w:t xml:space="preserve"> Black locust is the only host of Robinia-specialist insects in Europe. However, no study to date has examined future range shifts of specialist insects, and the relative effects of host plant availability and other factors on their range shifts. Here, we characterized the future range shifts in the host and its four specialist insects and the factors contributing to changes in their ranges. We detected substantial range expansions in all target species. Climate predictors and host plant availability were expected to have the strongest effects on the range shifts in the host and its specialist insects, respectively, suggesting that the specialist insects will track the ranges of their host. Parectopa robiniella showed the largest potential and expanding ranges and should be made a priority species for controlling invasions of Robinia-specialist insects in Europe. The expanding ranges of all specialist species were largely identified in the United Kingdom, Germany, and France, suggesting that these should be priority regions for mitigating their effects on ecosystems. Reducing future climate change is essential for preventing the spreading of specialist insects in Europe since specialist insects track their specialist host plants, and host range expansions are mainly driven by future climate changes.</w:t>
      </w:r>
    </w:p>
    <w:p>
      <w:pPr>
        <w:pStyle w:val="Heading2"/>
      </w:pPr>
      <w:r>
        <w:t>922.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2026:</w:t>
      </w:r>
      <w:r>
        <w:t xml:space="preserve"> Immigration, Innovation, and the Geography of Growth — https://doi.org/10.3386/w35392</w:t>
      </w:r>
    </w:p>
    <w:p>
      <w:pPr/>
      <w:r>
        <w:rPr>
          <w:b/>
        </w:rPr>
        <w:t>Shared claim-specific concepts:</w:t>
      </w:r>
      <w:r>
        <w:t xml:space="preserve"> mass, migration, international, between; EU scope not established. This is a provisional connection, not an outcome finding.</w:t>
      </w:r>
    </w:p>
    <w:p>
      <w:pPr>
        <w:pStyle w:val="SourceNote"/>
      </w:pPr>
      <w:r>
        <w:rPr>
          <w:b/>
        </w:rPr>
        <w:t>Available abstract (not full text):</w:t>
      </w:r>
      <w:r>
        <w:t xml:space="preserve"> Between 1880 and 1920, more than 20 million immigrants settled in the United States. We study how this migration wave affected innovation and growth. Using a newly constructed dataset linking individual census records to historical immigration records and the universe of US patents, we highlight a new channel through which immigrants contributed to growth: they disproportionately settled in urban innovation hubs. To quantify the aggregate and regional effects of this mass migration episode, we develop a new spatial growth model in which skilled workers have a comparative advantage in innovation and sort endogenously across space. We find that international arrivals after 1880 raised US income per capita by 8.2% by 1940. Removing the subsequent immigration restrictions of the 1920s would have raised income per capita by a further 1.7% by 2000. Immigrants' skill composition and their concentration in urban hubs are key drivers of these effects. Institutional subscribers to the NBER working paper series, and residents of developing countries may download this paper without additional charge at www.nber.org.</w:t>
      </w:r>
    </w:p>
    <w:p>
      <w:pPr/>
      <w:r>
        <w:rPr>
          <w:b/>
        </w:rPr>
        <w:t>POSSIBLE 2026:</w:t>
      </w:r>
      <w:r>
        <w:t xml:space="preserve"> Sharp Signed Mass and Rigidity for Critical Finsler--Liouville Equations — https://doi.org/10.48550/arxiv.2610.26930</w:t>
      </w:r>
    </w:p>
    <w:p>
      <w:pPr/>
      <w:r>
        <w:rPr>
          <w:b/>
        </w:rPr>
        <w:t>Shared claim-specific concepts:</w:t>
      </w:r>
      <w:r>
        <w:t xml:space="preserve"> mass, estimate; EU scope not established. This is a provisional connection, not an outcome finding.</w:t>
      </w:r>
    </w:p>
    <w:p>
      <w:pPr>
        <w:pStyle w:val="SourceNote"/>
      </w:pPr>
      <w:r>
        <w:rPr>
          <w:b/>
        </w:rPr>
        <w:t>Available abstract (not full text):</w:t>
      </w:r>
      <w:r>
        <w:t xml:space="preserve"> We study bounded-above entire solutions of critical Finsler--Liouville equations with a possibly sign-changing prescribed function and finite absolute mass. Under a lower cone-growth condition, we establish a sharp signed-mass bound without upper growth or monotonicity assumptions. With an additional growth condition, annular compactness for a sequence of dilations yields Pohozaev boundary limits and rigidity for radially nonincreasing prescribed functions. Explicit examples show that the rigidity threshold is optimal. In the Euclidean plane, the mass estimate also gives a sharp obstruction to completeness.</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2025:</w:t>
      </w:r>
      <w:r>
        <w:t xml:space="preserve"> Phenomenon of mass migration during the famine years: existential experiences in the kazakh worldview — https://doi.org/10.31489/2025hph1/321-329</w:t>
      </w:r>
    </w:p>
    <w:p>
      <w:pPr/>
      <w:r>
        <w:rPr>
          <w:b/>
        </w:rPr>
        <w:t>Shared claim-specific concepts:</w:t>
      </w:r>
      <w:r>
        <w:t xml:space="preserve"> mass, migration, purpose; EU scope not established. This is a provisional connection, not an outcome finding.</w:t>
      </w:r>
    </w:p>
    <w:p>
      <w:pPr>
        <w:pStyle w:val="SourceNote"/>
      </w:pPr>
      <w:r>
        <w:rPr>
          <w:b/>
        </w:rPr>
        <w:t>Available abstract (not full text):</w:t>
      </w:r>
      <w:r>
        <w:t xml:space="preserve"> In 1932-1933, as a result of the famine in the USSR, there was a tragic transition from the Kazakh land to near and far countries. As a result of the sedentarization, the Kazakh people not only underwent a transfor-mation of their national identity, traditions, and original spirit, formed over many centuries, but also as a na-tion, they were on the verge of disappearing from the historical scene of humanity. The “Great relocation”who migrated to the countries of the near and far abroad are distinguished by their difficulties. It is necessary to take into account the traditions and customs of other countries, to get used to the language and mentality, to find work in a foreign place, which caused significant contradictions. However, thanks to perseverance and the vast majority of descendants returned to their native land. The article describes the problems of rapid re-location that took place as a result of the struggle of the Kazakh people for existence and the consequences of the famine years. Special attention was also paid to the mass migration of the Kazakh country, which as a na-tion is on the verge of total extinction, especially from the consequences of famine to other countries. Alt-hough the phenomenon of mass migration during the famine years has been studied in the historical field, there is no philosophical discussion. Therefore, the study of the existential nature </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pStyle w:val="Heading2"/>
      </w:pPr>
      <w:r>
        <w:t>923.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2025:</w:t>
      </w:r>
      <w:r>
        <w:t xml:space="preserve"> Improving the performance of concrete for bridge structures — https://doi.org/10.58224/2618-7183-2025-8-6-2</w:t>
      </w:r>
    </w:p>
    <w:p>
      <w:pPr/>
      <w:r>
        <w:rPr>
          <w:b/>
        </w:rPr>
        <w:t>Shared claim-specific concepts:</w:t>
      </w:r>
      <w:r>
        <w:t xml:space="preserve"> concrete, reduction, providing, developed; EU scope not established. This is a provisional connection, not an outcome finding.</w:t>
      </w:r>
    </w:p>
    <w:p>
      <w:pPr>
        <w:pStyle w:val="SourceNote"/>
      </w:pPr>
      <w:r>
        <w:rPr>
          <w:b/>
        </w:rPr>
        <w:t>Available abstract (not full text):</w:t>
      </w:r>
      <w:r>
        <w:t xml:space="preserve"> Concrete for ambitious engineering projects, including bridges, must meet certain requirements related to strength, water resistance, frost resistance and plasticity. The objective of the article is to improve the efficiency of concrete for bridge structures. The compositions of high-strength building composites have been optimized with a reduction in the proportion of the clinker component. The densest packing of filler particles has been achieved, providing a self-compacting effect during hardening. The compositions of building composites have been optimized at the macro-, micro- and nanolevels to obtain a high-density matrix packing and increase the strength of the composite (including taking into account the granulometric analysis of fillers and the choice of superplasticizer). New properties of high-strength building composites (rheology of highly concentrated dispersed systems, shrinkage deformations, workability, setting time, etc.) have been studied. The results of fresh properties of the developed mixtures showed their compliance with the P5 grade, which indicates that they have good transportability to the place of manufacture of bridge structures. The study of the physical and mechanical characteristics of cement composites (average density, porosity, compressive and bending strength, elastic modulus, frost resistance, shrinkage, Poisson's ratio) showed that the obta</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2023:</w:t>
      </w:r>
      <w:r>
        <w:t xml:space="preserve"> Concrete with glass powder as a partial replacement for cement — https://doi.org/10.1063/5.0144626</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The cement companies manufacture a substantial amount of carbon dioxide, aninfluential greenhouse-gas that contributes to global warming. Cement manufacturing generates greenhouse gases both intrinsically and extrinsically: direct CO2 emissions occur during heating from limestone, while indirect CO2 emissions occur during the burning of fossil fuels used to heat the kiln. The cement business contributes around 8% of worldwide co2 Emissions, making this a key industry in terms of determine the precise reduction efforts. This research examines the feasibility of utilizing glass powder as a partial substitute for cement in compositions (10 %, 20 percent%, 30 percent%, 40 % and 50 %). The compressive split tensile strength among these compositions were determined after 7, 14, and twenty-eight days of complete curing, and findings of the same were associated to those of normal concrete. We discovered that replacing 20% of the glass powder with cement resulted in a 23 percent increase in strength, whereas replacing 30% and 40% of the component resulted in the same strength as M25. The composition usage of glass powder in the concrete reduces the cement consumption which inturn reduces the global warming effect and is also environmentally friendly.</w:t>
      </w:r>
    </w:p>
    <w:p>
      <w:pPr>
        <w:pStyle w:val="Heading2"/>
      </w:pPr>
      <w:r>
        <w:t>924.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2026:</w:t>
      </w:r>
      <w:r>
        <w:t xml:space="preserve"> Developing a new digital vision for rangeland grazing systems — https://doi.org/10.1093/af/vfag009</w:t>
      </w:r>
    </w:p>
    <w:p>
      <w:pPr/>
      <w:r>
        <w:rPr>
          <w:b/>
        </w:rPr>
        <w:t>Shared claim-specific concepts:</w:t>
      </w:r>
      <w:r>
        <w:t xml:space="preserve"> sustainability, develop, economy, there; EU scope visible. This is a provisional connection, not an outcome finding.</w:t>
      </w:r>
    </w:p>
    <w:p>
      <w:pPr>
        <w:pStyle w:val="SourceNote"/>
      </w:pPr>
      <w:r>
        <w:rPr>
          <w:b/>
        </w:rPr>
        <w:t>Available abstract (not full text):</w:t>
      </w:r>
      <w:r>
        <w:t xml:space="preserve"> Identifying appropriate digital technologies is crucial to help address rangeland agricultural challenges A rangeland farm hub can help highlight how best to integrate environmental management into rangeland livestock systems A rangeland farm hub allows the development of approaches and metrics to quantify the benefits of implementing agricultural and environmental solutions A digital vision may increase the socio-ecological viability of rangeland livestock systems and support their resilience to ongoing climate change Globally, rangeland grazing systems account for the majority of grazing lands (Reid et al., 2008) and more than half of the total land, with over 200 million people raising livestock in pastoral and agro-pastoral grazing systems. In Europe, a large proportion (59%) of these lands are classed as less favored areas (LFA—Article 2 of EU Council Directive No. 75/268/EEC) or areas of natural constraints [Article 32 of Regulation (EU) No. 1305/2013]. Although the primary function of many of these areas is to produce food and fiber, they are also rich in natural and semi-natural vegetation and support species and habitats, often with high conservation value, whose persistence is totally or partially dependent on the maintenance of specific low-intensity farming systems (Lomba et al., 2023). Moreover, across Europe, many rangeland areas are currently under pressure from </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2025:</w:t>
      </w:r>
      <w:r>
        <w:t xml:space="preserve"> Harnessing large vision and language models in agriculture: a review — https://doi.org/10.3389/fpls.2025.1579355</w:t>
      </w:r>
    </w:p>
    <w:p>
      <w:pPr/>
      <w:r>
        <w:rPr>
          <w:b/>
        </w:rPr>
        <w:t>Shared claim-specific concepts:</w:t>
      </w:r>
      <w:r>
        <w:t xml:space="preserve"> review, explore, key; EU scope not established. This is a provisional connection, not an outcome finding.</w:t>
      </w:r>
    </w:p>
    <w:p>
      <w:pPr>
        <w:pStyle w:val="SourceNote"/>
      </w:pPr>
      <w:r>
        <w:rPr>
          <w:b/>
        </w:rPr>
        <w:t>Available abstract (not full text):</w:t>
      </w:r>
      <w:r>
        <w:t xml:space="preserve"> Introduction: Agriculture is a cornerstone of human society but faces significant challenges, including pests, diseases, and the need for increased production efficiency. Large models, encompassing large language models, large vision models, and multimodal large language models, have shown transformative potential in various domains. This review aims to explore the potential applications of these models in agriculture to address existing problems and improve production. Methods: We conduct a systematic review of the development trajectories and key capabilities of large models. A bibliometric analysis of literature from Web of Science and arXiv is performed to quantify the current research focus and identify the gap between the potential and the application of large models in the agricultural sector. Results: Our analysis confirms that agriculture is an emerging but currently underrepresented field for large model research. Nevertheless, we identify and categorize promising applications, including tailored models for agricultural question-answering, robotic automation, and advanced image analysis from remote sensing and spectral data. These applications demonstrate significant potential to solve complex, nuanced agricultural tasks. Discussion: This review culminates in a pragmatic framework to guide the choice between large and traditional models, balancing data availability ag</w:t>
      </w:r>
    </w:p>
    <w:p>
      <w:pPr/>
      <w:r>
        <w:rPr>
          <w:b/>
        </w:rPr>
        <w:t>POSSIBLE 2025:</w:t>
      </w:r>
      <w:r>
        <w:t xml:space="preserve"> Machine vision in manufacturing SMEs: a review — https://doi.org/10.1007/s42452-025-06923-4</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Abstract Automating manufacturing tasks, such as quality control, fault detection, part classification, and inventory management with machine vision systems can significantly improve process efficiency, accuracy, and productivity. As a result, the machine vision technology market is expanding, largely driven by its applications in manufacturing across both hardware and software sectors. Nevertheless, small- and medium-sized enterprises (SMEs) face distinct challenges in the implementation of such systems due to their human, technical, and organizational constraints. An overview of the current state of research and practical insights is essential to address these constraints and guide future developments. Although some surveys and interviews have been conducted, no comprehensive review outlines scientific literature on research methods and initiatives related to the characteristics and challenges of adopting machine vision systems in industrial SMEs. Therefore, we present a systematic literature review to identify applications, challenges and proposed approaches for machine vision and its adoption in industrial SMEs, analyzing 770 articles. The review highlights quality control as the prominent application, while primary challenges for SMEs include limited investment capacity, labor and expertise shortages, and high-variety, low-volume production, which often leads to insufficie</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2023:</w:t>
      </w:r>
      <w:r>
        <w:t xml:space="preserve"> Global and regional prevalence of multimorbidity in the adult population in community settings: a systematic review and meta-analysis — https://doi.org/10.1016/j.eclinm.2023.101860</w:t>
      </w:r>
    </w:p>
    <w:p>
      <w:pPr/>
      <w:r>
        <w:rPr>
          <w:b/>
        </w:rPr>
        <w:t>Shared claim-specific concepts:</w:t>
      </w:r>
      <w:r>
        <w:t xml:space="preserve"> review, recent, needed, there; EU scope visible. This is a provisional connection, not an outcome finding.</w:t>
      </w:r>
    </w:p>
    <w:p>
      <w:pPr>
        <w:pStyle w:val="SourceNote"/>
      </w:pPr>
      <w:r>
        <w:rPr>
          <w:b/>
        </w:rPr>
        <w:t>Available abstract (not full text):</w:t>
      </w:r>
      <w:r>
        <w:t xml:space="preserve"> Background: Knowing the prevalence of multimorbidity among adults across continents is a crucial piece of information for achieving Sustainable Development Goal 3.4, which calls for reducing premature death due to non-communicable diseases. A high prevalence of multimorbidity indicates high mortality and increased healthcare utilization. We aimed to understand the prevalence of multimorbidity across WHO geographic regions among adults. Methods: statistics. We performed subgroup analyses and sensitivity analyses based on continents, age, gender, multimorbidity definition, study periods and sample size. The study protocol was registered with PROSPERO (CRD42020150945). Findings: We analyzed data from 126 peer-reviewed studies that included nearly 15.4 million people (32.1% were male) with a weighted mean age of 56.94 years (standard deviation of 10.84 years) from 54 countries around the world. The overall global prevalence of multimorbidity was 37.2% (95% CI = 34.9-39.4%). South America (45.7%, 95% CI = 39.0-52.5) had the highest prevalence of multimorbidity, followed by North America (43.1%, 95% CI = 32.3-53.8%), Europe (39.2%, 95% CI = 33.2-45.2%), and Asia (35%, 95% CI = 31.4-38.5%). The subgroup study highlights that multimorbidity is more prevalent in females (39.4%, 95% CI = 36.4-42.4%) than males (32.8%, 95% CI = 30.0-35.6%). More than half of the adult population worldwide</w:t>
      </w:r>
    </w:p>
    <w:p>
      <w:pPr/>
      <w:r>
        <w:rPr>
          <w:b/>
        </w:rPr>
        <w:t>POSSIBLE 2023:</w:t>
      </w:r>
      <w:r>
        <w:t xml:space="preserve"> Computer vision-based hand gesture recognition for human-robot interaction: a review — https://doi.org/10.1007/s40747-023-01173-6</w:t>
      </w:r>
    </w:p>
    <w:p>
      <w:pPr/>
      <w:r>
        <w:rPr>
          <w:b/>
        </w:rPr>
        <w:t>Shared claim-specific concepts:</w:t>
      </w:r>
      <w:r>
        <w:t xml:space="preserve"> review, life, there; EU scope not established. This is a provisional connection, not an outcome finding.</w:t>
      </w:r>
    </w:p>
    <w:p>
      <w:pPr>
        <w:pStyle w:val="SourceNote"/>
      </w:pPr>
      <w:r>
        <w:rPr>
          <w:b/>
        </w:rPr>
        <w:t>Available abstract (not full text):</w:t>
      </w:r>
      <w:r>
        <w:t xml:space="preserve"> Abstract As robots have become more pervasive in our daily life, natural human-robot interaction (HRI) has had a positive impact on the development of robotics. Thus, there has been growing interest in the development of vision-based hand gesture recognition for HRI to bridge human-robot barriers. The aim is for interaction with robots to be as natural as that between individuals. Accordingly, incorporating hand gestures in HRI is a significant research area. Hand gestures can provide natural, intuitive, and creative methods for communicating with robots. This paper provides an analysis of hand gesture recognition using both monocular cameras and RGB-D cameras for this purpose. Specifically, the main process of visual gesture recognition includes data acquisition, hand gesture detection and segmentation, feature extraction and gesture classification, which are discussed in this paper. Experimental evaluations are also reviewed. Furthermore, algorithms of hand gesture recognition for human-robot interaction are examined in this study. In addition, the advances required for improvement in the present hand gesture recognition systems, which can be applied for effective and efficient human-robot interaction, are discussed.</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pStyle w:val="Heading2"/>
      </w:pPr>
      <w:r>
        <w:t>925.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2024:</w:t>
      </w:r>
      <w:r>
        <w:t xml:space="preserve"> Gap-filling techniques applied to the GOCI-derived daily sea surface salinity product for the Changjiang diluted water front in the East China Sea — https://doi.org/10.5194/essd-16-3193-2024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spatial and temporal resolutions of contemporary microwave-based sea surface salinity (SSS) measurements are insufficient. Thus, we developed gap-free gridded daily SSS product with high spatial and temporal resolutions, which can provide information on short-term variability in the East China Sea (ECS), such as the front changes by Changjiang diluted water (CDW). Specifically, we conducted gap-filling for daily SSS products based on the Geostationary Ocean Color Imager (GOCI) with a spatial resolution of 1 km (0.01°), using a machine learning approach during the summer season from 2015 to 2019. The comparison of the Soil Moisture Active Passive (SMAP), Copernicus Marine Environment Monitoring Service (CMEMS), and Hybrid Coordinate Ocean Model (HYCOM) SSS products with the GOCI-derived SSS over the entire SSS range showed that the SMAP SSS was highly consistent, whereas the HYCOM SSS was the least consistent. In the &lt;31 psu range, the SMAP SSS was still the most consistent with the GOCI-derived SSS (R2 = 0.46; root mean squared error: RMSE = 2.41 psu); in the &gt;31 psu range, the CMEMS and HYCOM SSS products showed similar levels of agreement with that of the SMAP SSS. We trained and tested three machine learning models—the find trees, boosted trees, and bagged trees models—using the daily GOCI-derived SSS as the ground truth, while including the three SSS products,</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pStyle w:val="Heading2"/>
      </w:pPr>
      <w:r>
        <w:t>926.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2026:</w:t>
      </w:r>
      <w:r>
        <w:t xml:space="preserve"> Evaluating launcher options for Europe in a world of Starship — https://doi.org/10.1016/j.actaastro.2026.01.018</w:t>
      </w:r>
    </w:p>
    <w:p>
      <w:pPr/>
      <w:r>
        <w:rPr>
          <w:b/>
        </w:rPr>
        <w:t>Shared claim-specific concepts:</w:t>
      </w:r>
      <w:r>
        <w:t xml:space="preserve"> concludes, evaluation; EU scope visible. This is a provisional connection, not an outcome finding.</w:t>
      </w:r>
    </w:p>
    <w:p>
      <w:pPr>
        <w:pStyle w:val="SourceNote"/>
      </w:pPr>
      <w:r>
        <w:rPr>
          <w:b/>
        </w:rPr>
        <w:t>Available abstract (not full text):</w:t>
      </w:r>
      <w:r>
        <w:t xml:space="preserve"> As soon as the SpaceX Starship &amp; SuperHeavy launcher configuration is operationally available it likely will cause a fundamental shift to space transportation. In a first step, the paper provides a thorough technical analysis of Starship's estimated capabilities in its early operational phase, based on independent modeling with openly available data. The main part of the paper is dedicated to the technical evaluation of European options for serving a roughly similar payload class above 20 Mg up to approaching 100 Mg in single launch to LEO. A launcher system analysis looks into Ariane 6 evolution options and explores the technical limits based on the assumption of expendable stages. A significantly better performance perspective can be achieved through a completely new architecture. In case of these new architecture launchers, all first stages are reusable and exclusively liquid cryogenic propellants are chosen. Fully reusable configurations have been addressed in the small ESA-funded PROTEIN-study for which some complementary concepts are summarized. The different launcher options show a broad range in payload performance. As these diverse vehicles come with significantly different cost, the NRC and RC are modeled for reasonable European heavy-lift transportation scenarios. The paper concludes with a comparative evaluation of main technical characteristics of the launch vehicl</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2025:</w:t>
      </w:r>
      <w:r>
        <w:t xml:space="preserve"> Participation as a pathway to procedural justice: A review of energy initiatives across eight European countries — https://doi.org/10.1016/j.erss.2025.103982</w:t>
      </w:r>
    </w:p>
    <w:p>
      <w:pPr/>
      <w:r>
        <w:rPr>
          <w:b/>
        </w:rPr>
        <w:t>Shared claim-specific concepts:</w:t>
      </w:r>
      <w:r>
        <w:t xml:space="preserve"> transition, pathway, participation, people, three; EU scope visible. This is a provisional connection, not an outcome finding.</w:t>
      </w:r>
    </w:p>
    <w:p>
      <w:pPr>
        <w:pStyle w:val="SourceNote"/>
      </w:pPr>
      <w:r>
        <w:rPr>
          <w:b/>
        </w:rPr>
        <w:t>Available abstract (not full text):</w:t>
      </w:r>
      <w:r>
        <w:t xml:space="preserve"> The engagement of citizens in the energy transition through a variety of energy initiatives is an important component of a just energy transition. Through analyses of 378 energy initiatives, along with 81 interviews with energy professionals across eight European countries, including Austria, Bulgaria, Greece, Germany, Italy, Norway, Switzerland, and Türkiye, we examine how and in what ways these initiatives address justice outcomes. Specifically, we look at citizen participation as an avenue to procedural justice, which may enable forms or distributional and recognitional justice as well. We critically examine the different forms of citizen engagement put forward by such initiatives, classifying such initiatives into three types: i) demand side action, ii) supply side action and iii) political action. While all forms of engagement are instrumental, the latter two attach greater importance to collective actions and the political agency of individuals. For demand side actions, we find that people tend to be reduced to economic actors subject to top-down directives, given agency in the privacy of their homes through atomized, individual action. Supply side initiatives, like energy communities, may encourage increased citizen involvement, yet they may not fully reflect the ideals of collective political action. Direct participation in shaping energy policies is found to be an aven</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pStyle w:val="Heading2"/>
      </w:pPr>
      <w:r>
        <w:t>927.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2024:</w:t>
      </w:r>
      <w:r>
        <w:t xml:space="preserve"> Circular transformation of the European steel industry renders scrap metal a strategic resource — https://doi.org/10.48550/arxiv.2406.12098</w:t>
      </w:r>
    </w:p>
    <w:p>
      <w:pPr/>
      <w:r>
        <w:rPr>
          <w:b/>
        </w:rPr>
        <w:t>Shared claim-specific concepts:</w:t>
      </w:r>
      <w:r>
        <w:t xml:space="preserve"> every, additional, recently, estimated; EU scope visible. This is a provisional connection, not an outcome finding.</w:t>
      </w:r>
    </w:p>
    <w:p>
      <w:pPr>
        <w:pStyle w:val="SourceNote"/>
      </w:pPr>
      <w:r>
        <w:rPr>
          <w:b/>
        </w:rPr>
        <w:t>Available abstract (not full text):</w:t>
      </w:r>
      <w:r>
        <w:t xml:space="preserve"> The steel industry is a major contributor to CO2 emissions, accounting for 7% of global emissions. The European steel industry is seeking to reduce its emissions by increasing the use of electric arc furnaces (EAFs), which can produce steel from scrap, marking a major shift towards a circular steel economy. Here, we show by combining trade with business intelligence data that this shift requires a deep restructuring of the global and European scrap trade, as well as a substantial scaling of the underlying business ecosystem. We find that the scrap imports of European countries with major EAF installations have steadily decreased since 2007 while globally scrap trade started to increase recently. Our statistical modelling shows that every 1,000 tonnes of EAF capacity installed is associated with an increase in annual imports of 550 tonnes and a decrease in annual exports of 1,000 tonnes of scrap, suggesting increased competition for scrap metal as countries ramp up their EAF capacity. Furthermore, each scrap company enables an increase of around 79,000 tonnes of EAF-based steel production per year in the EU. Taking these relations as causal and extrapolating to the currently planned EAF capacity, we find that an additional 730 (SD 140) companies might be required, employing about 35,000 people (IQR 29,000-50,000) and generating an additional estimated turnover of USD 35 billion </w:t>
      </w:r>
    </w:p>
    <w:p>
      <w:pPr>
        <w:pStyle w:val="Heading2"/>
      </w:pPr>
      <w:r>
        <w:t>928.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2025:</w:t>
      </w:r>
      <w:r>
        <w:t xml:space="preserve"> International Conventions to Reduce Methane Emissions from Kyoto to Baku — https://doi.org/10.56334/sei/8.2.16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International efforts to reduce methane emissions have evolved significantly from the Kyoto Protocol to recent initiatives like the Global Methane Pledge and discussions in Baku. The Kyoto Protocol (1997) was the first treaty to recognize methane as a greenhouse gas, while the Montreal Protocol indirectly contributed to its reduction. The UNFCCC has facilitated ongoing dialogues about methane, leading to the Global Methane Pledge in 2021, aiming for a 30% reduction by 2030. The Baku Process (2022) further emphasized collaboration and monitoring in the oil and gas sector. Regional initiatives, particularly in the EU and North America, also target methane emissions, reflecting a growing commitment to addressing this potent greenhouse gas in climate strategies</w:t>
      </w:r>
    </w:p>
    <w:p>
      <w:pPr/>
      <w:r>
        <w:rPr>
          <w:b/>
        </w:rPr>
        <w:t>POSSIBLE 2025:</w:t>
      </w:r>
      <w:r>
        <w:t xml:space="preserve"> Enhanced Indian Sign Language Detection — https://doi.org/10.55041/ijsrem49874</w:t>
      </w:r>
    </w:p>
    <w:p>
      <w:pPr/>
      <w:r>
        <w:rPr>
          <w:b/>
        </w:rPr>
        <w:t>Shared claim-specific concepts:</w:t>
      </w:r>
      <w:r>
        <w:t xml:space="preserve"> result, overall; EU scope not established. This is a provisional connection, not an outcome finding.</w:t>
      </w:r>
    </w:p>
    <w:p>
      <w:pPr>
        <w:pStyle w:val="SourceNote"/>
      </w:pPr>
      <w:r>
        <w:rPr>
          <w:b/>
        </w:rPr>
        <w:t>Available abstract (not full text):</w:t>
      </w:r>
      <w:r>
        <w:t xml:space="preserve"> Abstract - The communication problem involving members of society who have speech and hearing impairments is still not fully resolved. In an earlier study, we created a real-time Indian Sign Language (ISL) recognition system which uses LSTM architecture for sequential gesture recognition. The focus of this paper is on further improving this system by changing the architecture from LSTM to CNN to enhance spatial feature extraction and overall system performance. Using a more comprehensive ISL dataset, we trained and tested the model and added new advanced preprocessing techniques such as Gaussian blur and converting the images to grayscale. These modifications improved the accuracy of the model and reduced the processing power needed, allowing for more advanced, rapid, and reliable real-time ISL gesture recognition. The result of this study is in the direction of making available an effective, simple, and easy-to-use technological interface for the deaf and hearing-impaired people in India. Keywords: Indian Sign Language (ISL), Gesture Recognition, Convolutional Neural Networks (CNNs), Real-time Communication, Image Preprocessing, Gaussian Blur, Grayscale Conversion, Sign Language Translation, Computer Vision, Human-Computer Interaction (HCI), Deep Learning</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2024:</w:t>
      </w:r>
      <w:r>
        <w:t xml:space="preserve"> A review of Global Carbon Markets from Kyoto to Paris and beyond: the persistent failure of implementation — https://doi.org/10.3389/fenvs.2024.1368105</w:t>
      </w:r>
    </w:p>
    <w:p>
      <w:pPr/>
      <w:r>
        <w:rPr>
          <w:b/>
        </w:rPr>
        <w:t>Shared claim-specific concepts:</w:t>
      </w:r>
      <w:r>
        <w:t xml:space="preserve"> kyoto, agreement, carbon, different; EU scope not established. This is a provisional connection, not an outcome finding.</w:t>
      </w:r>
    </w:p>
    <w:p>
      <w:pPr>
        <w:pStyle w:val="SourceNote"/>
      </w:pPr>
      <w:r>
        <w:rPr>
          <w:b/>
        </w:rPr>
        <w:t>Available abstract (not full text):</w:t>
      </w:r>
      <w:r>
        <w:t xml:space="preserve"> This review article provides a comprehensive multidisciplinary and in-depth analysis of how the idea of Global Carbon Markets (GCM) has evolved from the Kyoto Protocol to the Paris Agreement and the post-Paris Agreement period (2015–2022) and why no real consensus has been reached after 25 years of negotiations, based on the categorisation of different arguments from different authors. We apply a semi-systematic review to 32 scientific articles, special reports, and relevant websites to analyse the failure in reaching international consensus on GCM. We apply three dichotomies, market vs. non-market-based approaches, top-down vs. bottom-up and national vs. international level. There are two striking findings. First (out of the articles that can easily be placed along all three dichotomies), there is an overwhelming majority of articles combining market-based, top-down, and international level explanations. This is however countered by a second finding, namely, that there is also a clear historical trend which is unlikely to change away from top-down and towards bottom-up approaches since the Paris agreement, combined with a movement towards more non-market-based and national approaches.</w:t>
      </w:r>
    </w:p>
    <w:p>
      <w:pPr/>
      <w:r>
        <w:rPr>
          <w:b/>
        </w:rPr>
        <w:t>POSSIBLE 2024:</w:t>
      </w:r>
      <w:r>
        <w:t xml:space="preserve"> Simple Three-Round Multiparty Schnorr Signing with Full Simulatability — https://doi.org/10.62056/a36c0l5vt</w:t>
      </w:r>
    </w:p>
    <w:p>
      <w:pPr/>
      <w:r>
        <w:rPr>
          <w:b/>
        </w:rPr>
        <w:t>Shared claim-specific concepts:</w:t>
      </w:r>
      <w:r>
        <w:t xml:space="preserve"> result, signing, different; EU scope not established. This is a provisional connection, not an outcome finding.</w:t>
      </w:r>
    </w:p>
    <w:p>
      <w:pPr>
        <w:pStyle w:val="SourceNote"/>
      </w:pPr>
      <w:r>
        <w:rPr>
          <w:b/>
        </w:rPr>
        <w:t>Available abstract (not full text):</w:t>
      </w:r>
      <w:r>
        <w:t xml:space="preserve"> In a multiparty signing protocol, also known as a threshold signature scheme, the private signing key is shared amongst a set of parties and only a quorum of those parties can generate a signature. Research on multiparty signing has been growing in popularity recently due to its application to cryptocurrencies. Most work has focused on reducing the number of rounds to two, and as a result: (a) are not fully simulatable in the sense of MPC real/ideal security definitions, and/or (b) are not secure under concurrent composition, and/or (c) utilize non-standard assumptions of different types in their proofs of security. In this paper, we describe a simple three-round multiparty protocol for Schnorr signatures that is secure for any number of corrupted parties; i.e., in the setting of a dishonest majority. The protocol is fully simulatable, secure under concurrent composition, and proven secure in the standard model or random-oracle model (depending on the instantiations of the commitment and zero-knowledge primitives). The protocol realizes an ideal Schnorr signing functionality with perfect security in the ideal commitment and zero-knowledge hybrid model (and thus the only assumptions needed are for realizing these functionalities). In our presentation, we do not assume that all parties begin with the message to be signed, the identities of the participating parties and a unique c</w:t>
      </w:r>
    </w:p>
    <w:p>
      <w:pPr>
        <w:pStyle w:val="Heading2"/>
      </w:pPr>
      <w:r>
        <w:t>929.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2026:</w:t>
      </w:r>
      <w:r>
        <w:t xml:space="preserve"> The European Commission and Dissensus over Liberal Democracy — https://doi.org/10.1007/978-3-032-22481-1_15</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Abstract As guardian of the EU treaties, the European Commission has a key role to play in order to uphold the rule of law, and therefore also finds itself at the forefront when it comes to dissensus over liberal democracy in the Union. The Commission, in order to protect core European values as enshrined in Article 2 TEU, has a number of instruments at its disposal, ranging from soft law such as the rule of law framework and annual reports to binding and indeed punitive sanctions such as infringement procedures, the general regime of conditionality, and the budgetary horizontal enabling conditions. Against this background, the chapter examines the internal and inter-institutional tensions surrounding the Commission’s role in responding to encroachments on liberal democracy. The chapter starts with a review of the Commission’s formal powers pursuant to the EU treaties, its composition and role in the EU’s polity and the mechanisms established to ensure the institution’s internal cohesion, before proceeding to compare and contrast the Commission’s role with respect to two specific crises confronted by the EU over the past decade: the sovereign debt crisis in the Eurozone and the Rule of Law crisis. The chapter concludes that while the Commission’s principled commitment to the values of liberal democracy remains deeply entrenched, there is a significant degree of ambivalence in t</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930.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2021:</w:t>
      </w:r>
      <w:r>
        <w:t xml:space="preserve"> Land Management for Socially Integrative Cities in Europe — https://doi.org/10.3390/books978-3-03936-679-8-4</w:t>
      </w:r>
    </w:p>
    <w:p>
      <w:pPr/>
      <w:r>
        <w:rPr>
          <w:b/>
        </w:rPr>
        <w:t>Shared claim-specific concepts:</w:t>
      </w:r>
      <w:r>
        <w:t xml:space="preserve"> fact, planning; EU scope visible. This is a provisional connection, not an outcome finding.</w:t>
      </w:r>
    </w:p>
    <w:p>
      <w:pPr>
        <w:pStyle w:val="SourceNote"/>
      </w:pPr>
      <w:r>
        <w:rPr>
          <w:b/>
        </w:rPr>
        <w:t>Available abstract (not full text):</w:t>
      </w:r>
      <w:r>
        <w:t xml:space="preserve"> Since the Joint Declaration on "The EU-China Partnership on Urbanisation" in 2012, there has been a rapidly growing number of systematic joint research activities on sustainable urbanisation between European and Chinese partners.The "EU-China Sustainable Urbanisation Flagship Initiative" identified four priority areas of mutual interest for EU-China research and innovation collaboration, i.e., sustainable development and urban planning, nature-based solutions for cities, green urban mobility and sustainable energy solutions for cities.Within this framework, the TRANS-URBAN-EU-CHINA research and innovation action started in 2018 with two parallel objectives.On the one hand, it aimed to support policy makers, urban authorities, real estate developers, public service providers and citizens in China to create socially integrative cities in an environmentally friendly and financially viable way.On the other hand, it aimed to help urban stakeholders in Europe to reflect and eventually reconsider their own approaches towards sustainable urbanisation.Real-world methods, instruments and good practice examples from Europe and China, e.g., in terms of social inclusiveness, cultural dynamics, environmental friendliness and economic viability, constituted a basis for comparative analysis.Fourteen project partners of excellence conducted the project.With eight European and six Chinese expert</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2018:</w:t>
      </w:r>
      <w:r>
        <w:t xml:space="preserve"> Emergence and spread of highly pathogenic avian influenza A(H5N8) in Europe in 2016-2017 — https://doi.org/10.1111/tbed.12861</w:t>
      </w:r>
    </w:p>
    <w:p>
      <w:pPr/>
      <w:r>
        <w:rPr>
          <w:b/>
        </w:rPr>
        <w:t>Shared claim-specific concepts:</w:t>
      </w:r>
      <w:r>
        <w:t xml:space="preserve"> fact, poses, planning; EU scope visible. This is a provisional connection, not an outcome finding.</w:t>
      </w:r>
    </w:p>
    <w:p>
      <w:pPr>
        <w:pStyle w:val="SourceNote"/>
      </w:pPr>
      <w:r>
        <w:rPr>
          <w:b/>
        </w:rPr>
        <w:t>Available abstract (not full text):</w:t>
      </w:r>
      <w:r>
        <w:t xml:space="preserve"> Circulation of highly pathogenic avian influenza (HPAI) viruses poses a continuous threat to animal and public health. After the 2005-2006 H5N1 and the 2014-2015 H5N8 epidemics, another H5N8 is currently affecting Europe. Up to August 2017, 1,112 outbreaks in domestic and 955 in wild birds in 30 European countries have been reported, the largest epidemic by a HPAI virus in the continent. Here, the main epidemiological findings are described. While some similarities with previous HPAI virus epidemics were observed, for example in the pattern of emergence, significant differences were also patent, in particular the size and extent of the epidemic. Even though no human infections have been reported to date, the fact that A/H5N8 has affected so far 1,112 domestic holdings, increases the risk of exposure of humans and therefore represents a concern. Understanding the epidemiology of HPAI viruses is essential for the planning future surveillance and control activities.</w:t>
      </w:r>
    </w:p>
    <w:p>
      <w:pPr>
        <w:pStyle w:val="Heading2"/>
      </w:pPr>
      <w:r>
        <w:t>931.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2026:</w:t>
      </w:r>
      <w:r>
        <w:t xml:space="preserve"> Point and Probabilistic Forecasts for Day-Ahead Battery Scheduling — https://doi.org/10.5445/ir/1000189295</w:t>
      </w:r>
    </w:p>
    <w:p>
      <w:pPr/>
      <w:r>
        <w:rPr>
          <w:b/>
        </w:rPr>
        <w:t>Shared claim-specific concepts:</w:t>
      </w:r>
      <w:r>
        <w:t xml:space="preserve"> forecasts, point, system; EU scope not established. This is a provisional connection, not an outcome finding.</w:t>
      </w:r>
    </w:p>
    <w:p>
      <w:pPr>
        <w:pStyle w:val="SourceNote"/>
      </w:pPr>
      <w:r>
        <w:rPr>
          <w:b/>
        </w:rPr>
        <w:t>Available abstract (not full text):</w:t>
      </w:r>
      <w:r>
        <w:t xml:space="preserve"> The global energy transition towards renewable energy sources (RES) poses challenges due to their inherent uncertainty, which reduces the energy system's flexibility and stability. Battery energy storage systems (BESS) offer a solution by increasing flexibility and making aggregated RES and loads dispatchable, enabling them to meet day-ahead dispatch schedules communicated with the grid through effective BESS management. This concept is implemented in a so-called dispatchable feeder (DF), which represents a system consisting of RES generation, loads, and a BESS, working together as a single controllable unit. The operation of the DF is formulated as a stochastic optimisation problem (OP) using forecasts of RES generation and loads as inputs. This thesis focuses on two main aspects affecting the performance of the DF: the forecasts and the mathematical formulation of the OP. In the first half of this thesis, the impact of different point forecasts with different characteristics on the performance of the DF via the so-called forecast value is investigated. Using a dataset of 300 residential buildings, the results show that the forecast characteristics affect the performance of the DF depending on problem-specific parameters. Based on these results, a meta-learning framework is proposed that automates the selection of the value-oriented forecast for the DF. The evaluation shows th</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2025:</w:t>
      </w:r>
      <w:r>
        <w:t xml:space="preserve"> Time Series Forecasting — https://openalex.org/W7112084374</w:t>
      </w:r>
    </w:p>
    <w:p>
      <w:pPr/>
      <w:r>
        <w:rPr>
          <w:b/>
        </w:rPr>
        <w:t>Shared claim-specific concepts:</w:t>
      </w:r>
      <w:r>
        <w:t xml:space="preserve"> forecasts, point, present; EU scope not established. This is a provisional connection, not an outcome finding.</w:t>
      </w:r>
    </w:p>
    <w:p>
      <w:pPr>
        <w:pStyle w:val="SourceNote"/>
      </w:pPr>
      <w:r>
        <w:rPr>
          <w:b/>
        </w:rPr>
        <w:t>Available abstract (not full text):</w:t>
      </w:r>
      <w:r>
        <w:t xml:space="preserve"> The evolving landscape of the energy industry has heightened the demand for precise consumption forecasting tools, traditionally concentrated on electricity. However, the geopolitical significance of natural gas has propelled the need for forecasting tools in the gas sector. This thesis addresses the criticality of accurate forecasting in the natural gas and electricity domains, which helps to overcome logistical and operation optimization challenges. The thesis proposes a methodology focused on multi-step forecasting, which is based on machine and deep learning algorithms tailored for forecasting tasks in the energy domain. The methodology is evaluated on real-world datasets, demonstrating its effectiveness in handling complex forecasting tasks. Comparative experiments between traditional statistical models and machine learning and deep learning approaches reveal the superiority of machine learning models in terms of accuracy for forecasts of natural gas and electricity consumption. Deep learning models present intermediate results between machine learning- and statistical-based models, suggesting their potential as alternatives to traditional machine learning approaches. However, relying on longer input sequences poses a challenge. In contrast, machine learning methods, while requiring less input data, rely more on engineered features, allowing the incorporation of domain kno</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r>
        <w:rPr>
          <w:b/>
        </w:rPr>
        <w:t>POSSIBLE 2024:</w:t>
      </w:r>
      <w:r>
        <w:t xml:space="preserve"> Advanced Energy Forecasting Using IoT - Enabled SCADA Systems — https://doi.org/10.31224/4012</w:t>
      </w:r>
    </w:p>
    <w:p>
      <w:pPr/>
      <w:r>
        <w:rPr>
          <w:b/>
        </w:rPr>
        <w:t>Shared claim-specific concepts:</w:t>
      </w:r>
      <w:r>
        <w:t xml:space="preserve"> enabled, goal, system; EU scope not established. This is a provisional connection, not an outcome finding.</w:t>
      </w:r>
    </w:p>
    <w:p>
      <w:pPr>
        <w:pStyle w:val="SourceNote"/>
      </w:pPr>
      <w:r>
        <w:rPr>
          <w:b/>
        </w:rPr>
        <w:t>Available abstract (not full text):</w:t>
      </w:r>
      <w:r>
        <w:t xml:space="preserve"> With the substantial increase in global renewable energy production, real-time data has become essential for the efficient management of these resources particularly offshore and distant installations. A supervisory control and data acquisition system is a system that sends individual messages or directives to the external world. In this research paper, we introduce a SCADA system integrated with the Internet of Things (IoT) to monitor a hybrid system that includes hydropower, solar energy, wind, and tidal power. It provides a range of control functions for supervisors to manage and configure settings effectively. The goal is to achieve energy autonomy and promote sustainable economic growth. This technology makes it easier to administer the warning system, data logging, data monitoring and control system, and generated capacity, among other features of the station’s information. Additionally, a data packet and WiFi analyzer are used to measure the communication parameters and overall performance of the Internet of Things-based SCADA system. In addition, historical energy generation data is used to evaluate and identify what factors are impacting the output of hydropower stations. This data is then utilized to forecast the production levels for the upcoming year through the application of time series analysis.</w:t>
      </w:r>
    </w:p>
    <w:p>
      <w:pPr>
        <w:pStyle w:val="Heading2"/>
      </w:pPr>
      <w:r>
        <w:t>932.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Statistical and comparative characteristics of the efficiency of the judicial systems of european countries (based on materials of the European Commission for the efficiency of justice – CEPEJ) — https://doi.org/10.37566/2707-6849-2024-3(48)-2</w:t>
      </w:r>
    </w:p>
    <w:p>
      <w:pPr/>
      <w:r>
        <w:rPr>
          <w:b/>
        </w:rPr>
        <w:t>Shared claim-specific concepts:</w:t>
      </w:r>
      <w:r>
        <w:t xml:space="preserve"> based, general, carried, out, national, different; EU scope visible. This is a provisional connection, not an outcome finding.</w:t>
      </w:r>
    </w:p>
    <w:p>
      <w:pPr>
        <w:pStyle w:val="SourceNote"/>
      </w:pPr>
      <w:r>
        <w:rPr>
          <w:b/>
        </w:rPr>
        <w:t>Available abstract (not full text):</w:t>
      </w:r>
      <w:r>
        <w:t xml:space="preserve"> The article examines individual statistical indicators of the functioning of the judicial systems of European countries and their impact on determining the efficiency of the administration of justice. The analysis is conducted based on materials of the European Commission for the Efficiency of Justice (CEPEJ) obtained during the assessment process as of 2022. The author conducts a comparative analysis of statistical data on the efficiency of the judicial systems of European countries, which will contribute to the further development of systemic changes in the national judicial system of Ukraine. The article emphasizes that there are indicators of the functioning of the judicial system that are objectively measurable (for example, the timeliness of consideration and resolution of court cases), and there are a number of indicators that generally contribute to ensuring the efficiency of justice (specialization and stability of the judicial system, professionalism of judges and court staff) or, in general, are a consequence of the functioning of an effective judicial system (public authority and trust in the court). Despite the full-scale military aggression against Ukraine, the national judicial system has shown signs of resilience and stability, demonstrating indicators corresponding to the average European efficiency of the administration of justice as of 2022. Despite difficult</w:t>
      </w:r>
    </w:p>
    <w:p>
      <w:pPr>
        <w:pStyle w:val="Heading2"/>
      </w:pPr>
      <w:r>
        <w:t>933.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2024:</w:t>
      </w:r>
      <w:r>
        <w:t xml:space="preserve"> Role of Renewable Energy Adoption in Reducing Climate Change Impacts in Europe — https://doi.org/10.47672/ajcs.2336</w:t>
      </w:r>
    </w:p>
    <w:p>
      <w:pPr/>
      <w:r>
        <w:rPr>
          <w:b/>
        </w:rPr>
        <w:t>Shared claim-specific concepts:</w:t>
      </w:r>
      <w:r>
        <w:t xml:space="preserve"> reducing, emissions, all, impacts;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2023:</w:t>
      </w:r>
      <w:r>
        <w:t xml:space="preserve"> Next-generation sequencing-based newborn screening initiatives in Europe: an overview — https://doi.org/10.20517/rdodj.2023.26</w:t>
      </w:r>
    </w:p>
    <w:p>
      <w:pPr/>
      <w:r>
        <w:rPr>
          <w:b/>
        </w:rPr>
        <w:t>Shared claim-specific concepts:</w:t>
      </w:r>
      <w:r>
        <w:t xml:space="preserve"> evaluate, set, all, tested; EU scope visible. This is a provisional connection, not an outcome finding.</w:t>
      </w:r>
    </w:p>
    <w:p>
      <w:pPr>
        <w:pStyle w:val="SourceNote"/>
      </w:pPr>
      <w:r>
        <w:rPr>
          <w:b/>
        </w:rPr>
        <w:t>Available abstract (not full text):</w:t>
      </w:r>
      <w:r>
        <w:t xml:space="preserve"> Aim: This article describes results from a survey targeting healthcare professionals (HCPs) leading newborn screening (NBS) initiatives in Europe. The survey was developed within the framework of a dedicated working group set up by the International Rare Diseases Research Consortium (IRDiRC) to gather collective efforts relating to NBS. The objectives of the survey were to gain a better understanding of approaches being tested for the expansion of NBS and to raise awareness of the significant momentum across Europe to evaluate novel technologies for use in future NBS programs. Methods: A web-based survey including 57 questions was developed to gather information about genomic newborn screening initiatives in Europe that are using next-generation sequencing (NGS) as a first-tier test. Responses were analyzed qualitatively, and aggregated results are presented herein. The identity of some initiatives is not presented to preserve confidentiality. Results: The findings of the survey indicated that most initiatives are in the planning stage and have not yet started. Although all 14 studies are heterogeneous in design, there is broad consensus that NGS approaches to NBS will, in the short term, be implemented in parallel with current screening programs. The results of this survey can be used to inform the design of studies still in the early planning stages. Conclusion: Here, we prov</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pStyle w:val="Heading2"/>
      </w:pPr>
      <w:r>
        <w:t>934.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renewable, energy, technologies, north, africa, both;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Renewable Energy Deployments at Sea — https://doi.org/10.4018/979-8-3373-5881-9.ch005</w:t>
      </w:r>
    </w:p>
    <w:p>
      <w:pPr/>
      <w:r>
        <w:rPr>
          <w:b/>
        </w:rPr>
        <w:t>Shared claim-specific concepts:</w:t>
      </w:r>
      <w:r>
        <w:t xml:space="preserve"> renewable, energy, north, both, regions; EU scope visible. This is a provisional connection, not an outcome finding.</w:t>
      </w:r>
    </w:p>
    <w:p>
      <w:pPr>
        <w:pStyle w:val="SourceNote"/>
      </w:pPr>
      <w:r>
        <w:rPr>
          <w:b/>
        </w:rPr>
        <w:t>Available abstract (not full text):</w:t>
      </w:r>
      <w:r>
        <w:t xml:space="preserve"> This chapter per the authors examines the implementation of renewable energy in the marine environment as a critical dimension of the global energy transition. It highlights the consolidation of offshore wind, both fixed-bottom and floating, as a mature technology, while also addressing the potential of emerging resources such as wave and tidal energy, Ocean Thermal Energy Conversion (OTEC), and salinity gradient power. The chapter reviews recent pilot projects in Europe, North America, and Asia, discussing their technical feasibility, cost challenges, and environmental implications. Particular attention is given to hybrid models that combine marine renewables with solar, aquaculture, desalination, and hydrogen production, as well as to policy instruments, marine spatial planning, and community engagement. Through this integrated perspective, the chapter emphasizes the opportunities and limitations of marine renewable energy, presenting it as a driver of the blue economy and a catalyst for sustainable development in coastal and island regions.</w:t>
      </w:r>
    </w:p>
    <w:p>
      <w:pPr/>
      <w:r>
        <w:rPr>
          <w:b/>
        </w:rPr>
        <w:t>POSSIBLE 2026:</w:t>
      </w:r>
      <w:r>
        <w:t xml:space="preserve"> Achieving the net-zero: the role of renewable energy in reducing carbon emission in Europe — https://doi.org/10.1007/s42108-026-00510-y</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pStyle w:val="Heading2"/>
      </w:pPr>
      <w:r>
        <w:t>935.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2023:</w:t>
      </w:r>
      <w:r>
        <w:t xml:space="preserve"> Emergent Molecular Techniques Applied to the Detection of Porcine Viruses — https://doi.org/10.3390/vetsci10100609</w:t>
      </w:r>
    </w:p>
    <w:p>
      <w:pPr/>
      <w:r>
        <w:rPr>
          <w:b/>
        </w:rPr>
        <w:t>Shared claim-specific concepts:</w:t>
      </w:r>
      <w:r>
        <w:t xml:space="preserve"> applied, techniques; EU scope not established. This is a provisional connection, not an outcome finding.</w:t>
      </w:r>
    </w:p>
    <w:p>
      <w:pPr>
        <w:pStyle w:val="SourceNote"/>
      </w:pPr>
      <w:r>
        <w:rPr>
          <w:b/>
        </w:rPr>
        <w:t>Available abstract (not full text):</w:t>
      </w:r>
      <w:r>
        <w:t xml:space="preserve"> Molecular diagnostic tests have evolved very rapidly in the field of human health, especially with the arrival of the recent pandemic caused by the SARS-CoV-2 virus. However, the animal sector is constantly neglected, even though accurate detection by molecular tools could represent economic advantages by preventing the spread of viruses. In this regard, the swine industry is of great interest. The main viruses that affect the swine industry are described in this review, including African swine fever virus (ASFV), porcine reproductive and respiratory syndrome virus (PRRSV), porcine epidemic diarrhea virus (PEDV), and porcine circovirus (PCV), which have been effectively detected by different molecular tools in recent times. Here, we describe the rationale of molecular techniques such as multiplex PCR, isothermal methods (LAMP, NASBA, RPA, and PSR) and novel methods such as CRISPR-Cas and microfluidics platforms. Successful molecular diagnostic developments are presented by highlighting their most important findings. Finally, we describe the barriers that hinder the large-scale development of affordable, accessible, rapid, and easy-to-use molecular diagnostic tests. The evolution of diagnostic techniques is critical to prevent the spread of viruses and the development of viral reservoirs in the swine industry that impact the possible development of future pandemics and the world</w:t>
      </w:r>
    </w:p>
    <w:p>
      <w:pPr/>
      <w:r>
        <w:rPr>
          <w:b/>
        </w:rPr>
        <w:t>POSSIBLE 2023:</w:t>
      </w:r>
      <w:r>
        <w:t xml:space="preserve"> Larger diurnal temperature range undermined later autumn leaf senescence with warming in Europe — https://doi.org/10.1111/geb.13674</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Abstract Aim Climate change regulates autumn leaf senescence date (LSD), exhibiting a strong phenological control of plant carbon uptake. Unlike the delaying effect of daily mean temperature ( T mean ) on LSD, the impact of warming asymmetry in daytime and nighttime, as evidenced by variations of the diurnal temperature range (DTR), remains elusive. The objectives of this study were to investigate physiological and ecological impacts of DTR on LSD using long‐term in situ observations and to predict the future trends of LSD under warming. Location Europe. Time period 1950–2015. Major taxa studied Plant phenology. Methods We used partial correlation analysis, multiple linear regression and ridge regression to explore the impacts of DTR on LSD. To quantify the importance of potential drivers of LSD, we trained random forest models and applied the SHapley Additive exPlanations method to isolate the marginal contributions of each predictor on LSD. For LSD modelling and projection, we first evaluated two temperature‐driven LSD models [i.e., cooling‐degree‐day (CDD, without DTR effect) and day–night‐temperature CDD (DN CDD , with DTR effect)], then applied them to predict future LSDs. Results We found that observational increases in T mean and DTR had contrasting effects on LSD. Increased T mean delayed the LSD, whereas larger DTR overall had an advancing effect. Considering the DTR e</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pStyle w:val="Heading2"/>
      </w:pPr>
      <w:r>
        <w:t>936.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2026:</w:t>
      </w:r>
      <w:r>
        <w:t xml:space="preserve"> Indigenous Water as Life — https://doi.org/10.4018/979-8-3373-7559-5.ch003</w:t>
      </w:r>
    </w:p>
    <w:p>
      <w:pPr/>
      <w:r>
        <w:rPr>
          <w:b/>
        </w:rPr>
        <w:t>Shared claim-specific concepts:</w:t>
      </w:r>
      <w:r>
        <w:t xml:space="preserve"> shows, indigenous, systems, resource; EU scope not established. This is a provisional connection, not an outcome finding.</w:t>
      </w:r>
    </w:p>
    <w:p>
      <w:pPr>
        <w:pStyle w:val="SourceNote"/>
      </w:pPr>
      <w:r>
        <w:rPr>
          <w:b/>
        </w:rPr>
        <w:t>Available abstract (not full text):</w:t>
      </w:r>
      <w:r>
        <w:t xml:space="preserve"> Chapter Three argues that Indigenous water relationships are grounded in ceremonial, spiritual, and ecological responsibilities that position water not as a resource but as a sacred, sentient relative. Through thirteen themes and nineteen subthemes, the chapter demonstrates how water ceremonies function as systems of governance, healing, and intergenerational cultural continuity. Indigenous communities' articulate water as life, emphasize the gendered responsibilities of grandmothers and ceremonial leaders, and describe the spiritual and ecological consequences of industrial contamination, drying springs, and climate disruption. The chapter foregrounds how land-based teachings, daily offerings, advocacy movements, and relational ethics sustain water protection across generations. It also shows how Indigenous water ceremonies integrate spiritual knowledge with environmental observation, creating holistic frameworks for resilience. Ultimately, the chapter reframes water governance as ceremonial, relational, and embodied, offering a decolonial model for ecological stewardship.</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Linking Western Psychological models and Sundanese Indigenous Wisdom in the real world — https://doi.org/10.17576/geo-2025-2103-06</w:t>
      </w:r>
    </w:p>
    <w:p>
      <w:pPr/>
      <w:r>
        <w:rPr>
          <w:b/>
        </w:rPr>
        <w:t>Shared claim-specific concepts:</w:t>
      </w:r>
      <w:r>
        <w:t xml:space="preserve"> shows, indigenous; EU scope not established. This is a provisional connection, not an outcome finding.</w:t>
      </w:r>
    </w:p>
    <w:p>
      <w:pPr>
        <w:pStyle w:val="SourceNote"/>
      </w:pPr>
      <w:r>
        <w:rPr>
          <w:b/>
        </w:rPr>
        <w:t>Available abstract (not full text):</w:t>
      </w:r>
      <w:r>
        <w:t xml:space="preserve"> This study examines the integration of Western Psychological Well-Being (PWB) models with Sundanese indigenous values, specifically Pancawaluya, a local philosophical framework comprising five principles: Cageur (healthy), Bageur (kind), Bener (truthful), Pinter (intelligent), and Singer (resilient). The aim is to understand how these local values interact with global models of well-being and to construct a culturally relevant conceptual framework for the psychological well-being of the Sundanese people. A mixed-methods approach was employed. Quantitative data were gathered from 150 respondents through an online survey using a structured Google Form, while qualitative insights were obtained from in-depth interviews with 80 of the participants. Respondents were purposively selected from the native Sundanese community across various age groups (15 to over 60 years) and professional backgrounds. The analysis combined descriptive statistics with thematic coding to capture both measurable patterns and deeper cultural meanings. The findings reveal that Sundanese well-being emphasizes harmony, simplicity, and interconnectedness, offering a holistic perspective distinct from the individualistic orientation of Western PWB models such as Ryff’s. The Quadrant Coordinates model shows that Sundanese individuals tend to score high in Bageur (kindness) but face challenges in Pinter (intellige</w:t>
      </w:r>
    </w:p>
    <w:p>
      <w:pPr/>
      <w:r>
        <w:rPr>
          <w:b/>
        </w:rPr>
        <w:t>POSSIBLE 2025:</w:t>
      </w:r>
      <w:r>
        <w:t xml:space="preserve"> DEVELOPING A LEGAL CLINICAL EDUCATION MODEL FOR INDIGENOUS COMMUNITIES IN THE REGIONAL AUTONOMY ERA — https://openalex.org/W7220221260</w:t>
      </w:r>
    </w:p>
    <w:p>
      <w:pPr/>
      <w:r>
        <w:rPr>
          <w:b/>
        </w:rPr>
        <w:t>Shared claim-specific concepts:</w:t>
      </w:r>
      <w:r>
        <w:t xml:space="preserve"> indigenous, service, show; EU scope not established. This is a provisional connection, not an outcome finding.</w:t>
      </w:r>
    </w:p>
    <w:p>
      <w:pPr>
        <w:pStyle w:val="SourceNote"/>
      </w:pPr>
      <w:r>
        <w:rPr>
          <w:b/>
        </w:rPr>
        <w:t>Available abstract (not full text):</w:t>
      </w:r>
      <w:r>
        <w:t xml:space="preserve"> Legal clinical education is an approach to legal learning that emphasizes direct practice through social interaction and community service. In the context of indigenous communities, legal clinical education can be an important tool for strengthening community legal capacity and safeguarding their customary rights amidst the dynamics of regional autonomy. This article aims to develop a legal clinical education model relevant to the needs of indigenous communities in the era of regional autonomy, with a focus on a participatory, local wisdom-based, and collaborative approach between legal education institutions, local governments, and customary institutions. This study uses qualitative methods with a descriptive analytical approach. The results show that the indigenous community-based legal clinical education model is able to increase legal awareness, strengthen community bargaining power in dispute resolution, and serve as an instrument of social empowerment at the local level. These findings are expected to serve as a reference in the development of a more inclusive legal curriculum based on social practice and community service in Indonesia.</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pStyle w:val="Heading2"/>
      </w:pPr>
      <w:r>
        <w:t>937.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2024:</w:t>
      </w:r>
      <w:r>
        <w:t xml:space="preserve"> The Non-Parameter Evaluation of the Quality of Education in European Countries Based on Panel Data — https://doi.org/10.15678/pg.2024.69.3.02</w:t>
      </w:r>
    </w:p>
    <w:p>
      <w:pPr/>
      <w:r>
        <w:rPr>
          <w:b/>
        </w:rPr>
        <w:t>Shared claim-specific concepts:</w:t>
      </w:r>
      <w:r>
        <w:t xml:space="preserve"> panel, important, contribution, level; EU scope visible. This is a provisional connection, not an outcome finding.</w:t>
      </w:r>
    </w:p>
    <w:p>
      <w:pPr>
        <w:pStyle w:val="SourceNote"/>
      </w:pPr>
      <w:r>
        <w:rPr>
          <w:b/>
        </w:rPr>
        <w:t>Available abstract (not full text):</w:t>
      </w:r>
      <w:r>
        <w:t xml:space="preserve"> Objective: The aim of this paper is to evaluate the performance of sustainable development in the education sector through a relative comparison of thirty-five European countries in the period of 2013–2021. Sustainable Development Goal number 4, namely the quality of education, was taken as a benchmark for evaluation. Research Design &amp; Methods: The performance of the countries was evaluated using the combined Slack Based Measure DEA Window model, which has a higher discriminating power than the standard DEA model and a dynamic dimension of observation. Finally, the robustness and sensitivity of the results was tested using bootstrapping methods. Findings: The results showed that the performance of the quality of education, measured in terms of the DEA concept of efficiency, in the period 2013–2021, was at a relatively low but stable level overall. It was shown that, above all, the observed countries that are not members of the EU achieved a far worse level of the quality of education in the observed period, including the United Kingdom. Contribution / Value Added: The obtained results are important in terms of benchmarking public policies related to sustainable development, especially in terms of contributing to discussions regarding the evaluation of countries’ performance, especially in the field of education, as one of the key goals of sustainable development. Also, the resu</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pStyle w:val="Heading2"/>
      </w:pPr>
      <w:r>
        <w:t>938.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r>
        <w:rPr>
          <w:b/>
        </w:rPr>
        <w:t>POSSIBLE 2023:</w:t>
      </w:r>
      <w:r>
        <w:t xml:space="preserve"> Understanding the role of biodiversity in the climate, food, water, energy, transport and health nexus in Europe — https://doi.org/10.31223/x5w10t</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climate, food, water, energy, transport and health. Out of the 354 interlinkages evidenced between biodiversity and other nexus elements in the review, 53% were negative, 29% were positive and 18% contained both positive and negative influences. Most studies provide evidence of the negative influence of the nexus elements on biodiversity, highlighting the substantial damage being inflicted on nature from human activities. The main types of negative impacts were related to land or water use/change, land or water degradation, direct species fatalities through collisions with infrastructure, and climate change. Alternatively, evidence of biodiversity having a negative influence on the other nexus elements is mainly limited to the effect</w:t>
      </w:r>
    </w:p>
    <w:p>
      <w:pPr/>
      <w:r>
        <w:rPr>
          <w:b/>
        </w:rPr>
        <w:t>POSSIBLE 2023:</w:t>
      </w:r>
      <w:r>
        <w:t xml:space="preserve"> Towards climate neutrality within the European Union: Assessment of the Energy Performance of Buildings Directive implementation in Member States — https://doi.org/10.1016/j.enbuild.2023.113716</w:t>
      </w:r>
    </w:p>
    <w:p>
      <w:pPr/>
      <w:r>
        <w:rPr>
          <w:b/>
        </w:rPr>
        <w:t>Shared claim-specific concepts:</w:t>
      </w:r>
      <w:r>
        <w:t xml:space="preserve"> finally, energy, but; EU scope visible. This is a provisional connection, not an outcome finding.</w:t>
      </w:r>
    </w:p>
    <w:p>
      <w:pPr>
        <w:pStyle w:val="SourceNote"/>
      </w:pPr>
      <w:r>
        <w:rPr>
          <w:b/>
        </w:rPr>
        <w:t>Available abstract (not full text):</w:t>
      </w:r>
      <w:r>
        <w:t xml:space="preserve"> The European Union (EU) is accelerating its clean energy transition in order to reach climate neutrality in 2050 through targeted policies, with the Energy Performance of Buildings Directive (EPBD) playing a pivotal role in reducing building energy consumption. This study evaluates the progress of EU Member States in implementing the EPBD requirements, focusing on Long-Term Renovation Strategies (LTRS), Nearly-Zero Energy Buildings (NZEB), Energy Performance Certificates (EPC), and technical building system inspections. Harmonized data enable cross-country comparisons, revealing trends across climatic zones and assessing policy impacts at the EU level. Aligning renovations with 2020 LTRS could cut greenhouse gas emissions by 35% by 2030 and 94% by 2050. Despite the well-established status of NZEB, their energy performance lags behind EU benchmarks in all climatic zones. Moreover, diverse EPC methodologies complicate in-depth comparisons, yet nearly 70% of EU certification schemes define energy classes based on an energy indicator. Finally, over 75% of Member States have implemented heating and cooling system inspection schemes, but few assess their impacts. While progress towards a highly energy-efficient building stock is evident, challenges persist. Member States must intensify efforts, especially in increasing the renovation rate with the aim of achieving zero-emission build</w:t>
      </w:r>
    </w:p>
    <w:p>
      <w:pPr>
        <w:pStyle w:val="Heading2"/>
      </w:pPr>
      <w:r>
        <w:t>939.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Europe as Ideological Resource — https://doi.org/10.1093/oso/9780198892366.001.0001</w:t>
      </w:r>
    </w:p>
    <w:p>
      <w:pPr/>
      <w:r>
        <w:rPr>
          <w:b/>
        </w:rPr>
        <w:t>Shared claim-specific concepts:</w:t>
      </w:r>
      <w:r>
        <w:t xml:space="preserve"> used, create, four, concepts; EU scope visible. This is a provisional connection, not an outcome finding.</w:t>
      </w:r>
    </w:p>
    <w:p>
      <w:pPr>
        <w:pStyle w:val="SourceNote"/>
      </w:pPr>
      <w:r>
        <w:rPr>
          <w:b/>
        </w:rPr>
        <w:t>Available abstract (not full text):</w:t>
      </w:r>
      <w:r>
        <w:t xml:space="preserve"> Abstract How did the far right go from illegitimate fringe to contender for public office, and did Europe have anything to do with it? This book argues that European integration functioned as an ideological resource for far-right parties looking for legitimation because it enabled them to refashion their political message in a more acceptable form, while maintaining the allegiance of their existing supporters. Drawing on the qualitative analysis of over 400 documents produced by the Movimento Sociale Italiano/Alleanza Nazionale in Italy (1978–2009) and the Rassemblement National in France (1978–2019), the book identifies the core concepts and discourses the parties used to talk about Europe, and the legitimation mechanisms associated with them. The book’s narrative is developed through the analysis of four key concepts: the concept of identity, which enabled the parties to transnationalize their message and create a positive association between themselves and Europe; the concept of liberty, which made it possible for them to foster an image of actors holding uncontroversial positions; the concept of threat, which helped them promote the idea that ‘desperate times call for desperate measures’; and the concept of national interest, which helped them stress commitment to core principles in their ideology. Ever since its re-emergence on the European political scene, scholars have s</w:t>
      </w:r>
    </w:p>
    <w:p>
      <w:pPr/>
      <w:r>
        <w:rPr>
          <w:b/>
        </w:rPr>
        <w:t>POSSIBLE 2024:</w:t>
      </w:r>
      <w:r>
        <w:t xml:space="preserve"> Using the Blockchain to Reduce Carbon Emissions in the Visitor Economy — https://doi.org/10.3390/su16104000</w:t>
      </w:r>
    </w:p>
    <w:p>
      <w:pPr/>
      <w:r>
        <w:rPr>
          <w:b/>
        </w:rPr>
        <w:t>Shared claim-specific concepts:</w:t>
      </w:r>
      <w:r>
        <w:t xml:space="preserve"> used, develop, strategies, aim; EU scope not established. This is a provisional connection, not an outcome finding.</w:t>
      </w:r>
    </w:p>
    <w:p>
      <w:pPr>
        <w:pStyle w:val="SourceNote"/>
      </w:pPr>
      <w:r>
        <w:rPr>
          <w:b/>
        </w:rPr>
        <w:t>Available abstract (not full text):</w:t>
      </w:r>
      <w:r>
        <w:t xml:space="preserve"> The visitor economy is responsible for a substantial percentage of the global carbon footprint. The mechanisms used to decarbonize it are insufficient, and the industry is relying on carbon trading with substandard credits that allow businesses to outsource the responsibility to decarbonize. We aim to transform carbon markets, help finance climate investments, and support decarbonization strategies. We identify and define the problem, outline the components and their interactions, and develop a conceptual model to transform carbon markets. The new, blockchain-based Carbon Tokenomics Model rolls out a decentralized database to store, trade, and manage carbon credits, with the goal of enabling sustainable climate finance investment. We outline the criteria needed for an industry-wide carbon calculator. We explain the process needed to increase rigor in climate investments in the visitor economy and introduce a delegated Proof of Commitment consensus mechanism. Our inclusive and transparent model illustrates how to reduce transaction costs and how to build consumer and industry trust, generating much-needed investments for decarbonization.</w:t>
      </w:r>
    </w:p>
    <w:p>
      <w:pPr/>
      <w:r>
        <w:rPr>
          <w:b/>
        </w:rPr>
        <w:t>POSSIBLE 2024:</w:t>
      </w:r>
      <w:r>
        <w:t xml:space="preserve"> BUSINESS TRAVEL MOTIVATIONS AND OBJECTIVES OF TRADE FAIRS VISITORS: EXPERIENCE FROM THE TRADE FAIRS IN THESSALONIKI, GREECE — https://doi.org/10.30892/gtg.53207-1219</w:t>
      </w:r>
    </w:p>
    <w:p>
      <w:pPr/>
      <w:r>
        <w:rPr>
          <w:b/>
        </w:rPr>
        <w:t>Shared claim-specific concepts:</w:t>
      </w:r>
      <w:r>
        <w:t xml:space="preserve"> used, business, aim, visitors; EU scope visible. This is a provisional connection, not an outcome finding.</w:t>
      </w:r>
    </w:p>
    <w:p>
      <w:pPr>
        <w:pStyle w:val="SourceNote"/>
      </w:pPr>
      <w:r>
        <w:rPr>
          <w:b/>
        </w:rPr>
        <w:t>Available abstract (not full text):</w:t>
      </w:r>
      <w:r>
        <w:t xml:space="preserve"> This research investigates the motivations and objectives of visitor participation in trade fairs in Thessaloniki. In particular, the trend of combining professional goals with the entertainment of visitors is investigated. The aim of the research is to determine whether the inclination to blend economic goals with entertainment is a shared characteristic among attendees of all trade fair events, or if it varies in any manner. Mixed methods research was used: quantitative research (1,066 participants) and in-depth interviews (51 participants). In order to comprehensively understand phenomena and ensure validity, the triangulation approach was used. The results showed that the type of trade fair is related to visitors' participation objectives. Specifically, the reason for visiting the trade fairs addressed to the general public is mainly entertainment, while those of the specialized sectoral trade fairs are mainly business-related. However, even in the sectoral trade fairs there is a significant percentage in several cases that mentions fun-entertainment as an objective. These results are of great research importance, but also of managerial importance, both for the trade fair organizers and for the local tourism development agencies.</w:t>
      </w:r>
    </w:p>
    <w:p>
      <w:pPr>
        <w:pStyle w:val="Heading2"/>
      </w:pPr>
      <w:r>
        <w:t>940.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decarbonization, large, carbon; EU scope visible. This is a provisional connection, not an outcome finding.</w:t>
      </w:r>
    </w:p>
    <w:p>
      <w:pPr>
        <w:pStyle w:val="SourceNote"/>
      </w:pPr>
      <w:r>
        <w:rPr>
          <w:b/>
        </w:rPr>
        <w:t>Available abstract (not full text):</w:t>
      </w:r>
      <w:r>
        <w:t xml:space="preserve">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pStyle w:val="Heading2"/>
      </w:pPr>
      <w:r>
        <w:t>941.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2024:</w:t>
      </w:r>
      <w:r>
        <w:t xml:space="preserve"> The opportunities and potential of camelina in marginal land in Europe — https://doi.org/10.1016/j.indcrop.2024.118224</w:t>
      </w:r>
    </w:p>
    <w:p>
      <w:pPr/>
      <w:r>
        <w:rPr>
          <w:b/>
        </w:rPr>
        <w:t>Shared claim-specific concepts:</w:t>
      </w:r>
      <w:r>
        <w:t xml:space="preserve"> build, among, two;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2021:</w:t>
      </w:r>
      <w:r>
        <w:t xml:space="preserve"> An institutional approach to vulnerability: evidence from natural hazard management in Europe — https://doi.org/10.1088/1748-9326/abe88c</w:t>
      </w:r>
    </w:p>
    <w:p>
      <w:pPr/>
      <w:r>
        <w:rPr>
          <w:b/>
        </w:rPr>
        <w:t>Shared claim-specific concepts:</w:t>
      </w:r>
      <w:r>
        <w:t xml:space="preserve"> main, financial, defined, present; EU scope visible. This is a provisional connection, not an outcome finding.</w:t>
      </w:r>
    </w:p>
    <w:p>
      <w:pPr>
        <w:pStyle w:val="SourceNote"/>
      </w:pPr>
      <w:r>
        <w:rPr>
          <w:b/>
        </w:rPr>
        <w:t>Available abstract (not full text):</w:t>
      </w:r>
      <w:r>
        <w:t xml:space="preserve"> Abstract Institutional vulnerability to natural hazards has not been thoroughly investigated until now. Yet, institutional vulnerability is strongly connected to all other vulnerability dimensions, and specific socio-economic and physical indicators. Moreover, different types of crises such as economic, political or health crisis strongly affect the institutional capacity of communities to deal with the consequences of natural hazards. For this reason, a deep insight to the institutional dimension of vulnerability is needed in order to reduce disaster risk under the effects of climate but also socio-economic change. In the present paper, institutional vulnerability is defined and its main pillars and drivers are identified. A framework is presented showing the interactions between the drivers of institutional vulnerability and the indicators of other vulnerability dimensions (physical, social, economic, cultural and environmental). The interactions between institutional vulnerability and other vulnerability dimensions are highlighted through three European case studies: Greece, the United Kingdom and Austria. The case studies show how current issues such as the recent financial crisis and Brexit, may directly influence the drivers of institutional vulnerability and consequently all other vulnerability dimensions. The framework and the case studies clearly indicate that institut</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942.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2026:</w:t>
      </w:r>
      <w:r>
        <w:t xml:space="preserve"> Real GDP Forecasts by International Organisations — https://doi.org/10.47688/rdp2026-05</w:t>
      </w:r>
    </w:p>
    <w:p>
      <w:pPr/>
      <w:r>
        <w:rPr>
          <w:b/>
        </w:rPr>
        <w:t>Shared claim-specific concepts:</w:t>
      </w:r>
      <w:r>
        <w:t xml:space="preserve"> four, world, international, influence, present; EU scope visible. This is a provisional connection, not an outcome finding.</w:t>
      </w:r>
    </w:p>
    <w:p>
      <w:pPr>
        <w:pStyle w:val="SourceNote"/>
      </w:pPr>
      <w:r>
        <w:rPr>
          <w:b/>
        </w:rPr>
        <w:t>Available abstract (not full text):</w:t>
      </w:r>
      <w:r>
        <w:t xml:space="preserve"> We study forecasts for real gross domestic product growth by international organisations. These forecasts influence policy decisions by international organisations and national governments, and receive significant attention from the private sector. First, we compare the accuracy of forecasters and test the rationality of forecasts using a large dataset of forecasts by four international organisations (the International Monetary Fund, the World Bank, the European Commission and the Organisation for Economic Co-operation and Development) and private-sector forecasts. Second, we derive a new decomposition of differences in forecast accuracy into contributions from disagreement and the accuracy of the average forecast. Finally, we present theoretical results and empirical evidence on two explanations for the rejection of forecast rationality: the use of conditioning assumptions and the practice of making modal forecasts.</w:t>
      </w:r>
    </w:p>
    <w:p>
      <w:pPr/>
      <w:r>
        <w:rPr>
          <w:b/>
        </w:rPr>
        <w:t>POSSIBLE 2026:</w:t>
      </w:r>
      <w:r>
        <w:t xml:space="preserve"> On European Fragmentation and the Single Currency in an Uncertain World — https://doi.org/10.65644/eiie.079.01.0001</w:t>
      </w:r>
    </w:p>
    <w:p>
      <w:pPr/>
      <w:r>
        <w:rPr>
          <w:b/>
        </w:rPr>
        <w:t>Shared claim-specific concepts:</w:t>
      </w:r>
      <w:r>
        <w:t xml:space="preserve"> world, international, challenges, trade; EU scope visible. This is a provisional connection, not an outcome finding.</w:t>
      </w:r>
    </w:p>
    <w:p>
      <w:pPr>
        <w:pStyle w:val="SourceNote"/>
      </w:pPr>
      <w:r>
        <w:rPr>
          <w:b/>
        </w:rPr>
        <w:t>Available abstract (not full text):</w:t>
      </w:r>
      <w:r>
        <w:t xml:space="preserve"> Europe faces growing strategic and economic challenges arising from the policies of the second Trump administration, extending beyond trade to energy, defence, digital services, and cross-border payments. Heightened uncertainty over US policy has raised concerns about the stability of the international monetary system and the future role of the dollar. In this context, some observers argue that the European Union could strengthen its geopolitical position and that the euro could assume a more prominent role as an international reserve currency. However, market fragmentation, political divisions and heterogenous legal frameworks continue to constrain this prospect. Sustaining Europe’s economic and geopolitical standing in the face of demographic, technological, and market pressures requires a coherent reform agenda aimed at deepening integration, improving policy coordination and communication, preserving economic openness, and managing the social consequences of economic transformation.</w:t>
      </w:r>
    </w:p>
    <w:p>
      <w:pPr/>
      <w:r>
        <w:rPr>
          <w:b/>
        </w:rPr>
        <w:t>POSSIBLE 2026:</w:t>
      </w:r>
      <w:r>
        <w:t xml:space="preserve"> International survey in four European countries on diagnostic reference levels based on clinical indications in computed tomography — https://doi.org/10.1186/s13244-026-02241-4</w:t>
      </w:r>
    </w:p>
    <w:p>
      <w:pPr/>
      <w:r>
        <w:rPr>
          <w:b/>
        </w:rPr>
        <w:t>Shared claim-specific concepts:</w:t>
      </w:r>
      <w:r>
        <w:t xml:space="preserve"> four, international, main; EU scope visible. This is a provisional connection, not an outcome finding.</w:t>
      </w:r>
    </w:p>
    <w:p>
      <w:pPr>
        <w:pStyle w:val="SourceNote"/>
      </w:pPr>
      <w:r>
        <w:rPr>
          <w:b/>
        </w:rPr>
        <w:t>Available abstract (not full text):</w:t>
      </w:r>
      <w:r>
        <w:t xml:space="preserve"> OBJECTIVE: To collect and analyze radiation dose metrics from 23 commonly performed CT procedures, for which no national DRLs have yet been defined, as part of an international cooperation. The body region, the clinical task, and the relevant technical parameters were considered to define clinical diagnostic reference levels (DRLs). MATERIALS AND METHODS: During 2022-2023, a multicenter study was performed in Austria, Germany, Italy, and Switzerland. Healthcare providers supplied processed data from their dose management systems. The 5%-level was used to assess the statistical significance of dose differences between the countries of participants, as well as age and manufacturer of the scanners. RESULTS: Dose metrics from 87 CT systems in academic and non-academic, public and private healthcare facilities were analyzed. Dose values from the same body region but for different clinical tasks and/or using different techniques might differ significantly. For the same procedures, median dose values varied between systems by a factor of up to 39. Approximately a third of the surveyed systems showed doses within the DRLs suggested in this study, while 6% do not fulfill any DRL. No significant dose differences were observed between systems when comparing age, manufacturer or country. CONCLUSIONS: In this international study, clinical DRLs were suggested for the first time for many diff</w:t>
      </w:r>
    </w:p>
    <w:p>
      <w:pPr/>
      <w:r>
        <w:rPr>
          <w:b/>
        </w:rPr>
        <w:t>POSSIBLE 2026:</w:t>
      </w:r>
      <w:r>
        <w:t xml:space="preserve"> Four Worlds, One Dying Earth: The Four Modes of Existence and the War on the Cosmobian World — https://doi.org/10.5281/zenodo.20621277</w:t>
      </w:r>
    </w:p>
    <w:p>
      <w:pPr/>
      <w:r>
        <w:rPr>
          <w:b/>
        </w:rPr>
        <w:t>Shared claim-specific concepts:</w:t>
      </w:r>
      <w:r>
        <w:t xml:space="preserve"> four, world, present; EU scope not established. This is a provisional connection, not an outcome finding.</w:t>
      </w:r>
    </w:p>
    <w:p>
      <w:pPr>
        <w:pStyle w:val="SourceNote"/>
      </w:pPr>
      <w:r>
        <w:rPr>
          <w:b/>
        </w:rPr>
        <w:t>Available abstract (not full text):</w:t>
      </w:r>
      <w:r>
        <w:t xml:space="preserve"> This paper introduces and elaborates the foundational analytical framework of the psycho-cosmocide paradigm: the identification of four broad modes of existence that provide a framework for examining human life across past, present, and speculatively future contexts. These modes are: (I) Civilisational existence, organised through cities, states, institutions, and administered power; (II) cosmobian existence, organised through living relationships with land, ecology, kinship, ancestral memory, and cosmological understanding; (III) Lost and Pre-historical Worlds, whose languages and cosmological systems have largely vanished beyond recovery; and (IV) Transcendent and Metaphysical existence, encompassing dimensions of reality that exceed direct empirical verification. The paper argues that contemporary civilisation has constructed a hierarchy of value in which the symbolic products of Civilisational existence are accorded greater protection, reverence, and moral urgency than the living ecological and cosmobian systems that sustain human existence. This inversion of value—identified by the paradigm as a form of civilisational psychopathology—is not merely an aesthetic or philosophical concern but an urgent practical crisis: the systematic destruction of cosmobian worlds entails the permanent loss of ecological knowledge systems, ontological frameworks, and ways of inhabiting the 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2025:</w:t>
      </w:r>
      <w:r>
        <w:t xml:space="preserve"> Circular Economy Policies in China and Europe: A Systematic Literature Review — https://doi.org/10.1007/s43615-025-00689-y</w:t>
      </w:r>
    </w:p>
    <w:p>
      <w:pPr/>
      <w:r>
        <w:rPr>
          <w:b/>
        </w:rPr>
        <w:t>Shared claim-specific concepts:</w:t>
      </w:r>
      <w:r>
        <w:t xml:space="preserve"> economy, challenges, main; EU scope visible. This is a provisional connection, not an outcome finding.</w:t>
      </w:r>
    </w:p>
    <w:p>
      <w:pPr>
        <w:pStyle w:val="SourceNote"/>
      </w:pPr>
      <w:r>
        <w:rPr>
          <w:b/>
        </w:rPr>
        <w:t>Available abstract (not full text):</w:t>
      </w:r>
      <w:r>
        <w:t xml:space="preserve"> Abstract Many governments have developed policies to drive the much-needed transition to a circular economy (CE). This systematic literature review covers CE policy progress and the state-of-the-art research in China and Europe. Combining content analysis and contingency analysis, we analyze 119 journal articles to identify the main policy interventions in China and Europe, challenges, outcomes, and their interrelationships. Our review shows that China diligently enforces “ cleaner production ” policies through a top-down approach, while Europe focuses more on “sustainable product” policies such as ecodesign and extended producer responsibility , relying more on a bottom-up approach. The two economies face some common challenges in policy development. The most prominent challenges lie in the difficulty in formulating consistent, coherent, and stable policies , difficulty in formulating sector- and region-specific policies , and difficulty in formulating comprehensive policies . Research in policy outcome is scant, especially in the social dimension. Our findings suggest that policymakers must consider integrated policy bundles in policy design, ensure consistency, coherence, and stability in policy development and implementation, incorporate the social dimension into CE policies, and customize CE policies for different contexts. Based on the identified knowledge gaps, we call f</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pStyle w:val="Heading2"/>
      </w:pPr>
      <w:r>
        <w:t>943.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Staging the Semah s: Performing Aleviness in Turkey and Europe — https://doi.org/10.1111/sena.70029</w:t>
      </w:r>
    </w:p>
    <w:p>
      <w:pPr/>
      <w:r>
        <w:rPr>
          <w:b/>
        </w:rPr>
        <w:t>Shared claim-specific concepts:</w:t>
      </w:r>
      <w:r>
        <w:t xml:space="preserve"> article, explores, different; EU scope visible. This is a provisional connection, not an outcome finding.</w:t>
      </w:r>
    </w:p>
    <w:p>
      <w:pPr>
        <w:pStyle w:val="SourceNote"/>
      </w:pPr>
      <w:r>
        <w:rPr>
          <w:b/>
        </w:rPr>
        <w:t>Available abstract (not full text):</w:t>
      </w:r>
      <w:r>
        <w:t xml:space="preserve"> ABSTRACT The semah , a genre of music and movement practices imbued with values of gender, class, age and ethical egalitarianism, lies at the core of the Alevis' ayn‐i cem rituals. Since the 1970s, processes of urbanisation, migration, folklore production and heritage‐making have facilitated the circulation of semah beyond ritual contexts, particularly within amateur and professional performing arts projects. Focusing on staged and festival performances of the semah , this article examines how embodied learning and theatrical adaptation have contributed to the transnational articulation of Alevi identities. Drawing on long‐term, multisited ethnographic research conducted in Turkey, the United Kingdom and Europe, it analyses theatre and dance productions as well as large‐scale cultural events, revealing distinct layers in the contemporary reimagining and performance of the semah . Adopting a transnational and performance‐based perspective, the discussion explores how Alevi ritual forms have been recovered, preserved and displayed on stage. By foregrounding embodied participation as ethnographic method and by offering a perspective on some of these dramatic adaptations, the article contributes to understanding the contingent and processual dimensions through which Alevi practices are transmitted, reconfigured and publicly negotiated. Particular attention is paid to the politics o</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pStyle w:val="Heading2"/>
      </w:pPr>
      <w:r>
        <w:t>944.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2026:</w:t>
      </w:r>
      <w:r>
        <w:t xml:space="preserve"> Option Pricing Model Comparison between Black Scholes Merton Model and Monte Carlo Simulation — https://doi.org/10.61173/xh544756</w:t>
      </w:r>
    </w:p>
    <w:p>
      <w:pPr/>
      <w:r>
        <w:rPr>
          <w:b/>
        </w:rPr>
        <w:t>Shared claim-specific concepts:</w:t>
      </w:r>
      <w:r>
        <w:t xml:space="preserve"> monte, carlo, between; EU scope visible. This is a provisional connection, not an outcome finding.</w:t>
      </w:r>
    </w:p>
    <w:p>
      <w:pPr>
        <w:pStyle w:val="SourceNote"/>
      </w:pPr>
      <w:r>
        <w:rPr>
          <w:b/>
        </w:rPr>
        <w:t>Available abstract (not full text):</w:t>
      </w:r>
      <w:r>
        <w:t xml:space="preserve"> The rapid growth of global option markets underscores the importance of accurate option pricing models for effective risk management and trading strategies. This paper focuses on two cornerstone methods: the Black–Scholes–Merton (BSM) model and Monte Carlo simulation. The central question is how the analytical efficiency of the BSM model compares with the flexibility of Monte Carlo simulation when applied to standard and complex options. The paper introduces the theoretical foundations of both models, highlighting the BSM model’s closed-form precision under strict assumptions and Monte Carlo simulation’s ability to handle stochastic, path-dependent payoffs. A case study of a three-month European call option on Apple Inc. illustrates the respective strengths and limitations of the two models. The findings of this paper conclude that the Black Scholes Merton model is still the benchmark for the standard option pricing market. In contrast, the Monte Carlo simulation provides better flexibility in pricing exotic options and adapting to a more volatile market. By combining these two methods, this study provides a more robust basis for valuation and decision-making in modern finance.</w:t>
      </w:r>
    </w:p>
    <w:p>
      <w:pPr/>
      <w:r>
        <w:rPr>
          <w:b/>
        </w:rPr>
        <w:t>POSSIBLE 2026:</w:t>
      </w:r>
      <w:r>
        <w:t xml:space="preserve"> Monte Carlo methods in derivative modelling — https://doi.org/10.82444/warw.33599494</w:t>
      </w:r>
    </w:p>
    <w:p>
      <w:pPr/>
      <w:r>
        <w:rPr>
          <w:b/>
        </w:rPr>
        <w:t>Shared claim-specific concepts:</w:t>
      </w:r>
      <w:r>
        <w:t xml:space="preserve"> monte, carlo, average, over; EU scope not established. This is a provisional connection, not an outcome finding.</w:t>
      </w:r>
    </w:p>
    <w:p>
      <w:pPr>
        <w:pStyle w:val="SourceNote"/>
      </w:pPr>
      <w:r>
        <w:rPr>
          <w:b/>
        </w:rPr>
        <w:t>Available abstract (not full text):</w:t>
      </w:r>
      <w:r>
        <w:t xml:space="preserve"> This thesis addresses issues in discretization and variance reduction methods for Monte Carlo simulation. For the discretization methods, we investigate the convergence properties of various Itˆo-Taylor schemes and the strong Taylor expansion (Siopacha and Teichmann [77]) for the LIBOR market model. We also provide an improvement on the strong Taylor expansion method which produces lower pricing bias. For the variance reduction methods, we have four contributions. Firstly, we formulate a general stochastic volatility model nesting many existing models in the literature. Secondly, we construct a correlation control variate for this model. Thirdly, we apply the model as well as the new control variate to pricing average rate and barrier options. Numerical results demonstrate the improvement over using old control variates alone. Last but not least, with the help of our model and control variate, we explore the variations in barrier option pricing consistent with the implied volatility surface.</w:t>
      </w:r>
    </w:p>
    <w:p>
      <w:pPr/>
      <w:r>
        <w:rPr>
          <w:b/>
        </w:rPr>
        <w:t>POSSIBLE 2026:</w:t>
      </w:r>
      <w:r>
        <w:t xml:space="preserve"> The Effect of Moneyness on the Pricing Accuracy of Monte Carlo Simulation: Evidence from European Call Options — https://doi.org/10.54254/2754-1169/2026.lh33729</w:t>
      </w:r>
    </w:p>
    <w:p>
      <w:pPr/>
      <w:r>
        <w:rPr>
          <w:b/>
        </w:rPr>
        <w:t>Shared claim-specific concepts:</w:t>
      </w:r>
      <w:r>
        <w:t xml:space="preserve"> monte, carlo, used, different; EU scope visible. This is a provisional connection, not an outcome finding.</w:t>
      </w:r>
    </w:p>
    <w:p>
      <w:pPr>
        <w:pStyle w:val="SourceNote"/>
      </w:pPr>
      <w:r>
        <w:rPr>
          <w:b/>
        </w:rPr>
        <w:t>Available abstract (not full text):</w:t>
      </w:r>
      <w:r>
        <w:t xml:space="preserve"> Option pricing is a central issue in financial economics because derivative valuation is essential for risk management, hedging, and investment decision-making. Among pricing methods, Monte Carlo simulation is widely used due to its flexibility and applicability in computational finance. However, for European call options, it is already well proved that Monte Carlo simulation can generate valid prices and that larger simulation sizes generally improve accuracy. Therefore, this study focuses on a more specific question: whether the finite-sample pricing accuracy of Monte Carlo simulation differs across in-the-money (ITM), at-the-money (ATM), and out-of-the-money (OTM) European call options. Using the Black-Scholes model as an analytical benchmark, the study applies an R-based Monte Carlo simulation framework to compare pricing performance under different moneyness scenarios and simulation sizes. The analysis shows that Monte Carlo pricing performance is not same across option states, as differences in payoff structure lead to different levels of pricing error and stability. The study points out that moneyness is an important factor of finite-sample simulation accuracy in European call option pricing.</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pStyle w:val="Heading2"/>
      </w:pPr>
      <w:r>
        <w:t>945.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2024:</w:t>
      </w:r>
      <w:r>
        <w:t xml:space="preserve"> More than Putin: managed pluralism in Russia's foreign policy — https://doi.org/10.1093/ia/iiae005</w:t>
      </w:r>
    </w:p>
    <w:p>
      <w:pPr/>
      <w:r>
        <w:rPr>
          <w:b/>
        </w:rPr>
        <w:t>Shared claim-specific concepts:</w:t>
      </w:r>
      <w:r>
        <w:t xml:space="preserve"> putin, russian, behaviour; EU scope not established. This is a provisional connection, not an outcome finding.</w:t>
      </w:r>
    </w:p>
    <w:p>
      <w:pPr>
        <w:pStyle w:val="SourceNote"/>
      </w:pPr>
      <w:r>
        <w:rPr>
          <w:b/>
        </w:rPr>
        <w:t>Available abstract (not full text):</w:t>
      </w:r>
      <w:r>
        <w:t xml:space="preserve"> Abstract The Russian full-scale invasion of Ukraine took most experts by surprise, but before the war, there were numerous voices in the Russian public debate calling for much tougher policies towards Ukraine and the West than the ones pursued by the government. This article challenges explanations that prioritize external factors or focus solely on President Putin and shows that examining opposition, state media and government discourses is necessary to understand Russia's foreign policy properly. The article contends that the concept of managed pluralism (defined by Harley Balzer in 2003), which has not yet been used in the analysis of Moscow's international behaviour, is a useful tool that can address the gap in the literature and shed light on important mechanisms behind Russia's foreign policy-making. Consequently, the article reveals mechanisms that, by allowing certain voices while eliminating others, steer Russia's foreign policy in a specific direction, which in this case made the invasion of Ukraine possible. Finally, it indicates that observing actors admitted to the public debate and their propositions may be a clue to the direction of Russia's future foreign policy. More broadly, this article points to policy implications and theoretical benefits of managed pluralism for our understanding of other states' foreign policies.</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pStyle w:val="Heading2"/>
      </w:pPr>
      <w:r>
        <w:t>946.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2026:</w:t>
      </w:r>
      <w:r>
        <w:t xml:space="preserve"> Problematising scripted curricula: Stenhouse’s vision of teacher enquiry in new times — https://doi.org/10.1080/09650792.2026.2626541</w:t>
      </w:r>
    </w:p>
    <w:p>
      <w:pPr/>
      <w:r>
        <w:rPr>
          <w:b/>
        </w:rPr>
        <w:t>Shared claim-specific concepts:</w:t>
      </w:r>
      <w:r>
        <w:t xml:space="preserve"> identify, united; EU scope not established. This is a provisional connection, not an outcome finding.</w:t>
      </w:r>
    </w:p>
    <w:p>
      <w:pPr>
        <w:pStyle w:val="SourceNote"/>
      </w:pPr>
      <w:r>
        <w:rPr>
          <w:b/>
        </w:rPr>
        <w:t>Available abstract (not full text):</w:t>
      </w:r>
      <w:r>
        <w:t xml:space="preserve"> This paper critically examines the proliferation of scripted curricula across Anglophone educational systems. Drawing on a prescriptive continuum analytical framework, we identify three distinct but interconnected script typologies: pedagogical, curricular, and behavioural. Through comparative examples from the United States, England, and Australia, we analyse four interrelated problem framings – efficiency, quality assurance, expertise, and consistency – that construct scripted curricula as solutions to perceived educational deficiencies. We interrogate how these framings construct particular conceptions of teaching and teacher development, while marginalising or foreclosing alternative approaches. Stenhouse’s vision of teachers as curriculum researchers serves as a critical counterpoint, highlighting what is at stake across the prescriptive spectrum when professional judgement is subordinated to external direction. Through systematic discursive analysis, this paper advances understanding of how scripted curricula materially affect teacher professionalism, pedagogical autonomy, contextual responsiveness, and educational equity, contributing to ongoing critical debates about teacher expertise and curriculum control in contemporary education systems.</w:t>
      </w:r>
    </w:p>
    <w:p>
      <w:pPr/>
      <w:r>
        <w:rPr>
          <w:b/>
        </w:rPr>
        <w:t>POSSIBLE 2024:</w:t>
      </w:r>
      <w:r>
        <w:t xml:space="preserve"> Access to Work for Those Seeking Asylum: Concerns Arising from British and Swedish Legal Strategies — https://doi.org/10.1093/indlaw/dwae004</w:t>
      </w:r>
    </w:p>
    <w:p>
      <w:pPr/>
      <w:r>
        <w:rPr>
          <w:b/>
        </w:rPr>
        <w:t>Shared claim-specific concepts:</w:t>
      </w:r>
      <w:r>
        <w:t xml:space="preserve"> seeks, identify, perspective, context; EU scope visible. This is a provisional connection, not an outcome finding.</w:t>
      </w:r>
    </w:p>
    <w:p>
      <w:pPr>
        <w:pStyle w:val="SourceNote"/>
      </w:pPr>
      <w:r>
        <w:rPr>
          <w:b/>
        </w:rPr>
        <w:t>Available abstract (not full text):</w:t>
      </w:r>
      <w:r>
        <w:t xml:space="preserve"> ABSTRACT This article seeks to probe the controversial relationship between seeking asylum and the permission (or obligation) to work. In doing so, we recognise the concurrent claims that can be made for asylum and access to the labour market, problematising the concept of ‘work’ and its relationship to freedom and dignity from the perspective of international refugee law and European human rights norms alongside European Union (EU) law. We examine how British and Swedish legal systems have reflected two starkly opposed policy stances. The UK has long denied asylum seekers the financial and psychological benefits that come with work usually until refugee status is formally granted, but the Swedish system has facilitated a complementary pathway for asylum seekers whose labour can make (what is determined politically to be) a sufficient contribution to the economy. We identify the perceived benefits and failings of each strategy. In this context, we observe that the status quo in both countries is changing and even arguably converging around an illiberal consensus regarding the relationship between asylum and work, which will demand further attention and potentially legal challenges in the years to come.</w:t>
      </w:r>
    </w:p>
    <w:p>
      <w:pPr/>
      <w:r>
        <w:rPr>
          <w:b/>
        </w:rPr>
        <w:t>POSSIBLE 2024:</w:t>
      </w:r>
      <w:r>
        <w:t xml:space="preserve"> What is a ‘quality TVET lecturer’? Problematising the concept of quality in vocational education — https://doi.org/10.14426/jovacet.v7i2.421</w:t>
      </w:r>
    </w:p>
    <w:p>
      <w:pPr/>
      <w:r>
        <w:rPr>
          <w:b/>
        </w:rPr>
        <w:t>Shared claim-specific concepts:</w:t>
      </w:r>
      <w:r>
        <w:t xml:space="preserve"> identify, based, challenge; EU scope not established. This is a provisional connection, not an outcome finding.</w:t>
      </w:r>
    </w:p>
    <w:p>
      <w:pPr>
        <w:pStyle w:val="SourceNote"/>
      </w:pPr>
      <w:r>
        <w:rPr>
          <w:b/>
        </w:rPr>
        <w:t>Available abstract (not full text):</w:t>
      </w:r>
      <w:r>
        <w:t xml:space="preserve"> Notions of ‘quality’ in technical and vocational education and training (TVET) and the ‘quality TVET lecturer’ are often referred to in policy and public discourse in South Africa but are rarely defined. This leads to only partial identification of what is necessary for driving up quality. This article reports on a review and survey of how the ‘quality TVET lecturer’ is understood in academic literature and public and policy discourse in South Africa. Through the Bourdieusian lens of fields, we identify the quality TVET lecturer as a player in two fields – education and the economy, which have distinct identities, rules and power dynamics. We argue that knowledge, skills, expertise and qualifications from both the education and the economic fields are important. Therefore, attempts to improve quality by focusing on the competence and commitment of TVET lecturers according to their teaching is likely to have a limited impact on TVET lecturer quality. While the model presented is based on work in South Africa, this framing of quality is relevant to Sustainable Development Goal 4 and the challenge faced by many TVET systems of linking TVET to industry.</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r>
        <w:rPr>
          <w:b/>
        </w:rPr>
        <w:t>POSSIBLE 2021:</w:t>
      </w:r>
      <w:r>
        <w:t xml:space="preserve"> The Resource-Seeking Internationalization Process of a Nongovernmental Organization — https://doi.org/10.1590/1807-7692bar2021190138</w:t>
      </w:r>
    </w:p>
    <w:p>
      <w:pPr/>
      <w:r>
        <w:rPr>
          <w:b/>
        </w:rPr>
        <w:t>Shared claim-specific concepts:</w:t>
      </w:r>
      <w:r>
        <w:t xml:space="preserve"> identify, perspective; EU scope not established. This is a provisional connection, not an outcome finding.</w:t>
      </w:r>
    </w:p>
    <w:p>
      <w:pPr>
        <w:pStyle w:val="SourceNote"/>
      </w:pPr>
      <w:r>
        <w:rPr>
          <w:b/>
        </w:rPr>
        <w:t>Available abstract (not full text):</w:t>
      </w:r>
      <w:r>
        <w:t xml:space="preserve"> This paper aims at investigating the resource-seeking internationalization process of an international nongovernmental organization (INGO) from the process point of view. INGOs have received scant attention in the international business literature, despite their relevance in almost every aspect of aid and development and as actors of global governance. The research question addresses the issue of whether or not INGOs can follow a path similar to business firms in their internationalization process. The study departs from two different theoretical perspectives - the Uppsala model and the born global perspective - to study the case of the NGO Médecins Sans Frontières (Doctors Without Borders), an international, private, nonprofit, member-based organization. We identify three stages in the resource-seeking internationalization process of the NGO, which present similarities with that of business organizations. The study contributes to the IB literature by revealing key aspects of the internationalization trajectory of an NGO to raise funds and recruit volunteers in advanced and emerging economies with the purpose of employing these resources to support its emergency assistance activities in less developed countries, and to the literature on INGOs in exploring the issue of resource-seeking internationalization.</w:t>
      </w:r>
    </w:p>
    <w:p>
      <w:pPr>
        <w:pStyle w:val="Heading2"/>
      </w:pPr>
      <w:r>
        <w:t>947.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2026:</w:t>
      </w:r>
      <w:r>
        <w:t xml:space="preserve"> Critical theory and European labour law : insights from the past — https://openalex.org/W7114825387</w:t>
      </w:r>
    </w:p>
    <w:p>
      <w:pPr/>
      <w:r>
        <w:rPr>
          <w:b/>
        </w:rPr>
        <w:t>Shared claim-specific concepts:</w:t>
      </w:r>
      <w:r>
        <w:t xml:space="preserve"> critical, comparative, different; EU scope visible. This is a provisional connection, not an outcome finding.</w:t>
      </w:r>
    </w:p>
    <w:p>
      <w:pPr>
        <w:pStyle w:val="SourceNote"/>
      </w:pPr>
      <w:r>
        <w:rPr>
          <w:b/>
        </w:rPr>
        <w:t>Available abstract (not full text):</w:t>
      </w:r>
      <w:r>
        <w:t xml:space="preserve"> This chapter employs insights from critical theory to critique the current shape of European labour law and to generate insights into the different political, economic, and social factors which shaped its development. In order to undertake such a critique, this chapter operationalises critical theory through minor literature and comparative law, or the concept of a ‘minor comparativism’. A ‘minor comparativism’ as a legal method aims to reveal something about the legal system that would not reveal itself but through the practice of adopting a ‘foreign’ or ‘minority’ perspective; focusing on those whose views have escaped the legal record. It enables scholars and policymakers both to challenge conventional assumptions and to reimagine the development of the legal system by taking up the reflections of the minority. By adopting such a perspective, the critique of European labour law’s historical development unearths the foundational value of solidarity and considers how this value provides opportunities for scholars and policymakers to develop different starting points for European labour law’s development.</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2025:</w:t>
      </w:r>
      <w:r>
        <w:t xml:space="preserve"> An Overview of Intelligent Transportation Systems in Europe — https://doi.org/10.3390/wevj16070387</w:t>
      </w:r>
    </w:p>
    <w:p>
      <w:pPr/>
      <w:r>
        <w:rPr>
          <w:b/>
        </w:rPr>
        <w:t>Shared claim-specific concepts:</w:t>
      </w:r>
      <w:r>
        <w:t xml:space="preserve"> overview, many; EU scope visible. This is a provisional connection, not an outcome finding.</w:t>
      </w:r>
    </w:p>
    <w:p>
      <w:pPr>
        <w:pStyle w:val="SourceNote"/>
      </w:pPr>
      <w:r>
        <w:rPr>
          <w:b/>
        </w:rPr>
        <w:t>Available abstract (not full text):</w:t>
      </w:r>
      <w:r>
        <w:t xml:space="preserve"> A revolutionary approach to improving the efficiency, safety and sustainability of transport networks across the continent is the deployment of Intelligent Transport Systems (ITS) in Europe. Since the European Commission’s 2010 Directive, the Framework for the Deployment of ITS has made significant progress to address important issues such as traffic congestion, road safety and environmental impact. ITS is considered essential for achieving the EU’s ambitious climate goals and for improving the quality of urban life through innovative mobility solutions.ITS has a vital role in optimizing transportation operations and integrating complex technologies such as vehicle-to-vehicle communication, real-time data analysis, and automated traffic management. This integration has improved the transportation ecosystem, providing both operators and users with better decision-making opportunities. Studies show that ITS initiatives also have many socioeconomic benefits, such as reduced fuel consumption and shorter travel times.In Europe, the development of ITS face obstacles despite progress. These include regulatory issues, technical interoperability issues and the need to increase data sharing between stakeholders. These issues have sparked ongoing discussions about the effectiveness of the current legislative framework and the need for more uniform policies to promote innovation and cooper</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pStyle w:val="Heading2"/>
      </w:pPr>
      <w:r>
        <w:t>948.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security;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2024:</w:t>
      </w:r>
      <w:r>
        <w:t xml:space="preserve"> Strengthening European Energy Policy — https://doi.org/10.1007/978-3-031-66481-6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This open access book is collaborations between the Social Sciences and Humanities, and Science, Technology, Engineering Mathematics disciplines</w:t>
      </w:r>
    </w:p>
    <w:p>
      <w:pPr/>
      <w:r>
        <w:rPr>
          <w:b/>
        </w:rPr>
        <w:t>POSSIBLE 2024:</w:t>
      </w:r>
      <w:r>
        <w:t xml:space="preserve"> European roadmaps to achieving 2030 renewable energy targets — https://doi.org/10.1016/j.jup.2024.101729</w:t>
      </w:r>
    </w:p>
    <w:p>
      <w:pPr/>
      <w:r>
        <w:rPr>
          <w:b/>
        </w:rPr>
        <w:t>Shared claim-specific concepts:</w:t>
      </w:r>
      <w:r>
        <w:t xml:space="preserve"> energy, effective; EU scope visible. This is a provisional connection, not an outcome finding.</w:t>
      </w:r>
    </w:p>
    <w:p>
      <w:pPr>
        <w:pStyle w:val="SourceNote"/>
      </w:pPr>
      <w:r>
        <w:rPr>
          <w:b/>
        </w:rPr>
        <w:t>Available abstract (not full text):</w:t>
      </w:r>
      <w:r>
        <w:t xml:space="preserve">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pStyle w:val="Heading2"/>
      </w:pPr>
      <w:r>
        <w:t>949.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2026:</w:t>
      </w:r>
      <w:r>
        <w:t xml:space="preserve"> LDL CHOLESTEROL TARGETS IN SECONDARY PREVENTION: HOW TO MEET THIS CHALLENGE? — https://doi.org/10.54033/stebook.978-65-83309-61-7_8</w:t>
      </w:r>
    </w:p>
    <w:p>
      <w:pPr/>
      <w:r>
        <w:rPr>
          <w:b/>
        </w:rPr>
        <w:t>Shared claim-specific concepts:</w:t>
      </w:r>
      <w:r>
        <w:t xml:space="preserve"> meet, challenge, case, present, high; EU scope not established. This is a provisional connection, not an outcome finding.</w:t>
      </w:r>
    </w:p>
    <w:p>
      <w:pPr>
        <w:pStyle w:val="SourceNote"/>
      </w:pPr>
      <w:r>
        <w:rPr>
          <w:b/>
        </w:rPr>
        <w:t>Available abstract (not full text):</w:t>
      </w:r>
      <w:r>
        <w:t xml:space="preserve"> Complex abdominal wall hernias present a significant challenge in general surgery, characterized by high recurrence rates and associated complications.This study aims to identify and analyze the main predictive factors for the development of these hernias, motivated by the need to optimize surgical planning and improve patient outcomes.To this end, an integrative literature review was conducted using the PICO strategy.Five full-text articles in English were selected from the PubMed, SciELO, and Cochrane Library databases, covering the period from 2014 to 2024.Exclusion criteria included studies not available in full, case studies, and experience reports that did not directly address the topic.The findings indicate that factors such as obesity, smoking, previous surgeries, surgical site infections, and certain medical conditions are significant predictors.It is concluded that the identification and management of these predictive factors are essential for reducing the risk of complex hernias and improving surgical outcomes.</w:t>
      </w:r>
    </w:p>
    <w:p>
      <w:pPr/>
      <w:r>
        <w:rPr>
          <w:b/>
        </w:rPr>
        <w:t>POSSIBLE 2026:</w:t>
      </w:r>
      <w:r>
        <w:t xml:space="preserve"> Value-Engineered Design Optimization of a Recycled Plastic Bracket to Meet Natural Frequency Targets in Passenger Vehicles — https://doi.org/10.4271/2026-26-0355</w:t>
      </w:r>
    </w:p>
    <w:p>
      <w:pPr/>
      <w:r>
        <w:rPr>
          <w:b/>
        </w:rPr>
        <w:t>Shared claim-specific concepts:</w:t>
      </w:r>
      <w:r>
        <w:t xml:space="preserve"> order, meet, present; EU scope not established. This is a provisional connection, not an outcome finding.</w:t>
      </w:r>
    </w:p>
    <w:p>
      <w:pPr>
        <w:pStyle w:val="SourceNote"/>
      </w:pPr>
      <w:r>
        <w:rPr>
          <w:b/>
        </w:rPr>
        <w:t>Available abstract (not full text):</w:t>
      </w:r>
      <w:r>
        <w:t xml:space="preserve"> Engine mount brackets are a primary structural components of passenger vehicles that supports the powertrain to the chassis via engine mounts. These brackets are important to control vibrations and the transmission of noise into the cabin as well as vehicle stability. Since they support the engine mounts, these brackets play a role in determining ride comfort and load distribution on the mounts and the engine. While traditionally made from steel, cast iron and aluminum, we are trying to redesign engine mount brackets with recyclable engineering plastics to fit current demands of light-weighting, cost efficiency, and sustainability. The present work is concerned with the design of a plastic engine mount bracket, which aims to hit specified natural frequency targets in order to avoid resonance and fulfill strict NVH (Noise, Vibration, and Harshness) requirements. Because of the superior mechanical strength, thermal stability, and vibration-dampening properties, PPS, glass-fiber reinforced polyamide (PA66-GF50), PEEK (polyether ether ketone), and other high-performance reinforced plastics like polyphenylene sulfide were taken into consideration. These materials can be used in structural automotive applications in place of metals. Through the Finite Element Analysis, modal analysis, CAE based durability simulations and vehicle-level testing the optimized bracket proven to meet stru</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pStyle w:val="Heading2"/>
      </w:pPr>
      <w:r>
        <w:t>950.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2025:</w:t>
      </w:r>
      <w:r>
        <w:t xml:space="preserve"> Preemptive hospital evacuation during the 2021 European floods: A qualitative study on factors influencing decision-making — https://doi.org/10.1016/j.joclim.2025.100460</w:t>
      </w:r>
    </w:p>
    <w:p>
      <w:pPr/>
      <w:r>
        <w:rPr>
          <w:b/>
        </w:rPr>
        <w:t>Shared claim-specific concepts:</w:t>
      </w:r>
      <w:r>
        <w:t xml:space="preserve"> major, process, methods; EU scope visible. This is a provisional connection, not an outcome finding.</w:t>
      </w:r>
    </w:p>
    <w:p>
      <w:pPr>
        <w:pStyle w:val="SourceNote"/>
      </w:pPr>
      <w:r>
        <w:rPr>
          <w:b/>
        </w:rPr>
        <w:t>Available abstract (not full text):</w:t>
      </w:r>
      <w:r>
        <w:t xml:space="preserve"> Introduction: In July 2021, several European countries were affected by severe floods, with water levels of the river Meuse reaching a record high. It was decided to completely evacuate VieCuri Medical Center (Venlo, The Netherlands), a hospital located directly adjacent to this river. The aim of this study was to explore the decision-making process of this emergency hospital evacuation. Methods: This descriptive qualitative study assessed factors influencing the decision-making process of this hospital evacuation. Data were collected through semi-structured interviews with 11 key stakeholders. Data were analyzed by reflexive thematic analysis. Results: Three themes were constructed from the interviews: risk-assessment and estimation; prior experience; and prerequisites for evacuation. The decision to evacuate was made when there was uncertainty regarding maximum water level forecasts. Therefore, the risks of a hospital evacuation were balanced against the risk of the loss of essential services in case of a dike breach. Prior experiences with crises played a major role, and the use of a national patient coordination center (NPCC), which was established during the COVID-19 pandemic, enabled rapid assessment of the capacity of destination hospitals and facilitated patient transfers. It was determined that prerequisites for evacuation include clear evacuation guidelines, concise c</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Bending the Automation Bias Curve: A Study of Human and AI-Based Decision Making in National Security Contexts — https://doi.org/10.1093/isq/sqae020</w:t>
      </w:r>
    </w:p>
    <w:p>
      <w:pPr/>
      <w:r>
        <w:rPr>
          <w:b/>
        </w:rPr>
        <w:t>Shared claim-specific concepts:</w:t>
      </w:r>
      <w:r>
        <w:t xml:space="preserve"> making, security, context; EU scope not established. This is a provisional connection, not an outcome finding.</w:t>
      </w:r>
    </w:p>
    <w:p>
      <w:pPr>
        <w:pStyle w:val="SourceNote"/>
      </w:pPr>
      <w:r>
        <w:rPr>
          <w:b/>
        </w:rPr>
        <w:t>Available abstract (not full text):</w:t>
      </w:r>
      <w:r>
        <w:t xml:space="preserve"> Abstract Uses of artificial intelligence (AI) are growing around the world. What will influence AI adoption in the international security realm? Research on automation bias suggests that humans can often be overconfident in AI, whereas research on algorithm aversion shows that, as the stakes of a decision rise, humans become more cautious about trusting algorithms. We theorize about the relationship between background knowledge about AI, trust in AI, and how these interact with other factors to influence the probability of automation bias in the international security context. We test these in a preregistered task identification experiment across a representative sample of 9,000 adults in nine countries with varying levels of AI industries. The results strongly support the theory, especially concerning AI background knowledge. A version of the Dunning–Kruger effect appears to be at play, whereby those with the lowest level of experience with AI are slightly more likely to be algorithm-averse, then automation bias occurs at lower levels of knowledge before leveling off as a respondent’s AI background reaches the highest levels. Additional results show effects from the task’s difficulty, overall AI trust, and whether a human or AI decision aid is described as highly competent or less competent.</w:t>
      </w:r>
    </w:p>
    <w:p>
      <w:pPr/>
      <w:r>
        <w:rPr>
          <w:b/>
        </w:rPr>
        <w:t>POSSIBLE 2024:</w:t>
      </w:r>
      <w:r>
        <w:t xml:space="preserve"> Regional food security management based on Data Driven Decision Making — https://doi.org/10.46666/2024-1.2708-9991.02</w:t>
      </w:r>
    </w:p>
    <w:p>
      <w:pPr/>
      <w:r>
        <w:rPr>
          <w:b/>
        </w:rPr>
        <w:t>Shared claim-specific concepts:</w:t>
      </w:r>
      <w:r>
        <w:t xml:space="preserve"> making, decisions, security, methods, used, context; EU scope not established. This is a provisional connection, not an outcome finding.</w:t>
      </w:r>
    </w:p>
    <w:p>
      <w:pPr>
        <w:pStyle w:val="SourceNote"/>
      </w:pPr>
      <w:r>
        <w:rPr>
          <w:b/>
        </w:rPr>
        <w:t>Available abstract (not full text):</w:t>
      </w:r>
      <w:r>
        <w:t xml:space="preserve"> The goal is to study the effectiveness of food security management in the country and regions based on the principles of Data Driven Decision Making (DDDM) for making justified and effective decisions. This research was carried out as part of implementation of the tasks of the project on grant financing of Science Committee of the Ministry of Science and Higher Education of the Republic of Kazakhstan on the topic AP14871923 “Management of regional food security in the context of global challenges based on the concept of Data Driven Decision Making.” Methods - the works of domestic and foreign economists concerning the problems of food supply in the context of globalization and integration of the country's economy were used as theoretical and methodological basis for the study. Scientific research methods: monographic, abstract, logical, systemic and complex analysis, statistical data processing, structural-functional approach. Results - the authors considered the possibility of using DDDM in agricultural sector. Conclusions - implementation of the results allows to obtain a multiplier effect associated with achieving sustainability of agro-industrial system of the country's regions through the implementation of DDDM principles in practical activities of central state and local authorities. It is substantiated that the use of the concept of decision-making based on Data Driven D</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pStyle w:val="Heading2"/>
      </w:pPr>
      <w:r>
        <w:t>951.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2026:</w:t>
      </w:r>
      <w:r>
        <w:t xml:space="preserve"> Epidemiology and Economic Burden of Sleep Disorders in Europe. — https://doi.org/10.48620/94666</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million),</w:t>
      </w:r>
    </w:p>
    <w:p>
      <w:pPr/>
      <w:r>
        <w:rPr>
          <w:b/>
        </w:rPr>
        <w:t>POSSIBLE 2026:</w:t>
      </w:r>
      <w:r>
        <w:t xml:space="preserve"> Direct and indirect genetic effects of birthweight predisposition on child DNA methylation at birth — https://doi.org/10.1080/15592294.2026.2654101</w:t>
      </w:r>
    </w:p>
    <w:p>
      <w:pPr/>
      <w:r>
        <w:rPr>
          <w:b/>
        </w:rPr>
        <w:t>Shared claim-specific concepts:</w:t>
      </w:r>
      <w:r>
        <w:t xml:space="preserve"> investigate, direct, indirect, important, health, associated; EU scope visible. This is a provisional connection, not an outcome finding.</w:t>
      </w:r>
    </w:p>
    <w:p>
      <w:pPr>
        <w:pStyle w:val="SourceNote"/>
      </w:pPr>
      <w:r>
        <w:rPr>
          <w:b/>
        </w:rPr>
        <w:t>Available abstract (not full text):</w:t>
      </w:r>
      <w:r>
        <w:t xml:space="preserve"> Abstract Background Birthweight is heritable and strongly associated with epigenetic differences at birth. It is unclear whether a genetic birthweight score is associated with DNA methylation (DNAm) and, if so, whether through direct genetic effects (i.e., child genotype) or indirect genetic effects (i.e., parental genotype, independent of child genotype), which are suspected to be mediated by the prenatal environment (e.g. metabolic factors). Methods We constructed polygenic scores (PGS) for birthweight predisposition in mothers and children using an existing ‘pre-adjusted’ GWAS assessing maternal indirect effects (maternal genotype on offspring birthweight, correcting for offspring genotype) or fetal effects (offspring genotype on offspring birthweight, correcting for maternal genotype) in 2116 families from the Generation R Study. Offspring DNAm levels at 829 birthweight-related sites were then regressed on both maternal and fetal effect PGS. Additionally, we aggregated 829 DNAm sites into a methylation profile score for birthweight (MPS-BW) and tested which pregnancy health factors (n=13) might mediate genetic effects. Findings We identified six DNAm sites associated with maternal indirect effects and the birthweight MPS revealed indirect genetic associations, as well. Gestational age partly mediated maternal indirect effects on DNAm, but no other mediators were identified.</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health; EU scope visible. This is a provisional connection, not an outcome finding.</w:t>
      </w:r>
    </w:p>
    <w:p>
      <w:pPr>
        <w:pStyle w:val="SourceNote"/>
      </w:pPr>
      <w:r>
        <w:rPr>
          <w:b/>
        </w:rPr>
        <w:t>Available abstract (not full text):</w:t>
      </w:r>
      <w:r>
        <w:t xml:space="preserve"> Translations For the French and Spanish translations of the abstract see Supplementary Materials section.</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2025:</w:t>
      </w:r>
      <w:r>
        <w:t xml:space="preserve"> Direct and Indirect Effects of Cancer Screening Invitations on Participation in Europe: A Quasi-Experimental Analysis — https://doi.org/10.21203/rs.3.rs-7891986/v1</w:t>
      </w:r>
    </w:p>
    <w:p>
      <w:pPr/>
      <w:r>
        <w:rPr>
          <w:b/>
        </w:rPr>
        <w:t>Shared claim-specific concepts:</w:t>
      </w:r>
      <w:r>
        <w:t xml:space="preserve"> direct, indirect;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important;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952.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direct, associated, billion;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Healthcare costs and burden of myasthenia gravis for patients and society: a systematic review — https://doi.org/10.1007/s00415-026-14111-6</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BACKGROUND AND OBJECTIVES: New and costly therapies for myasthenia gravis (MG) have been approved during the last years, and many more are in the pipeline. Cost-benefit analyses are needed as part of defining start and stop criteria for such treatments. In this systematic review, we examine healthcare costs associated with MG: METHODS: A systematic literature search combined the word "myasthenia gravis" with "health resources", and "costs". 1374 records were identified initially, and 44 were included in the final review. RESULTS: Direct costs include treatment and follow-up in the primary and specialist health care. They were estimated to €3 500-12 000 per MG patient per year in the Nordic countries, similar in other European countries, and higher in United States. Indirect costs include productivity loss, welfare payments, time loss due to medical follow-up, and productivity loss for caregivers. They were estimated to €2 500-8 700 per patient per year in the Nordic countries, the highest figures appearing when all indirect costs were accounted for. A marked reduction in working capacity and an increase in welfare payments due to MG have been reported. Intangible costs include value of lost life-years and reduced quality of life, which are rarely assessed, but have been estimated to be half of the total societal MG costs. DISCUSSION: Total costs of MG need to be included togeth</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2025:</w:t>
      </w:r>
      <w:r>
        <w:t xml:space="preserve"> Complex Societal and Economic Impact of Sclerosis Multiplex in Slovakia: Decade-long Burden of Disease Moving Beyond Healthcare — https://doi.org/10.1007/s44411-025-00362-8</w:t>
      </w:r>
    </w:p>
    <w:p>
      <w:pPr/>
      <w:r>
        <w:rPr>
          <w:b/>
        </w:rPr>
        <w:t>Shared claim-specific concepts:</w:t>
      </w:r>
      <w:r>
        <w:t xml:space="preserve"> direct, healthcare, million, over; EU scope visible. This is a provisional connection, not an outcome finding.</w:t>
      </w:r>
    </w:p>
    <w:p>
      <w:pPr>
        <w:pStyle w:val="SourceNote"/>
      </w:pPr>
      <w:r>
        <w:rPr>
          <w:b/>
        </w:rPr>
        <w:t>Available abstract (not full text):</w:t>
      </w:r>
      <w:r>
        <w:t xml:space="preserve"> Abstract Introduction Multiple sclerosis (MS) is a chronic inflammatory and demyelinating disease of the central nervous system predominantly affecting young adults of working age, with significant implications for patients, healthcare systems, and society. Globally, MS prevalence reached 2.8 million in 2020, a 32% increase since 2013, with Europe showing the highest incidence. The economic burden extends beyond direct healthcare costs to include substantial indirect costs such as productivity losses and informal care. In Slovakia, prior studies focused mainly on direct costs, but evolving treatment options and healthcare delivery necessitate a comprehensive assessment of both direct and indirect costs over the last decade. Methods This study conducted a retrospective, prevalence-based analysis of the economic burden of MS in Slovakia from 2013 to 2022, adopting a societal perspective. Data were obtained from national health insurance companies for direct healthcare costs and the Social Insurance Agency for indirect costs related to productivity losses. The human capital approach was used to estimate productivity loss costs. The methodology aligns with European cost-of-illness frameworks, distinguishing direct costs (drugs, therapies, hospitalizations) from indirect costs (work disability, absenteeism, informal care). Results MS prevalence in Slovakia increased by 43.3% between</w:t>
      </w:r>
    </w:p>
    <w:p>
      <w:pPr/>
      <w:r>
        <w:rPr>
          <w:b/>
        </w:rPr>
        <w:t>POSSIBLE 2025:</w:t>
      </w:r>
      <w:r>
        <w:t xml:space="preserve"> Impact of RSV hospitalization on healthcare costs, caregivers’ productivity loss, and quality of life in children ≤ 2 years old in five European countries — https://doi.org/10.1007/s00431-025-06460-7</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Respiratory syncytial virus (RSV) is a leading cause of hospitalizations in young children globally. We evaluated direct medical costs, caregiver work loss, and child quality of life (QoL) impairment associated with RSV hospitalization. Children ≤ 2 years with laboratory-confirmed RSV infection were prospectively identified between October 2020 and May 2023 at ten hospitals in Germany, Spain, Italy, France, and England. Direct costs were calculated based on country-specific unit costs per hospital day. Productivity loss and QoL impairment were ascertained by two validated, caregiver-administered instruments: 1) Work Productivity and Activity Impairment Questionnaire: Child’s Hospitalization for Respiratory Illness (WPAI:CHRI), administered before discharge and 2) TNO AZL Child Quality of Life (TAPQOL), administered at baseline (shortly after admission) and before discharge. Among 382 hospitalized children, 261 (69%) were &lt; 6 months and 306 (80%) were previously healthy. Median length of stay was 6 days (Interquartile Range (IQR) 4–8) and 50 (13%) were admitted to Paediatric Intensive Care Unit (PICU). Median hospital costs/admission were €4,266 (IQR 2,438–8,442), substantially varying by country (range €2,377-€8,541). Productivity loss was substantial with 129/211 (61%) employed caregivers reporting lost work-hours (mean 30.5 ± 18/admission). Child QoL was significantly reduced</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healthcare, population;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pStyle w:val="Heading2"/>
      </w:pPr>
      <w:r>
        <w:t>953.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954.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2025:</w:t>
      </w:r>
      <w:r>
        <w:t xml:space="preserve"> Local Demand for AI Skills: A Multiscale Perspective in Great Britain — https://doi.org/10.1080/24694452.2025.2511939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Discussions about artificial intelligence (AI) tend to ignore local geographies of labor demand for AI skills and adoption of such technologies. A potential explanation is the lack of granular enough data to capture spatial patterns and evolution of AI usage. Here, we employ novel data about online job advertisements (OJAs), which allow us to map and model the spatial pattern of labor demand for AI skills. Specifically, we calculate location quotients of labor demand for AI skills at a very detailed geographical level of lower layer super output areas (LSOAs) in Great Britain between 2017 and 2022. We then model these location quotients using multilevel zero-inflated negative binomial (MZNB) models with offset terms. Specifically, we regress the AI location quotients on local specialization in job categories aggregated at the neighborhood (LSOA) level, and on broader labor market effects measured at the local authority district (LAD) level. Our results illustrate that spatial concentration of labor demand for AI skills is significantly correlated with job specialization in information technology (IT) and scientific industries at the LSOA level. Furthermore, job specialization in IT or scientific industries at the higher LAD level further enhances the significant and positive effect of neighborhood specialization in IT. Research results reveal the presence of self-reinforcing sp</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2024:</w:t>
      </w:r>
      <w:r>
        <w:t xml:space="preserve"> Demand-Driven Challenges to Food Security: A Developing World Perspective — https://openalex.org/W7217394617</w:t>
      </w:r>
    </w:p>
    <w:p>
      <w:pPr/>
      <w:r>
        <w:rPr>
          <w:b/>
        </w:rPr>
        <w:t>Shared claim-specific concepts:</w:t>
      </w:r>
      <w:r>
        <w:t xml:space="preserve"> findings, developing, nations; EU scope not established. This is a provisional connection, not an outcome finding.</w:t>
      </w:r>
    </w:p>
    <w:p>
      <w:pPr>
        <w:pStyle w:val="SourceNote"/>
      </w:pPr>
      <w:r>
        <w:rPr>
          <w:b/>
        </w:rPr>
        <w:t>Available abstract (not full text):</w:t>
      </w:r>
      <w:r>
        <w:t xml:space="preserve"> Objective: This study explores the impact of short-run and long-run demand-side drivers on the food security in developing countries. Research Gap: The paper utilizes a rich dataset consisting on 89 nations spanning from the years 1990 to 2020. A research gap exists in the collective exploration of all four dimensions of food security. Prior to the present study, there was a scanty literature addressing this comprehensive approach. Methodology: The present study employs Method of Moments Quantile Regression (MMQR). The application of the MMQR technique to analyze the interconnections among food security, agricultural exports, income inequality, economic growth and demand-driven forces of food security has limited in previous literature. This underscores the need for a more nuanced understanding of the relationships between these variables. The Main Findings: The results reveal that overall population growth (PG) as well as urban population growth (UPG) serves as the persistent impediment towards the achievement of sustainable food security. However, official development assistance (ODA) shows a positive impact on availability and utilization dimensions. As well as, ODA can reduce undernourishment leading to improved access to nutritious food in developing countries. Implications of Findings: The study recommends promoting family planning to address population pressures and emph</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pStyle w:val="Heading2"/>
      </w:pPr>
      <w:r>
        <w:t>955.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2024:</w:t>
      </w:r>
      <w:r>
        <w:t xml:space="preserve"> The Impact of Home Environment Insecurity on Tourists’ Self-Protective Behavior in the Event of a Terrorist Attack — https://doi.org/10.1177/00472875241288852</w:t>
      </w:r>
    </w:p>
    <w:p>
      <w:pPr/>
      <w:r>
        <w:rPr>
          <w:b/>
        </w:rPr>
        <w:t>Shared claim-specific concepts:</w:t>
      </w:r>
      <w:r>
        <w:t xml:space="preserve"> terrorist, attacks, london, lack; EU scope not established. This is a provisional connection, not an outcome finding.</w:t>
      </w:r>
    </w:p>
    <w:p>
      <w:pPr>
        <w:pStyle w:val="SourceNote"/>
      </w:pPr>
      <w:r>
        <w:rPr>
          <w:b/>
        </w:rPr>
        <w:t>Available abstract (not full text):</w:t>
      </w:r>
      <w:r>
        <w:t xml:space="preserve"> Terrorist attacks have a profound and lasting impact on tourism destinations and tourists’ safety. By applying protection motivation theory as the theoretical lens and adopting the threat of a terrorist attack in London as the study context, this study examines the impact of home environment insecurity on tourists’ risk evaluation (i.e., threat and coping appraisals) and self-protective behavioral intentions amid a terrorism incident while traveling. Data were collected from 793 U.S.-based respondents in Amazon-Mturk. The results show that tourists’ home environment insecurity has a positive (vs. negative) impact on their threat (vs. coping) appraisal of the terrorism related risk. Notably, the lack of security in one’s home environment indirectly affects tourists’ tendency to adopt self-protective measures, through tourists’ coping appraisal in relation to their self-efficacy and response-efficacy. This study offers valuable theoretical and practical insights that may enhance tourist safety during a terrorism incident.</w:t>
      </w:r>
    </w:p>
    <w:p>
      <w:pPr/>
      <w:r>
        <w:rPr>
          <w:b/>
        </w:rPr>
        <w:t>POSSIBLE 2024:</w:t>
      </w:r>
      <w:r>
        <w:t xml:space="preserve"> Artificial Intelligence on Journalism: Algorithmic Power Targeting the Crack in Memory in the Example of ‘Religious Wave’ Terrorist Attacks — https://doi.org/10.47951/mediad.1523167</w:t>
      </w:r>
    </w:p>
    <w:p>
      <w:pPr/>
      <w:r>
        <w:rPr>
          <w:b/>
        </w:rPr>
        <w:t>Shared claim-specific concepts:</w:t>
      </w:r>
      <w:r>
        <w:t xml:space="preserve"> terrorist, attacks, practice, critical; EU scope not established. This is a provisional connection, not an outcome finding.</w:t>
      </w:r>
    </w:p>
    <w:p>
      <w:pPr>
        <w:pStyle w:val="SourceNote"/>
      </w:pPr>
      <w:r>
        <w:rPr>
          <w:b/>
        </w:rPr>
        <w:t>Available abstract (not full text):</w:t>
      </w:r>
      <w:r>
        <w:t xml:space="preserve"> The digital technology that governs this historical process is a partner in the creation of an ambiguous world with its image attached to everyday life forms. This picture the world is trapped in is becoming clearer in journalism practices. As the sector becomes acquainted with new forms of journalism, the responsibility of the news reader to be a truth reader increases. AI is visible in news production, from access to the source to the production. This study emerged from the necessity of considering the news-power-technology relationship and the memory distortion dynamics of global power structures together. In this study, which aims to point out the risks of AI news in the context of memory distortion, the ‘religious wave’ terrorist attacks are taken into consideration. Critical discourse analysis was used in this research conducted on a sample of the ChatGPT’s news regarding 9/11, 7/7, 2015 Paris and Christchurch attacks. The findings show that the discourse of global power is repeated in artificial intelligence news on religion-based terrorist attacks and that technology targeting social memory reproduces the ideology of power. Accordingly, an intensive reading practice can be recommended to the interlocutors of the news against the news emerging from AI algorithms.</w:t>
      </w:r>
    </w:p>
    <w:p>
      <w:pPr>
        <w:pStyle w:val="Heading2"/>
      </w:pPr>
      <w:r>
        <w:t>956.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2025:</w:t>
      </w:r>
      <w:r>
        <w:t xml:space="preserve"> Total Nitrogen Shapes Diversity of Bloom-Forming Dinoflagellates in the Baltic Coastal Waters — https://doi.org/10.3390/biology15010048</w:t>
      </w:r>
    </w:p>
    <w:p>
      <w:pPr/>
      <w:r>
        <w:rPr>
          <w:b/>
        </w:rPr>
        <w:t>Shared claim-specific concepts:</w:t>
      </w:r>
      <w:r>
        <w:t xml:space="preserve"> total, nitrogen, based; EU scope not established. This is a provisional connection, not an outcome finding.</w:t>
      </w:r>
    </w:p>
    <w:p>
      <w:pPr>
        <w:pStyle w:val="SourceNote"/>
      </w:pPr>
      <w:r>
        <w:rPr>
          <w:b/>
        </w:rPr>
        <w:t>Available abstract (not full text):</w:t>
      </w:r>
      <w:r>
        <w:t xml:space="preserve"> The impact of nitrogen on harmful algal blooms (HABs) and functions of biota in marine ecosystems under eutrophication is a topical issue of growing importance. The article aimed at describing the diversity of planktonic bloom-forming dinoflagellates in the SW Baltic Sea coastal waters under variable eutrophication. The analysis of 44 year-long database revealed 82 dinoflagellate species and demonstrated diversity patterns of ten common bloom-forming species, including seven mixotrophs from the genera Prorocentrum, Dinophysis, and Ceratium, under variable eutrophication evaluated using total nitrogen (TN) content in water. Based on the Intermediate Disturbance Hypothesis (IDH), we presumed those coastal waters with total nitrogen concentrations that are optimal to dinoflagellates to host greater taxonomic diversity compared to areas with non-optimum TN content. The results showed that the highest dinoflagellate species richness was associated with much lower TN concentrations than the optimum values for these species. Thus, our findings disagreed with the IDH. We suggested and discussed possible reasons of this inconsistency, including algal growth rates and disturbance frequency. We also updated the classification of eutrophication levels in the Baltic Sea based on the distribution of TN content and diversity of HAB-forming dinoflagellates. The results can contribute to predic</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Ammonia emission estimates using CrIS satellite observations over Europe — https://doi.org/10.5194/acp-24-10583-2024</w:t>
      </w:r>
    </w:p>
    <w:p>
      <w:pPr/>
      <w:r>
        <w:rPr>
          <w:b/>
        </w:rPr>
        <w:t>Shared claim-specific concepts:</w:t>
      </w:r>
      <w:r>
        <w:t xml:space="preserve"> total, nitrogen, due; EU scope visible. This is a provisional connection, not an outcome finding.</w:t>
      </w:r>
    </w:p>
    <w:p>
      <w:pPr>
        <w:pStyle w:val="SourceNote"/>
      </w:pPr>
      <w:r>
        <w:rPr>
          <w:b/>
        </w:rPr>
        <w:t>Available abstract (not full text):</w:t>
      </w:r>
      <w:r>
        <w:t xml:space="preserve">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pPr>
        <w:pStyle w:val="Heading2"/>
      </w:pPr>
      <w:r>
        <w:t>957.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2025:</w:t>
      </w:r>
      <w:r>
        <w:t xml:space="preserve"> Enhancing anthropogenic NMVOC emission speciation for European air quality modelling — https://doi.org/10.1016/j.envpol.2025.126510</w:t>
      </w:r>
    </w:p>
    <w:p>
      <w:pPr/>
      <w:r>
        <w:rPr>
          <w:b/>
        </w:rPr>
        <w:t>Shared claim-specific concepts:</w:t>
      </w:r>
      <w:r>
        <w:t xml:space="preserve"> air, modelling; EU scope visible. This is a provisional connection, not an outcome finding.</w:t>
      </w:r>
    </w:p>
    <w:p>
      <w:pPr>
        <w:pStyle w:val="SourceNote"/>
      </w:pPr>
      <w:r>
        <w:rPr>
          <w:b/>
        </w:rPr>
        <w:t>Available abstract (not full text):</w:t>
      </w:r>
      <w:r>
        <w:t xml:space="preserve"> Non-Methane Volatile Organic Compounds (NMVOCs) impact health and air quality, contributing to ozone and secondary organic aerosols (SOA). With stricter pollutant limits and a growing emphasis on modelling under the new European Ambient Air Quality Directive, improving NMVOC representation—particularly in terms of speciation—is essential. Current state-of-the-art European inventories rely on outdated data, potentially limiting accuracy. This study assesses for the first time the CAMS-REGv7.1 NMVOC emission inventory across Europe and evaluates the impact of replacing its default speciation with a more recent alternative using the MONARCH chemical transport model, comparing results with benzene, toluene and xylene observations for 2019. The impact of changing the speciation on modelled O 3 is also quantified. The updated speciation shows significant changes in emissions across NMVOC species, with all species showing changes greater than ±15 %, significantly affecting their spatial distribution and sector contributions. Air quality modelling results show notable improvements for benzene (average NMB from -46.1 % to -27.7 %), primarily driven by a better split of residential wood combustion NMVOC proposed in this work. For toluene and xylenes, major overestimations previously observed in capital cities are largely reduced by improving the characterization of solvent activities wit</w:t>
      </w:r>
    </w:p>
    <w:p>
      <w:pPr/>
      <w:r>
        <w:rPr>
          <w:b/>
        </w:rPr>
        <w:t>POSSIBLE 2025:</w:t>
      </w:r>
      <w:r>
        <w:t xml:space="preserve"> Collaboration patterns in circular economy innovation ecosystems: evidence from the Horizon Europe programme — https://doi.org/10.1108/sampj-03-2025-0437</w:t>
      </w:r>
    </w:p>
    <w:p>
      <w:pPr/>
      <w:r>
        <w:rPr>
          <w:b/>
        </w:rPr>
        <w:t>Shared claim-specific concepts:</w:t>
      </w:r>
      <w:r>
        <w:t xml:space="preserve"> horizon, diverse, policies; EU scope visible. This is a provisional connection, not an outcome finding.</w:t>
      </w:r>
    </w:p>
    <w:p>
      <w:pPr>
        <w:pStyle w:val="SourceNote"/>
      </w:pPr>
      <w:r>
        <w:rPr>
          <w:b/>
        </w:rPr>
        <w:t>Available abstract (not full text):</w:t>
      </w:r>
      <w:r>
        <w:t xml:space="preserve"> Purpose The transition to circular economy (CE) models requires robust innovation ecosystems (IEs) that foster collaboration among diverse actors. This paper aims to map collaboration patterns within IEs for the CE (IECEs) and to explain how different actors contribute to CE development and why structural bottlenecks emerge. Design/methodology/approach The authors conduct a multilevel, directed network analysis of 276 Horizon Europe projects involving 2,364 organisations across 31 countries, examining macro (country) and micro (organisation/type-of-agent) structures. The authors compute centrality, modularity and density and assess dynamic robustness via targeted node-removal simulations. Findings Countries that are advanced in CE are not always the ones at the centre of collaboration. Coordination tends to sit with a small group of countries. At the organisational level, firms mainly secure and use funding and deliver projects, while universities and research centres connect partners and often lead coordination. The public bodies are less well integrated. The network holds together, but it leans heavily on a few highly connected players and leaves smaller clusters at the edges. If the key players step back, collaboration and the spread of CE solutions could slow. Practical implications The findings provide actionable insights for policymakers and funding bodies to refine colla</w:t>
      </w:r>
    </w:p>
    <w:p>
      <w:pPr>
        <w:pStyle w:val="Heading2"/>
      </w:pPr>
      <w:r>
        <w:t>958.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2026:</w:t>
      </w:r>
      <w:r>
        <w:t xml:space="preserve"> Between trauma and resistance: Pride, pleasure, and purpose in the lives of trans and gender diverse activists in Brazil. — https://doi.org/10.1037/tra0002117</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OBJECTIVE: This study explored how community resilience and resistance manifest in the experiences of trans and gender diverse (TGD) people engaging in activism in a medium-sized Brazilian town. It aimed to understand how TGD activists navigate political violence and identify elements of community resilience and resistance within their activist work. METHOD: We employed a qualitative participatory approach, centering the lived experiences of TGD activists. We collaborated and conducted semistructured interviews with six TGD activists. The study was theoretically informed by Liberation Psychology and the multisystemic resilience framework. Data were analyzed using a reflexive thematic analysis, enriched by an intersectional lens. RESULTS: The analysis generated three interrelated themes, each encompassing multiple strengths and relational resources. Pride captured expressions of identity pride, community connectedness, and aesthetic audacity. Pleasure combined accounts of gender euphoria, cultural engagement, and experiencing trans bodies as sources of political resistance. Purpose illuminated how meaning-making practices were shaped by serving future generations and awareness of intersecting oppressions. CONCLUSIONS: Activism is often incorporated by activists as a meaning-making framework. It can contribute to addressing psychosocial trauma by fostering the development of psyc</w:t>
      </w:r>
    </w:p>
    <w:p>
      <w:pPr/>
      <w:r>
        <w:rPr>
          <w:b/>
        </w:rPr>
        <w:t>POSSIBLE 2026:</w:t>
      </w:r>
      <w:r>
        <w:t xml:space="preserve"> Networks for Knowledge Mobilization: A Framework to Understand Support-Seeking Behaviors of Knowledge Brokers — https://doi.org/10.1177/01614681261489004</w:t>
      </w:r>
    </w:p>
    <w:p>
      <w:pPr/>
      <w:r>
        <w:rPr>
          <w:b/>
        </w:rPr>
        <w:t>Shared claim-specific concepts:</w:t>
      </w:r>
      <w:r>
        <w:t xml:space="preserve"> purpose, used, understand, identified, challenges; EU scope not established. This is a provisional connection, not an outcome finding.</w:t>
      </w:r>
    </w:p>
    <w:p>
      <w:pPr>
        <w:pStyle w:val="SourceNote"/>
      </w:pPr>
      <w:r>
        <w:rPr>
          <w:b/>
        </w:rPr>
        <w:t>Available abstract (not full text):</w:t>
      </w:r>
      <w:r>
        <w:t xml:space="preserve"> Background: Knowledge brokers are increasingly influential in education. They cultivate relationships between research, policy, and practice; make knowledge accessible and usable; and support evidence-informed change in education. Still, their support-seeking behaviors within their relational ecosystems are not well studied and understood. Purpose: The purpose of this exploratory study is to expand upon existing research by: (1) developing profiles of knowledge brokers based on their support-seeking behaviors within their relational ecosystems, and (2) understanding the tensions knowledge brokers navigate while building and maintaining their relational ecosystems for support. Research Design: This mixed-methods study draws on data from 12 equity-focused, evidence-based knowledge broker organizations in the United States. For this paper, we draw on data from egocentric network surveys and interviews, which we first qualitatively coded for forms of support, underlying strategic priorities, and tensions. Next, we transformed the data, quantifying the qualitative findings. Finally, we used hierarchical clustering to determine different knowledge broker profiles of support-seeking behaviors. Findings: Participating knowledge brokers differed in their support-seeking behaviors, suggesting that not all knowledge brokers had the same support needs or access. We identified seven profile</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2025:</w:t>
      </w:r>
      <w:r>
        <w:t xml:space="preserve"> Contexts, purposes, and problems — https://doi.org/10.4324/9781003288695-4</w:t>
      </w:r>
    </w:p>
    <w:p>
      <w:pPr/>
      <w:r>
        <w:rPr>
          <w:b/>
        </w:rPr>
        <w:t>Shared claim-specific concepts:</w:t>
      </w:r>
      <w:r>
        <w:t xml:space="preserve"> seeks, used, understand; EU scope not established. This is a provisional connection, not an outcome finding.</w:t>
      </w:r>
    </w:p>
    <w:p>
      <w:pPr>
        <w:pStyle w:val="SourceNote"/>
      </w:pPr>
      <w:r>
        <w:rPr>
          <w:b/>
        </w:rPr>
        <w:t>Available abstract (not full text):</w:t>
      </w:r>
      <w:r>
        <w:t xml:space="preserve"> This chapter provides an overview of the main purposes for which Visitor Studies is used across different heritage contexts, including the types of questions and problems it seeks to address, from decision-making and monitoring performance, to growing and diversifying audiences, generating revenue, attracting funding, improving experiences, encouraging repeat visits, increasing relevance and resilience, demonstrating impact and advocacy, and theory building. It begins with research that has sought to better understand visitors and visiting, including counting visits, profiling, and categorising visitors, and investigating their behaviour, thoughts, and feelings. The final sections cover evaluation, managing and designing visitor experiences, and value and impacts.</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pStyle w:val="Heading2"/>
      </w:pPr>
      <w:r>
        <w:t>959.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2024:</w:t>
      </w:r>
      <w:r>
        <w:t xml:space="preserve"> INVITED SYMPOSIUM — https://doi.org/10.1002/ijop.13198</w:t>
      </w:r>
    </w:p>
    <w:p>
      <w:pPr/>
      <w:r>
        <w:rPr>
          <w:b/>
        </w:rPr>
        <w:t>Shared claim-specific concepts:</w:t>
      </w:r>
      <w:r>
        <w:t xml:space="preserve"> invited, three, international, disorder, provide, scientific; EU scope not established. This is a provisional connection, not an outcome finding.</w:t>
      </w:r>
    </w:p>
    <w:p>
      <w:pPr>
        <w:pStyle w:val="SourceNote"/>
      </w:pPr>
      <w:r>
        <w:rPr>
          <w:b/>
        </w:rPr>
        <w:t>Available abstract (not full text):</w:t>
      </w:r>
      <w:r>
        <w:t xml:space="preserve"> The 11th Revision of the International Classification of Diseases (ICD-11) was approved by the World Health Assembly in May 2019.Reporting of health statistics by World Health Organization (WHO) member states began in January 2022.We are currently in a period of transition as countries implement the ICD-11 in their health information and clinical systems.Implementing a new diagnostic system creates substantial needs for workforce development and training initiatives.WHO has recently published Clinical Descriptions and Diagnostic Requirements for ICD-11 Mental, Behavioural and Neurodevelopmental Disorders (CDDR) (https://www.who.int/publications/i/item/9789 240077263), which provide detailed guidance for implementation of the new classification in clinical settings by mental health professionals.Moreover, the International Union of Psychological Science and the American Psychological Science have recently published A Psychological Approach to Diagnosis Using the ICD-11 as a Framework.This symposium will provide a deeper exploration of models for training psychology students, interns, residents and practicing clinicians in diagnostic practice based on the ICD-11, using three areas as examples.The categories in the grouping of anxiety and fear-related disorders are generally unchanged, but the ICD-11 CDDR takes a much more psychological approach to their conceptualization and phen</w:t>
      </w:r>
    </w:p>
    <w:p>
      <w:pPr>
        <w:pStyle w:val="Heading2"/>
      </w:pPr>
      <w:r>
        <w:t>960.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Socio-ecological dynamics shaping the future of wetlands: A foresight analysis — https://doi.org/10.1016/j.cacint.2026.100469</w:t>
      </w:r>
    </w:p>
    <w:p>
      <w:pPr/>
      <w:r>
        <w:rPr>
          <w:b/>
        </w:rPr>
        <w:t>Shared claim-specific concepts:</w:t>
      </w:r>
      <w:r>
        <w:t xml:space="preserve"> purpose, foresight, qualitative; EU scope not established. This is a provisional connection, not an outcome finding.</w:t>
      </w:r>
    </w:p>
    <w:p>
      <w:pPr>
        <w:pStyle w:val="SourceNote"/>
      </w:pPr>
      <w:r>
        <w:rPr>
          <w:b/>
        </w:rPr>
        <w:t>Available abstract (not full text):</w:t>
      </w:r>
      <w:r>
        <w:t xml:space="preserve"> The purpose of this study is to determine and examine the main factors affecting the wetlands' future condition in Poldokhtar County, Lorestan Province, Iran. To address the lack of comprehensive foresight studies on wetland ecosystems in semi-arid regions, this study employs a foresight approach. By combining cross-impact matrix analysis with the MICMAC software, a mixed-method approach incorporating quantitative and qualitative methodologies was used in this study. Expert interviews revealed a total of 14 significant variables. Through two rounds of Delphi surveys and structured interviews, the views of eleven academic and executive experts in the domains of water resources and environmental management selected on the basis of pertinent experience and expertise were obtained. Complete stability (100%) in the cross-impact matrix was attained following two iterations. The findings showed that the main factors affecting these wetlands' future are population increase and rising water demand, poor inter-organizational coordination, climate change, and water resource management (which received a score of 29 in direct influence and dependence). The results showed that the wetland system was moderately unstable, indicating a significant possibility of future vulnerabilities and alterations. The management of water resources was shown to be the most important and dependent component, </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central, national;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2024:</w:t>
      </w:r>
      <w:r>
        <w:t xml:space="preserve"> An overview of the theoretical aspects and practical experience of foresight in the international context — https://doi.org/10.25136/2409-7802.2024.3.70794</w:t>
      </w:r>
    </w:p>
    <w:p>
      <w:pPr/>
      <w:r>
        <w:rPr>
          <w:b/>
        </w:rPr>
        <w:t>Shared claim-specific concepts:</w:t>
      </w:r>
      <w:r>
        <w:t xml:space="preserve"> purpose, foresight, project, assessment, scientists; EU scope not established. This is a provisional connection, not an outcome finding.</w:t>
      </w:r>
    </w:p>
    <w:p>
      <w:pPr>
        <w:pStyle w:val="SourceNote"/>
      </w:pPr>
      <w:r>
        <w:rPr>
          <w:b/>
        </w:rPr>
        <w:t>Available abstract (not full text):</w:t>
      </w:r>
      <w:r>
        <w:t xml:space="preserve"> Having appeared relatively recently, foresight as a strategic planning tool has become widespread all over the world. However, experts often limit themselves to a narrow set of the most well-known, traditional tools and algorithms for individual countries. At the same time, modern realities require an active exchange of accumulated international experience in the field of strategic planning, the introduction of advanced foresight methods, as well as their further refinement in accordance with specific tasks and specialization of activities. The purpose of the study is to develop recommendations for adapting traditional foresight methods and algorithms to use in conditions of increasing complexity and uncertainty of business conditions, which will contribute to improving the accuracy of forecasts and making effective strategic decisions. The subject of the study is the theoretical aspects and practical experience of using foresight in the international context. The work is based on the method of scientific mapping, which allows analyzing and visualizing the results of research in the field of foresight. A bibliographic analysis of the publications presented in the Elsevier database over the past 23 years has allowed us to systematize knowledge and practical experience in the field of foresight in an international context. A total of 13241 scientific publications were reviewed. M</w:t>
      </w:r>
    </w:p>
    <w:p>
      <w:pPr>
        <w:pStyle w:val="Heading2"/>
      </w:pPr>
      <w:r>
        <w:t>961.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2020:</w:t>
      </w:r>
      <w:r>
        <w:t xml:space="preserve"> Immigrants as Settlement Workers: An Inquiry into their Experiences of Work and Workplace Learning at Immigrant Service Agencies in Canada — https://doi.org/10.11575/prism/37712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My research investigates the transition to work and workplace learning experiences of immigrant settlement workers (ISWs) at immigrant service agencies (ISAs) in Canada. Informed by intersectionality and institutional ethnography (IE), I investigate how ISWs’ labour market integration and learning at work are constructed in institutional relations, organizing and shaping the coordination of individuals’ standpoint at local sites. In examining ISWs’ transition to work, I first trace the trajectory of immigrants becoming ISWs and then analyze how race, gender, and class intersect and shape their experiences of seeking employment in institutional complexes between governmental organizations, employment institutions, and ISAs. In exploring ISWs’ workplace learning in ISAs, I analyze ISWs’ emerging learning opportunities in formal and non-formal settings and how their learning can be situated in cultural and relational contexts. More importantly, my research scrutinizes how textual ruling power is translocally developed and distributed to mould ISWs’ daily practices in the workplace. Eighteen ISWs were interviewed from three different ISAs in Western Canada. Based on findings from life history interviews and analysis of various governmental and organizational documents, my investigation reveals three major components of ISWs’ transition to work and workplace learning experiences. Fi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r>
        <w:rPr>
          <w:b/>
        </w:rPr>
        <w:t>POSSIBLE 2018:</w:t>
      </w:r>
      <w:r>
        <w:t xml:space="preserve"> Immigrant Workers in Industrial France — https://doi.org/10.1353/book.59701</w:t>
      </w:r>
    </w:p>
    <w:p>
      <w:pPr/>
      <w:r>
        <w:rPr>
          <w:b/>
        </w:rPr>
        <w:t>Shared claim-specific concepts:</w:t>
      </w:r>
      <w:r>
        <w:t xml:space="preserve"> immigrants, alongside, demographic; EU scope visible. This is a provisional connection, not an outcome finding.</w:t>
      </w:r>
    </w:p>
    <w:p>
      <w:pPr>
        <w:pStyle w:val="SourceNote"/>
      </w:pPr>
      <w:r>
        <w:rPr>
          <w:b/>
        </w:rPr>
        <w:t>Available abstract (not full text):</w:t>
      </w:r>
      <w:r>
        <w:t xml:space="preserve"> The Making of a New Laboring Class.Gérard Noiriel's Le Creuset français: Histoire de l'im migration XIXe-XXe siècles, along with Yves Lequin's La Mosaïque France: Histoire des étrangers et de l'immigration en France, both published in 1988, were crucial founding texts for the field of immi gration history in France.But Cross blazed the trail with his earlier, finely wrought study at the crossroads of labor studies and immigration histor y.As my well-worn, copiously underlined, first edition attests, Cross inaugurated in-depth research into the ways in which France welcomed immigrants from the 1880s onward.He starts with the formative period before World War I, when employers' groups actively recruited foreign workers for their fields, factories, and mines, and then moves to the interwar period, the primary focus of his study.France's demographic woes have been long studied, from the declining birth rate of the second half of the nineteenth century -blamed variously on inheritance laws, taxes, military service, child labor laws, women, contraception, and/or an "esprit de calcul" -to the hecatomb of World War I.A ready yet reticent solution was immigrant labor.While Belgians and Germans had been coming to work in France since the nineteenth century (until, for the latter, their welcome wore out due to the Franco-Prussian War), Poles and Italians began to be hired heavily in the d</w:t>
      </w:r>
    </w:p>
    <w:p>
      <w:pPr>
        <w:pStyle w:val="Heading2"/>
      </w:pPr>
      <w:r>
        <w:t>962.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2025:</w:t>
      </w:r>
      <w:r>
        <w:t xml:space="preserve"> 445Between nation and association of states: historical discourses on Europe and the crises of the early twenty-first century — https://doi.org/10.1515/9783111588551-024</w:t>
      </w:r>
    </w:p>
    <w:p>
      <w:pPr/>
      <w:r>
        <w:rPr>
          <w:b/>
        </w:rPr>
        <w:t>Shared claim-specific concepts:</w:t>
      </w:r>
      <w:r>
        <w:t xml:space="preserve"> so-called, context, different, but; EU scope visible. This is a provisional connection, not an outcome finding.</w:t>
      </w:r>
    </w:p>
    <w:p>
      <w:pPr>
        <w:pStyle w:val="SourceNote"/>
      </w:pPr>
      <w:r>
        <w:rPr>
          <w:b/>
        </w:rPr>
        <w:t>Available abstract (not full text):</w:t>
      </w:r>
      <w:r>
        <w:t xml:space="preserve"> Between nation and association of states: historical discourses on Europe and the crises of the early twenty-first centuryEurope is a difficult concept.Ideas about what Europe actually is, what it should look like in future and how it ought to develop are as diverse as the national contexts in which such issues are discussed.Views concerning Europe's role in a given national context, with regard among other things to the historical development of the continent and its individual countries, play an important role here.The debate on European identities, then, is one that is played out differently in each nation state.The experience of Europe in the so-called West 1 is fundamentally different from that in post-Cold War Eastern Europe. 2 The concept of Europe outside the continent is equally varied, a fact that repeatedly leads to conflicts, especially when this external perception calls into question Europeans' own imagined Europe.When political speeches underscore that "the EU [. ..] was founded to anchor democracy and the rule of law in Europe," then this emphasis fulfils a political purpose, but is, according to political scientist Jan-Werner Müller, merely the "misrepresentation of history." 3 In fact, today's Europe is highly diverse and has many faces: a young, optimistic one, as embodied by posters advertising the Erasmus programme; a serious, busy one, as represented by he</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pStyle w:val="Heading2"/>
      </w:pPr>
      <w:r>
        <w:t>963.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Who bears the indirect costs of flood risk? An economy-wide assessment of different insurance systems in Europe under climate change — https://doi.org/10.1080/09535314.2023.2272211</w:t>
      </w:r>
    </w:p>
    <w:p>
      <w:pPr/>
      <w:r>
        <w:rPr>
          <w:b/>
        </w:rPr>
        <w:t>Shared claim-specific concepts:</w:t>
      </w:r>
      <w:r>
        <w:t xml:space="preserve"> different, against; EU scope visible. This is a provisional connection, not an outcome finding.</w:t>
      </w:r>
    </w:p>
    <w:p>
      <w:pPr>
        <w:pStyle w:val="SourceNote"/>
      </w:pPr>
      <w:r>
        <w:rPr>
          <w:b/>
        </w:rPr>
        <w:t>Available abstract (not full text):</w:t>
      </w:r>
      <w:r>
        <w:t xml:space="preserve"> Anticipated increase in future river flood risk highlights the need for effective flood insurance, as it enables hedging against this risk. However, its design varies significantly across countries. This study contributes to the debate on designing flood insurance mechanisms from an economy-wide perspective, considering both socioeconomic and climate changes. We apply a multi-regional computable general equilibrium (CGE) model for 2050 and find that, under current insurance market systems, flood risk causes regional GDP losses of up to −0.5%, societal welfare losses of up to −1%, and private and public consumption losses of up to −0.5% and −2.4%, respectively. These estimates are all relative to a scenario without flood risk. Our results indicate that flood risk intensifies pressure on public budgets. We find that insurance market reforms, including a higher degree of risk-sharing, mandatory purchase requirements, and public reinsurance, can alleviate adverse welfare effects and the burden on public budgets.</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2022:</w:t>
      </w:r>
      <w:r>
        <w:t xml:space="preserve"> Revisiting party system structuration in Latin America and Europe: Economic and socio-cultural dimensions — https://doi.org/10.1177/13540688221090604</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The degree to which party systems are ideologically and programmatically structured is central to democracy. This article analyzes differences in the extent and nature of programmatic structuration in Latin America and Europe, using a new original data source, the Chapel Hill Expert Survey-Latin America (CHES-LA), in combination with the long-standing CHES-Europe. First, we demonstrate the reliability of CHES-LA in relation to CHES-Europe, and substantiate its validity by comparing it to other expert, elite and party manifesto surveys in Latin America. Using confirmatory factor analysis, we then show that while party system structuration in Latin America is somewhat lower than in Europe, it is also of a decisively different nature. In Latin America economic and socio-cultural policy positions are largely captured in a single overlapping dimension; in Europe, by contrast, competition occurs overwhelmingly along two dimensions, each with distinct clusters of policy positions.</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Extreme precipitation events in the Mediterranean area: contrasting two different models for moisture source identification — https://doi.org/10.5194/hess-25-6465-2021</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Concern about heavy precipitation events has increasingly grown in the last years in Southern Europe, especially in the Mediterranean region. These occasional episodes can result in more than 200 mm of rainfall in less than 24 h, producing flash floods with very high social and economic losses. To the better understanding of this phenomena, a correct identification of the origin of the moisture must be found. However, the contribution of the different sources is very difficult to estimate from observational data, so numerical models are usually used to this end. Here, we present a comparison between two complex methodologies for the quantification of the moisture sources in two infamous events occurred during October and November 1982 in the Western Mediterranean area. In a previous study, using an Eulerian approach it was determined the contributions of moisture evaporated in: 1) Western Mediterranean; 2) Central Mediterranean; 3) North Atlantic ocean and 4) tropical and subtropical Atlantic and tropical Africa. Now, we use the Lagrangian model FLEXPART-WRF to quantify the role played by these sources. Considering the results provided by the Eulerian analysis as the virtual reality, we validated the performance of the Lagrangian model. Results show that the Lagrangian method has an acceptable performance in identifying local (Western Mediterranean) and medium-distanc</w:t>
      </w:r>
    </w:p>
    <w:p>
      <w:pPr>
        <w:pStyle w:val="Heading2"/>
      </w:pPr>
      <w:r>
        <w:t>964.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2025:</w:t>
      </w:r>
      <w:r>
        <w:t xml:space="preserve"> Power consumption of emerging cybersecurity technologies on network devices — https://openalex.org/W7114938213</w:t>
      </w:r>
    </w:p>
    <w:p>
      <w:pPr/>
      <w:r>
        <w:rPr>
          <w:b/>
        </w:rPr>
        <w:t>Shared claim-specific concepts:</w:t>
      </w:r>
      <w:r>
        <w:t xml:space="preserve"> power, consumption, current; EU scope not established. This is a provisional connection, not an outcome finding.</w:t>
      </w:r>
    </w:p>
    <w:p>
      <w:pPr>
        <w:pStyle w:val="SourceNote"/>
      </w:pPr>
      <w:r>
        <w:rPr>
          <w:b/>
        </w:rPr>
        <w:t>Available abstract (not full text):</w:t>
      </w:r>
      <w:r>
        <w:t xml:space="preserve"> This thesis investigated the current matureness of IT systems in relation to flexibility support through application level controls with the aim of determining the future direction for emerging cybersecurity features. The research was driven by interest in investigating how flexibility principle could affect cybersecurity. This was accomplished through literature review of the current knowledge on IT systems and available controls and three power consumption experiments with each of them focusing on different solution. In literature review part it was found that flexibility is not commonly available and enabling support for it may require moving workloads from dedicated hardware to virtualized environment. Comparatively in experiment portion it was found that the throughput penalty of cybersecurity complexity at the highest can be 50 percent in active network devices. This indicated that for organizations with known throughput needs at least one model above the matching throughput should be selected if maximum cybersecurity feature set is to be used. Through literature review and experimentation, a grounded theory was established and assessed. Thesis concludes that current cybersecurity solutions do not support flexibility to the level flexibility principle needs to and as such there is clear need for adaptive cybersecurity solution that could automatically either downscale fea</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pStyle w:val="Heading2"/>
      </w:pPr>
      <w:r>
        <w:t>965.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2025:</w:t>
      </w:r>
      <w:r>
        <w:t xml:space="preserve"> Tree Biomass and Carbon Stock Variations between Riparian and Terrestrial Forests in Central Himalaya — https://doi.org/10.12944/cwe.20.2.23</w:t>
      </w:r>
    </w:p>
    <w:p>
      <w:pPr/>
      <w:r>
        <w:rPr>
          <w:b/>
        </w:rPr>
        <w:t>Shared claim-specific concepts:</w:t>
      </w:r>
      <w:r>
        <w:t xml:space="preserve"> biomass, stock, climate, forests; EU scope not established. This is a provisional connection, not an outcome finding.</w:t>
      </w:r>
    </w:p>
    <w:p>
      <w:pPr>
        <w:pStyle w:val="SourceNote"/>
      </w:pPr>
      <w:r>
        <w:rPr>
          <w:b/>
        </w:rPr>
        <w:t>Available abstract (not full text):</w:t>
      </w:r>
      <w:r>
        <w:t xml:space="preserve"> Riparian and terrestrial forests are vital components of tropical ecosystems, playing a key role in carbon sequestration and biodiversity conservation. This study assessed and compared tree biomass and carbon stock between riparian and adjacent terrestrial forests along the Sharda River in the Central Himalaya to understand structural and functional differences. Field surveys were conducted during 2023–2024 across three sites in each forest type using ten randomly placed 10 × 10 m quadrats per site. Vegetation parameters—frequency, abundance, density, and Importance Value Index (IVI)—were calculated utilizing standard ecological approaches. Tree basal area was derived from circumference at breast height (CBH), and biomass was estimated non-destructively for trees with CBH &gt; 30 cm using species-specific and generalized allometric equations. Results showed higher tree density (350 ± 34.64 ind/ha), basal area (13.99 ± 0.51 m²/ha), species diversity (2.47 ± 0.11), biomass (95.81 ± 65.58 Mg/ha), and carbon stock (45.51 ± 3.13 Mg C/ha) in terrestrial forests compared to riparian forests. Riparian forests had 286.66 ± 50.33 ind/ha density, 6.31 ± 2.71 m²/ha basal area, 2.14 ± 0.06 diversity, 53.5 ± 25.14 Mg/ha biomass, and 23.79 ± 13.05 Mg C/ha carbon stock. These variations reflect differences in species composition and disturbance regimes. The findings offer valuable insights into 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966.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2025:</w:t>
      </w:r>
      <w:r>
        <w:t xml:space="preserve"> The potential of the Blue Economy to promote the generation of sustainable employment in the European Union — https://doi.org/10.1108/jbsed-06-2025-0221</w:t>
      </w:r>
    </w:p>
    <w:p>
      <w:pPr/>
      <w:r>
        <w:rPr>
          <w:b/>
        </w:rPr>
        <w:t>Shared claim-specific concepts:</w:t>
      </w:r>
      <w:r>
        <w:t xml:space="preserve"> blue, maritime, dimension; EU scope visible. This is a provisional connection, not an outcome finding.</w:t>
      </w:r>
    </w:p>
    <w:p>
      <w:pPr>
        <w:pStyle w:val="SourceNote"/>
      </w:pPr>
      <w:r>
        <w:rPr>
          <w:b/>
        </w:rPr>
        <w:t>Available abstract (not full text):</w:t>
      </w:r>
      <w:r>
        <w:t xml:space="preserve"> Purpose This study explores the contribution of the Blue Economy to employment generation across the European Union from 2009 to 2017. It seeks to identify the most influential sectors in the development of blue jobs and examine their geographical distribution across EU sea basins. Design/methodology/approach A panel data regression model was applied to a balanced dataset covering 27 EU member states. The model identifies sectoral impacts on employment, highlighting both positive and negative contributors within the Blue Economy. The analysis is disaggregated by the eight EU sea basins. Findings Results indicate that coastal tourism remains the most influential sector in generating blue jobs, followed by Maritime Transport and the exploitation of non-renewable marine resources. Conversely, fisheries and aquaculture show a negative relationship with job creation, likely due to climate change and restrictive EU quota policies. Research limitations/implications The study focuses on the 2009–2017 period and does not consider recent disruptions such as COVID-19 or geopolitical conflicts. Future research should extend the analysis to more recent data. Practical implications Findings support the design of targeted public policies that strengthen tourism and transport sectors as engines of sustainable maritime employment. Social implications The Blue Economy can promote inclusive job c</w:t>
      </w:r>
    </w:p>
    <w:p>
      <w:pPr/>
      <w:r>
        <w:rPr>
          <w:b/>
        </w:rPr>
        <w:t>POSSIBLE 2025:</w:t>
      </w:r>
      <w:r>
        <w:t xml:space="preserve"> Field Study of FRMCS Use Cases in the 5GRAIL Project — https://doi.org/10.1007/978-3-032-06763-0_78</w:t>
      </w:r>
    </w:p>
    <w:p>
      <w:pPr/>
      <w:r>
        <w:rPr>
          <w:b/>
        </w:rPr>
        <w:t>Shared claim-specific concepts:</w:t>
      </w:r>
      <w:r>
        <w:t xml:space="preserve"> use, project, horizon; EU scope visible. This is a provisional connection, not an outcome finding.</w:t>
      </w:r>
    </w:p>
    <w:p>
      <w:pPr>
        <w:pStyle w:val="SourceNote"/>
      </w:pPr>
      <w:r>
        <w:rPr>
          <w:b/>
        </w:rPr>
        <w:t>Available abstract (not full text):</w:t>
      </w:r>
      <w:r>
        <w:t xml:space="preserve"> Abstract Railways currently use the Global System Mobile for Railways (GSM-R) for train operation across the world. The GSM-R is used for voice communication between train driver and control centres, including but not limited to, the Railway Emergency Call (REC) as well as for signalling and control messages of the European Train Control System (ETCS). Based on the fifth generation (5G) of mobile networks and in particular, 3rd Generation Partnership Project (3GPP) releases 17 and 18, the Future Railway Mobile Communication System (FRMCS) is envisioned to replace GSM-R. This modernization step does not only address administrative constraints, e.g., the upcoming 2G equipment obsolescence, but also provides an opportunity for transforming the current train operation through introduction of digitalization and automation technologies in an aim of increasing capacity and efficiency for a sustainable transport. In this paper, we present some highlights of first FRMCS Fields trials that have been realized within the 5GRAIL project which is funded by the EU Horizon 2020 program. These trials were co-led by DB Netz AG in Germany and SNCF RESEAU in France. The aim was to accomplish functional and performance testing in addition to multi-access and cross-border like scenarios. We discuss some results on the testing of the different applications before concluding with lessons-learned and o</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2022:</w:t>
      </w:r>
      <w:r>
        <w:t xml:space="preserve"> Managing European R&amp;D projects in the Industry 4.0 context: the perspective of a small consulting firm — https://openalex.org/W7140357603</w:t>
      </w:r>
    </w:p>
    <w:p>
      <w:pPr/>
      <w:r>
        <w:rPr>
          <w:b/>
        </w:rPr>
        <w:t>Shared claim-specific concepts:</w:t>
      </w:r>
      <w:r>
        <w:t xml:space="preserve"> discusses, project, aimed; EU scope visible. This is a provisional connection, not an outcome finding.</w:t>
      </w:r>
    </w:p>
    <w:p>
      <w:pPr>
        <w:pStyle w:val="SourceNote"/>
      </w:pPr>
      <w:r>
        <w:rPr>
          <w:b/>
        </w:rPr>
        <w:t>Available abstract (not full text):</w:t>
      </w:r>
      <w:r>
        <w:t xml:space="preserve"> The purpose of this thesis is to examine the processes and key factors that characterize the management of European projects related to Industry 4.0 (I4.0) by small consulting firms. The topics small firms, European projects and I4.0 are inter-related at the light of the growing interest of both towards a broader understanding of the role of small consulting firms in helping industrial clients in I4.0 related projects and, of the European Framework Programmes (FPs) for Research and Development which fund projects related to Industry 4.0 enabling technologies. Therefore, the motivation for this study stems from a research gap in literature on projects regards the role played by other key business actors, such as small consulting firms, in I4.0 projects funded by the European community, also considering the challenging scenario in which they have to develop their competencies. Notably, given the explorative nature of the research project, this study used a qualitative methodology based on longitudinal single case study (Chapter III) aimed to investigate the resource development process implemented by consulting firms in order to offer their services to customers in the I4.0 domain and, a multiple case study (Chapter IV) in order to gain a deeper understanding of the development process of European funding projects related to Industry 4.0 enabling technologies. Notably, the empiri</w:t>
      </w:r>
    </w:p>
    <w:p>
      <w:pPr>
        <w:pStyle w:val="Heading2"/>
      </w:pPr>
      <w:r>
        <w:t>967.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2025:</w:t>
      </w:r>
      <w:r>
        <w:t xml:space="preserve"> Scientific and Regulatory Perspectives on Chemical Risk Assessment of Pesticides in the European Union — https://doi.org/10.3390/jox15050173</w:t>
      </w:r>
    </w:p>
    <w:p>
      <w:pPr/>
      <w:r>
        <w:rPr>
          <w:b/>
        </w:rPr>
        <w:t>Shared claim-specific concepts:</w:t>
      </w:r>
      <w:r>
        <w:t xml:space="preserve"> challenges, chemical, made; EU scope visible. This is a provisional connection, not an outcome finding.</w:t>
      </w:r>
    </w:p>
    <w:p>
      <w:pPr>
        <w:pStyle w:val="SourceNote"/>
      </w:pPr>
      <w:r>
        <w:rPr>
          <w:b/>
        </w:rPr>
        <w:t>Available abstract (not full text):</w:t>
      </w:r>
      <w:r>
        <w:t xml:space="preserve"> People are exposed to pesticides daily through food, drinking water, and the environment, both in urban and rural settings. These chemicals, while offering economic and agricultural benefits through pest control and increased productivity, may pose a growing risk to human health and ecosystem biodiversity. While the European regulatory framework offers a robust foundation for risk assessment, significant limitations persist, especially in addressing cumulative exposure, low-dose effects, and chemical mixtures. This review focuses on selected scientific and regulatory challenges by reviewing recent European Food Safety Authority (EFSA) conclusions, Organization for Economic Co-operation and Development (OECD) test guidelines updates, and current European legislative approaches. Particular attention is given to the regulation of endocrine-disrupting and reprotoxic substances, highlighting progress and remaining gaps in implementation. A brief mention will also be made of immuno-toxic substances, for which no specific hazard class has yet been established. Building on official reports and peer-reviewed literature, this review provides a structured evaluation of the scientific and regulatory landscape, including underexplored issues like the transition to animal-free toxicology and integration of biomonitoring with health data. The goal is to propose realistic, evidence-based impro</w:t>
      </w:r>
    </w:p>
    <w:p>
      <w:pPr/>
      <w:r>
        <w:rPr>
          <w:b/>
        </w:rPr>
        <w:t>POSSIBLE 2025:</w:t>
      </w:r>
      <w:r>
        <w:t xml:space="preserve"> Insect Pest Control from Chemical to Biotechnological Approach: Constrains and Challenges — https://doi.org/10.3390/insects16050528</w:t>
      </w:r>
    </w:p>
    <w:p>
      <w:pPr/>
      <w:r>
        <w:rPr>
          <w:b/>
        </w:rPr>
        <w:t>Shared claim-specific concepts:</w:t>
      </w:r>
      <w:r>
        <w:t xml:space="preserve"> challenges, chemical, based; EU scope visible. This is a provisional connection, not an outcome finding.</w:t>
      </w:r>
    </w:p>
    <w:p>
      <w:pPr>
        <w:pStyle w:val="SourceNote"/>
      </w:pPr>
      <w:r>
        <w:rPr>
          <w:b/>
        </w:rPr>
        <w:t>Available abstract (not full text):</w:t>
      </w:r>
      <w:r>
        <w:t xml:space="preserve"> The large growth in the global population requires new solutions for the control of harmful insects that compete for our food. Changing regulatory requirements and public perception, together with the continuous evolution of resistance to conventional insecticides, also require, in addition to innovative molecules with different modes of action, new non-chemical control strategies that can help maintain efficient integrated pest management programs. The last 30 years have inaugurated a new era characterised by the discovery of new mechanisms of action and new chemical families. Although European programs also promote a green deal in the crop protection sector, the existing thorough regulations slow down its spread and the adoption of new products. In light of these changes, this review will describe in more detail the dynamics of discovery and registration of new conventional insecticides and the difficulties that the agrochemical industries encounter. Subsequently, the different innovative control strategies alternative to conventional insecticides based on natural substances of different origin, entomopathogenic microorganisms, semiochemical and semiophysical compounds, and classical and augmentative biological control will be described. The advantages of these green strategies will be illustrated and also the constrains to their diffusion and commercialisation. Finally, the </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2023:</w:t>
      </w:r>
      <w:r>
        <w:t xml:space="preserve"> A review of chemical looping reforming technologies for hydrogen production: recent advances and future challenges — https://doi.org/10.1088/2515-7655/acc4e8</w:t>
      </w:r>
    </w:p>
    <w:p>
      <w:pPr/>
      <w:r>
        <w:rPr>
          <w:b/>
        </w:rPr>
        <w:t>Shared claim-specific concepts:</w:t>
      </w:r>
      <w:r>
        <w:t xml:space="preserve"> studied, challenges, chemical; EU scope not established. This is a provisional connection, not an outcome finding.</w:t>
      </w:r>
    </w:p>
    <w:p>
      <w:pPr>
        <w:pStyle w:val="SourceNote"/>
      </w:pPr>
      <w:r>
        <w:rPr>
          <w:b/>
        </w:rPr>
        <w:t>Available abstract (not full text):</w:t>
      </w:r>
      <w:r>
        <w:t xml:space="preserve"> Abstract Faced with increasingly serious energy and global warming, it is critical to put forward an alternative non-carbonaceous fuel. In this regard, hydrogen appears as the ultimate clean fuel for power and heat generation, and as an important feedstock for various chemical and petrochemical industries. The chemical looping reforming (CLR) concept, is an emerging technique for the conversion of hydrocarbon fuels into high-quality hydrogen via the circulation of oxygen carriers which allows a decrease in CO2 emissions. In this review, a comprehensive evaluation and recent progress in glycerol, ethanol and methane reforming for hydrogen production are presented. The key elements for a successful CLR process are studied and the technical challenges to achieve high-purity hydrogen along with the possible solutions are also assessed. As product quality, cost and the overall efficiency of the process can be influenced by the oxygen carrier materials used, noteworthy attention is given to the most recent development in this field. The use of Ni, Fe, Cu, Ce, Mn and Co-based material as potential oxygen carriers under different experimental conditions for hydrogen generation from different feedstock by CLR is discussed. Furthermore, the recent research conducted on the sorption-enhanced reforming process is reviewed and the performance of the various type of CO2 sorbents such as CaO,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2022:</w:t>
      </w:r>
      <w:r>
        <w:t xml:space="preserve"> Analysis of Waste Minimization Challenges to European Food Production Enterprises — https://doi.org/10.28991/esj-2022-06-03-08</w:t>
      </w:r>
    </w:p>
    <w:p>
      <w:pPr/>
      <w:r>
        <w:rPr>
          <w:b/>
        </w:rPr>
        <w:t>Shared claim-specific concepts:</w:t>
      </w:r>
      <w:r>
        <w:t xml:space="preserve"> studied, challenges, industry, qualitative; EU scope visible. This is a provisional connection, not an outcome finding.</w:t>
      </w:r>
    </w:p>
    <w:p>
      <w:pPr>
        <w:pStyle w:val="SourceNote"/>
      </w:pPr>
      <w:r>
        <w:rPr>
          <w:b/>
        </w:rPr>
        <w:t>Available abstract (not full text):</w:t>
      </w:r>
      <w:r>
        <w:t xml:space="preserve"> Economic growth increases the pressure on environmental issues, thus highlighting the importance of waste minimization processes. The waste management approaches in most European countries have so far been relatively little studied and compared at the micro level. The main objective of the current research is to analyze the challenges of waste minimization in European food industry enterprises and identify good practices in the selected countries. The research used a mixed-method methodology, combining both qualitative and quantitative methods, thus providing an in-depth insight into food enterprises’ efforts to reduce their production waste and use their resources more efficiently. The main data collection methods used for the study were secondary data research, discourse analysis, case studies, and focus group interviews. The analysis of the food waste management applications in the European countries’ food sub-sectors leads to the conclusion that since the national initiatives and success factors vary between the countries, it is important to invent such national food waste management systems that are economically justified and technically available for all enterprises regardless of their food waste production volumes. It is also necessary to raise awareness of the strategies that food industry employers, employees, and consumers can use to reduce their waste and thus promot</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r>
        <w:rPr>
          <w:b/>
        </w:rPr>
        <w:t>POSSIBLE 2021:</w:t>
      </w:r>
      <w:r>
        <w:t xml:space="preserve"> (Eco)toxicological tests for assessing impacts of chemical stress to aquatic ecosystems: Facts, challenges, and future — https://doi.org/10.1016/j.scitotenv.2021.148776</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Monitoring of chemicals in the aquatic environment by chemical analysis alone cannot completely assess and predict the effects of chemicals on aquatic species and ecosystems. This is primarily because of the increasing number of (unknown) chemical stressors and mixture effects present in the environment. In addition, the ability of ecological indices to identify underlying stressors causing negative ecological effects is limited. Therefore, additional complementary methods are needed that can address the biological effects in a direct manner and provide a link to chemical exposure, i.e. (eco)toxicological tests. (Eco)toxicological tests are defined as test systems that expose biological components (cells, individuals, populations, communities) to (environmental mixtures of) chemicals to register biological effects. These tests measure responses at the sub-organismal (biomarkers and in vitro bioassays), whole-organismal, population, or community level. We performed a literature search to obtain a state-of-the-art overview of ecotoxicological tests available for assessing impacts of chemicals to aquatic biota and to reveal datagaps. In total, we included 509 biomarkers, 207 in vitro bioassays, 422 tests measuring biological effects at the whole-organismal level, and 78 tests at the population- community- and ecosystem-level. Tests at the whole-organismal level and biomarkers were</w:t>
      </w:r>
    </w:p>
    <w:p>
      <w:pPr/>
      <w:r>
        <w:rPr>
          <w:b/>
        </w:rPr>
        <w:t>POSSIBLE 2021:</w:t>
      </w:r>
      <w:r>
        <w:t xml:space="preserve"> Highly Pathogenic Avian Influenza Viruses at the Wild–Domestic Bird Interface in Europe: Future Directions for Research and Surveillance — https://doi.org/10.3390/v13020212</w:t>
      </w:r>
    </w:p>
    <w:p>
      <w:pPr/>
      <w:r>
        <w:rPr>
          <w:b/>
        </w:rPr>
        <w:t>Shared claim-specific concepts:</w:t>
      </w:r>
      <w:r>
        <w:t xml:space="preserve"> until, based, derived; EU scope visible. This is a provisional connection, not an outcome finding.</w:t>
      </w:r>
    </w:p>
    <w:p>
      <w:pPr>
        <w:pStyle w:val="SourceNote"/>
      </w:pPr>
      <w:r>
        <w:rPr>
          <w:b/>
        </w:rPr>
        <w:t>Available abstract (not full text):</w:t>
      </w:r>
      <w:r>
        <w:t xml:space="preserve"> Highly pathogenic avian influenza (HPAI) outbreaks in wild birds and poultry are no longer a rare phenomenon in Europe. In the past 15 years, HPAI outbreaks-in particular those caused by H5 viruses derived from the A/Goose/Guangdong/1/1996 lineage that emerged in southeast Asia in 1996-have been occuring with increasing frequency in Europe. Between 2005 and 2020, at least ten HPAI H5 incursions were identified in Europe resulting in mass mortalities among poultry and wild birds. Until 2009, the HPAI H5 virus outbreaks in Europe were caused by HPAI H5N1 clade 2.2 viruses, while from 2014 onwards HPAI H5 clade 2.3.4.4 viruses dominated outbreaks, with abundant genetic reassortments yielding subtypes H5N1, H5N2, H5N3, H5N4, H5N5, H5N6 and H5N8. The majority of HPAI H5 virus detections in wild and domestic birds within Europe coincide with southwest/westward fall migration and large local waterbird aggregations during wintering. In this review we provide an overview of HPAI H5 virus epidemiology, ecology and evolution at the interface between poultry and wild birds based on 15 years of avian influenza virus surveillance in Europe, and assess future directions for HPAI virus research and surveillance, including the integration of whole genome sequencing, host identification and avian ecology into risk-based surveillance and analyses.</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pStyle w:val="Heading2"/>
      </w:pPr>
      <w:r>
        <w:t>968.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2018:</w:t>
      </w:r>
      <w:r>
        <w:t xml:space="preserve"> “Japanese Ants (Tenebrio Molitor) Stabilize Blood Sugar Levels For Diabetics”: The Current Issue OF Herbal Medicine In Indonesia" — https://doi.org/10.29082/ijnms/2018/vol2.iss02.141</w:t>
      </w:r>
    </w:p>
    <w:p>
      <w:pPr/>
      <w:r>
        <w:rPr>
          <w:b/>
        </w:rPr>
        <w:t>Shared claim-specific concepts:</w:t>
      </w:r>
      <w:r>
        <w:t xml:space="preserve"> want, stabilize, levels, all; EU scope not established. This is a provisional connection, not an outcome finding.</w:t>
      </w:r>
    </w:p>
    <w:p>
      <w:pPr>
        <w:pStyle w:val="SourceNote"/>
      </w:pPr>
      <w:r>
        <w:rPr>
          <w:b/>
        </w:rPr>
        <w:t>Available abstract (not full text):</w:t>
      </w:r>
      <w:r>
        <w:t xml:space="preserve"> There are still many of our people who have never heard or even seen the shape of the Japanese ants, so sometimes people consume Japanese ants with different doses between people with each other and even some who consume Japanese ants are not appropriate doses because they want to get well soon. The purpose of research to know the relationship between consumption patterns of Japanese ants and blood sugar levels of people with diabetes mellitus. The design of this study is correlational analytic with crossectional approach. Variables of this research there are two that is the pattern of consumption of Japanese ants as an independent variable and blood sugar levels as the dependent variable. The population of this study was all patients with diabetes Mellitus who had suffered &gt; 5 years who consumed Japanese ants in Grinting Village Karangjeruk Village Jatirejo Subdistrict Mojokerto regency as many as 10 respondents. in the sampling of researchers using total sampling technique. Data collection with an observation sheet of Japanese ant consumption and blood sugar level. The result of the research showed that most of the respondents consume Japanese ants regularly as much as 6 respondents (60%) and most respondents have blood sugar level in the normal category that is between 100-125 mg/dl as many as 6 respondents (60%). Consumption Japanese ants can routinely lower blood sugar lev</w:t>
      </w:r>
    </w:p>
    <w:p>
      <w:pPr/>
      <w:r>
        <w:rPr>
          <w:b/>
        </w:rPr>
        <w:t>POSSIBLE 2018:</w:t>
      </w:r>
      <w:r>
        <w:t xml:space="preserve"> A Natural Deep Eutectic Solvent Formulated to Stabilize β-Lactam Antibiotics — https://doi.org/10.1038/s41598-018-33148-w</w:t>
      </w:r>
    </w:p>
    <w:p>
      <w:pPr/>
      <w:r>
        <w:rPr>
          <w:b/>
        </w:rPr>
        <w:t>Shared claim-specific concepts:</w:t>
      </w:r>
      <w:r>
        <w:t xml:space="preserve"> stabilize, levels, forms; EU scope not established. This is a provisional connection, not an outcome finding.</w:t>
      </w:r>
    </w:p>
    <w:p>
      <w:pPr>
        <w:pStyle w:val="SourceNote"/>
      </w:pPr>
      <w:r>
        <w:rPr>
          <w:b/>
        </w:rPr>
        <w:t>Available abstract (not full text):</w:t>
      </w:r>
      <w:r>
        <w:t xml:space="preserve"> β-lactam antibiotics, such as penicillin share a very unstable chemical structure. In water-based solutions, such as those used for clinical applications, the β-lactam ring is readily opened due to a nucleophilic or electrophilic attack, leading to the loss of antimicrobial activity. Since the achievement and maintenance of optimum therapeutic levels of β-lactam antibiotics is critical for the resolution of many infectious clinical situations, and to avoid antibiotic resistance generation, the design of new non-aqueous dosage forms is urgent. Recently, natural deep eutectic solvents (NADES) have emerged as alternative non-toxic and non-aqueous solvents for different biomedical applications. In this work, we formulated and characterized a NADES composed by betaine and urea (BU). Using this solvent, we evaluated the stability of clavulanic acid (CLV) and imipenem (IMP) and characterized their antimicrobial activities calculating the minimal inhibitory concentration. Characterization of BU solvent by infrared spectroscopy (IR) and nuclear magnetic resonance spectroscopy (NMR) indicated that the obtained solvent has a microstructure mainly based on hydrogen bonding interactions and water addition strongly affects its dynamic. The stability of β-lactam antibiotic IMP and CLV using this solvent was increased by 7 fold and 2.5 fold respectively compared to water when analysed seven da</w:t>
      </w:r>
    </w:p>
    <w:p>
      <w:pPr/>
      <w:r>
        <w:rPr>
          <w:b/>
        </w:rPr>
        <w:t>POSSIBLE 2017:</w:t>
      </w:r>
      <w:r>
        <w:t xml:space="preserve"> Construction and Stabilization of Coastal Foredunes With Vegetation: Padre Island, Texas — https://doi.org/10.5962/bhl.title.46474</w:t>
      </w:r>
    </w:p>
    <w:p>
      <w:pPr/>
      <w:r>
        <w:rPr>
          <w:b/>
        </w:rPr>
        <w:t>Shared claim-specific concepts:</w:t>
      </w:r>
      <w:r>
        <w:t xml:space="preserve"> stabilize, all; EU scope not established. This is a provisional connection, not an outcome finding.</w:t>
      </w:r>
    </w:p>
    <w:p>
      <w:pPr>
        <w:pStyle w:val="SourceNote"/>
      </w:pPr>
      <w:r>
        <w:rPr>
          <w:b/>
        </w:rPr>
        <w:t>Available abstract (not full text):</w:t>
      </w:r>
      <w:r>
        <w:t xml:space="preserve"> Abstract : Experiments were conducted from 1969 to 1974 on Padre Island, Texas, to establish technical specifications and methodologies for the use of beach grasses to construct and stabilize foredunes as storm surge barriers along the gulf coast. Conclusions are based on 2.5 linear miles of experimental plots, consisting of beach plantings and fence-built dunes. Additional experiments on the effects of nutrients and salinity on beach grass growth were conducted in a greenhouse. Bitter panicum and sea oats were the best adapted species for beach plantings. The most successful method of establishing a vegetated dune ridge was transplanting these grasses on the backshore, where they trapped, grew through, and stabilized accumulating sand. Barren dunes built with sand fencing were stabilized with grasses, but the process was more difficult and costly. Most beach plantings were made with a tobacco transplanter, with single culms spaced on 2-foot centers and planted or seated 8 inches deep. A 50-foot-wide planting trapped all available blowing sand. Time-costs for establishing a 1-mile-long, 50-foot-wide beach planting (2-foot centers) of sea oats and bitter panicum were 500 and 287 man-hours, respectively. Both grasses were successfully transplanted year round, but winter through spring was the most favorable period. Transplant survival was influenced by many factors, but mostly by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2015:</w:t>
      </w:r>
      <w:r>
        <w:t xml:space="preserve"> Dietary Vitamin D and Its Metabolites Non-Genomically Stabilize the Endothelium — https://doi.org/10.1371/journal.pone.0140370</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Vitamin D is a known modulator of inflammation. Native dietary vitamin D3 is thought to be bio-inactive, and beneficial vitamin D3 effects are thought to be largely mediated by the metabolite 1,25(OH)2D3. Reduced serum levels of the most commonly measured precursor metabolite, 25(OH)D3, is linked to an increased risk of multiple inflammatory diseases, including: cardiovascular disease, arthritis, multiple sclerosis, and sepsis. Common to all of these diseases is the disruption of endothelial stability and an enhancement of vascular leak. We previously performed an unbiased chemical suppressor screen on a genetic model of vascular instability, and identified cholecalciferol (D3, dietary Vitamin D3) as a factor that had profound and immediate stabilizing and therapeutic effects in that model. In this manuscript we show that the presumed inactive sterol, D3, is actually a potent and general mediator of endothelial stability at physiologically relevant concentrations. We further demonstrate that this phenomenon is apparent in vitamin D3 metabolites 25(OH)D3 and 1,25(OH)2D3, and that the effects are independent of the canonical transcription-mediated vitamin D pathway. Our data suggests the presence of an alternative signaling modality by which D3 acts directly on endothelial cells to prevent vascular leak. The finding that D3 and its metabolites modulate endothelial stability may h</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969.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2025:</w:t>
      </w:r>
      <w:r>
        <w:t xml:space="preserve"> Geological risk assessment on rock cultural monuments on the territory of the Eastern Rhodopes, Bulgaria: National Science Fund project — https://doi.org/10.52321/igh.39.1.27</w:t>
      </w:r>
    </w:p>
    <w:p>
      <w:pPr/>
      <w:r>
        <w:rPr>
          <w:b/>
        </w:rPr>
        <w:t>Shared claim-specific concepts:</w:t>
      </w:r>
      <w:r>
        <w:t xml:space="preserve"> national, science, project; EU scope visible. This is a provisional connection, not an outcome finding.</w:t>
      </w:r>
    </w:p>
    <w:p>
      <w:pPr>
        <w:pStyle w:val="SourceNote"/>
      </w:pPr>
      <w:r>
        <w:rPr>
          <w:b/>
        </w:rPr>
        <w:t>Available abstract (not full text):</w:t>
      </w:r>
      <w:r>
        <w:t xml:space="preserve"> With this study, we are launching a project "Geological risk assessment on rock cultural monuments on the territory of the Eastern Rhodopes" supported by the Bulgarian National Science Fund (2025–2027). The project aims to develop a methodology for assessing the geological risks threatening the rock cultural monuments in the Eastern Rhodopes, Bulgaria. The region was chosen due to its rich archaeological and historical heritage, featuring monuments from various eras, and the need to protect them from destructive geological processes. The research team's task is to further develop the heuristic risk assessment methods applied in Europe and provide a more detailed assessment of the risk and its economic aspects.</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r>
        <w:rPr>
          <w:b/>
        </w:rPr>
        <w:t>POSSIBLE 2024:</w:t>
      </w:r>
      <w:r>
        <w:t xml:space="preserve"> Invasive and native mosquitoes in Europe, including Poland, as vectors transmitting pathogens – implications for wellbeing of Armed Forces — https://doi.org/10.26444/aaem/193428</w:t>
      </w:r>
    </w:p>
    <w:p>
      <w:pPr/>
      <w:r>
        <w:rPr>
          <w:b/>
        </w:rPr>
        <w:t>Shared claim-specific concepts:</w:t>
      </w:r>
      <w:r>
        <w:t xml:space="preserve"> centre, poland, aim; EU scope visible. This is a provisional connection, not an outcome finding.</w:t>
      </w:r>
    </w:p>
    <w:p>
      <w:pPr>
        <w:pStyle w:val="SourceNote"/>
      </w:pPr>
      <w:r>
        <w:rPr>
          <w:b/>
        </w:rPr>
        <w:t>Available abstract (not full text):</w:t>
      </w:r>
      <w:r>
        <w:t xml:space="preserve"> INTRODUCTION AND OBJECTIVE: Mosquitoes play a crucial role as vectors transmitting various pathogens, including parasites and viruses, which cause serious diseases worldwide, such as malaria, dengua or West Nile virus. Both invasive and native species are capable of spreading tropical diseases, which endanger troops stationing in areas rich in mosquitos. The aim of the review is to analyze current knowledge about the distribution of mosquito species in Europe, including Poland, and the factors influencing their presence. REVIEW METHODS: A systematic literature review was conducted using databases such as PubMed and Google Scholar. The search included key words related to mosquitoes, vector-borne diseases, and climate change. Data were supplemented with information from the websites of the World Health Organization (WHO) and European Centre for Disease Prevention and Control (ECDC). BRIEF DESCRIPTION OF THE STATE OF KNOWLEDGE: Invasive mosquitoes, such as Aedes albopictus, have been spreading in Europe since the 1990s. Rising temperatures and global movement of people and goods are the main driving forces of this phenomenon. Even native European mosquito species, like Culex spp., are able to transmit tropical diseases. The European Mosquito Control Association is developing mosquito control programmes but they are not sufficiently implemented. SUMMARY: Mosquitoes transmit variou</w:t>
      </w:r>
    </w:p>
    <w:p>
      <w:pPr>
        <w:pStyle w:val="Heading2"/>
      </w:pPr>
      <w:r>
        <w:t>970.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2026:</w:t>
      </w:r>
      <w:r>
        <w:t xml:space="preserve"> Financing the European Union's Progressive Industrial Policies — https://doi.org/10.4324/9781003745563-13</w:t>
      </w:r>
    </w:p>
    <w:p>
      <w:pPr/>
      <w:r>
        <w:rPr>
          <w:b/>
        </w:rPr>
        <w:t>Shared claim-specific concepts:</w:t>
      </w:r>
      <w:r>
        <w:t xml:space="preserve"> include, decarbonisation; EU scope visible. This is a provisional connection, not an outcome finding.</w:t>
      </w:r>
    </w:p>
    <w:p>
      <w:pPr>
        <w:pStyle w:val="SourceNote"/>
      </w:pPr>
      <w:r>
        <w:rPr>
          <w:b/>
        </w:rPr>
        <w:t>Available abstract (not full text):</w:t>
      </w:r>
      <w:r>
        <w:t xml:space="preserve"> As the EU's annual green investment gap amounts to approximately 2.3–3.2% of gross domestic product (GDP), this chapter discusses financing alternatives for the expanded EU-level industrial policies addressed in this volume. Proposed options to increase the EU budget from 2028 onwards include enhanced EU-level taxation, particularly on financial transactions, wealth, and capital gains; permanent issuance of EU bonds; the creation of a permanent EU investment fund; and the continued leveraging of development banks to scale up credit allocation and public equity funding. Many of these financing options are rather mutually supportive than exclusive on a technical level. Amid fiscal restraint (financial) derisking, intended to “escort” private finance to green but unprofitable investments, has become central to European policymakers' strategy for accelerating the green transition. However, such derisking measures have largely failed to generate the level of investment required to meet the EU's decarbonisation goals. The chapter therefore elaborates on the concept of “progressive derisking”, i.e., designing derisking mechanisms to align with progressive approaches to European industrial policy. Targeting European public goods is essential for enhancing the political feasibility of increased supranational public funding.</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2025:</w:t>
      </w:r>
      <w:r>
        <w:t xml:space="preserve"> European Climate Policy and the Global Context — https://doi.org/10.1007/978-3-031-84483-6_4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2024:</w:t>
      </w:r>
      <w:r>
        <w:t xml:space="preserve"> European Climate Policy and the Global Context — https://doi.org/10.1007/978-1-4614-6431-0_4-4</w:t>
      </w:r>
    </w:p>
    <w:p>
      <w:pPr/>
      <w:r>
        <w:rPr>
          <w:b/>
        </w:rPr>
        <w:t>Shared claim-specific concepts:</w:t>
      </w:r>
      <w:r>
        <w:t xml:space="preserve"> option, there, countries, emissions; EU scope visible. This is a provisional connection, not an outcome finding.</w:t>
      </w:r>
    </w:p>
    <w:p>
      <w:pPr>
        <w:pStyle w:val="SourceNote"/>
      </w:pPr>
      <w:r>
        <w:rPr>
          <w:b/>
        </w:rPr>
        <w:t>Available abstract (not full text):</w:t>
      </w:r>
      <w:r>
        <w:t xml:space="preserve"> This chapter addresses European climate policy and puts it in the context of strategic aspects of international climate policy. To explore the strategic nature of international climate policy-making, governments’ decision-making is modelled in game theoretical settings. Climate change mitigation is a global public good, as it is non-excludable and non-rival in consumption globally. Own provision of this public good and other countries’ provision are perfect substitutes, i.e., benefits of slowed global warming are equally enjoyed regardless of whether climate protection is produced domestically or abroad. The difference is only on the cost side, as a country’s own climate protection raises domestic costs while costs of climate protection abroad are borne by other countries. Consequently, there are free-rider incentives in international climate protection and as these incentives are prevalent among all countries, the global climate protection level remains at a sub-optimally low level. Given these free-rider incentives, ambitious climate change mitigation policy by the EU tends to require some additional justification. In this context, the EU regularly refers to significant non-global benefits of climate protection projects that arise additionally to the global primary benefits, i.e., the global benefits enjoyed from pursuing the primary aim of climate change mitigation policy, w</w:t>
      </w:r>
    </w:p>
    <w:p>
      <w:pPr/>
      <w:r>
        <w:rPr>
          <w:b/>
        </w:rPr>
        <w:t>POSSIBLE 2024:</w:t>
      </w:r>
      <w:r>
        <w:t xml:space="preserve"> Clean Industry in China: A Techno-Economic Comparison of Electrified Heat Technologies, Barriers, and Policy Options — https://doi.org/10.20357/b70894</w:t>
      </w:r>
    </w:p>
    <w:p>
      <w:pPr/>
      <w:r>
        <w:rPr>
          <w:b/>
        </w:rPr>
        <w:t>Shared claim-specific concepts:</w:t>
      </w:r>
      <w:r>
        <w:t xml:space="preserve"> option, clean, there, emissions, out; EU scope not established. This is a provisional connection, not an outcome finding.</w:t>
      </w:r>
    </w:p>
    <w:p>
      <w:pPr>
        <w:pStyle w:val="SourceNote"/>
      </w:pPr>
      <w:r>
        <w:rPr>
          <w:b/>
        </w:rPr>
        <w:t>Available abstract (not full text):</w:t>
      </w:r>
      <w:r>
        <w:t xml:space="preserve"> China’s manufacturing sector generates 61% of the country’s CO2 emissions, nearly three-quarters of which is related to industrial process heating. To meet China’s climate targets and attain a zero-carbon industrial sector, decarbonizing these industrial heating processes is a necessity. If China’s electricity grid is similarly decarbonized, direct electrification is the most practical means of supplying this heat efficiently at the required scale. In addition to reducing greenhouse gas emissions, industrial electrification would help reduce conventional pollution that was responsible for 1.85 million premature deaths in China in 2019, and it would improve China’s energy security, as the country imported 85% of its petroleum products and crude oil as well as 46% of its natural gas in 2021. Direct electrification would also help Chinese firms avoid volatile fossil fuel prices and future carbon pricing costs, and ensure competitiveness when selling products to environmentally-conscious buyers and governments that may use carbon border adjustment mechanisms or similar efforts to encourage the procurement of cleaner materials. Two electrified technologies stand out as means for China to decarbonize its industrial process heating: industrial heat pumps and thermal batteries. Heat pumps can be the most efficient and cost-effective method to supply clean, low-temperature heat for indu</w:t>
      </w:r>
    </w:p>
    <w:p>
      <w:pPr/>
      <w:r>
        <w:rPr>
          <w:b/>
        </w:rPr>
        <w:t>POSSIBLE 2024:</w:t>
      </w:r>
      <w:r>
        <w:t xml:space="preserve"> Climate Policy Reform Options in 2025 — https://doi.org/10.3386/w32168</w:t>
      </w:r>
    </w:p>
    <w:p>
      <w:pPr/>
      <w:r>
        <w:rPr>
          <w:b/>
        </w:rPr>
        <w:t>Shared claim-specific concepts:</w:t>
      </w:r>
      <w:r>
        <w:t xml:space="preserve"> include, clean, emissions; EU scope not established. This is a provisional connection, not an outcome finding.</w:t>
      </w:r>
    </w:p>
    <w:p>
      <w:pPr>
        <w:pStyle w:val="SourceNote"/>
      </w:pPr>
      <w:r>
        <w:rPr>
          <w:b/>
        </w:rPr>
        <w:t>Available abstract (not full text):</w:t>
      </w:r>
      <w:r>
        <w:t xml:space="preserve"> With the expiration of many tax cuts and unmet climate targets, 2025 could be a crucial year for climate policy in the United States.Using an integrated model of energy supply and demand, this paper aims to assess climate policies that the U.S. federal government may consider in 2025 and to evaluate emissions reductions, abatement costs, fiscal impacts, and household energy expenditures across a range of policy scenarios.The model results show several key findings.First, the emissions reductions of the Inflation Reduction Act are significantly augmented under scenarios that add a modest carbon fee or, to a lesser extent, that implement a clean electricity standard in the power sector.Second, net fiscal costs can be substantially reduced in scenarios that include a carbon fee, especially if fossil fuel exports are taxed.Third, expanding the IRA tax credits yields modest additional emissions reductions with higher fiscal costs.Finally, although none of the policy combinations across these scenarios achieve the U.S. target of a 50-52% economy-wide emissions reduction by 2030 from 2005 levels, the carbon fee and clean electricity standard scenarios achieve these levels between 2030 and 2035.</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pStyle w:val="Heading2"/>
      </w:pPr>
      <w:r>
        <w:t>971.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2024:</w:t>
      </w:r>
      <w:r>
        <w:t xml:space="preserve"> Helping the climate by replacing liquefied natural gas with liquefied hydrogen or ammonia? — https://doi.org/10.1088/1748-9326/ad376f</w:t>
      </w:r>
    </w:p>
    <w:p>
      <w:pPr/>
      <w:r>
        <w:rPr>
          <w:b/>
        </w:rPr>
        <w:t>Shared claim-specific concepts:</w:t>
      </w:r>
      <w:r>
        <w:t xml:space="preserve"> gas, about, countries; EU scope visible. This is a provisional connection, not an outcome finding.</w:t>
      </w:r>
    </w:p>
    <w:p>
      <w:pPr>
        <w:pStyle w:val="SourceNote"/>
      </w:pPr>
      <w:r>
        <w:rPr>
          <w:b/>
        </w:rPr>
        <w:t>Available abstract (not full text):</w:t>
      </w:r>
      <w:r>
        <w:t xml:space="preserve"> Abstract The war in Ukraine caused Europe to more than double its imports of liquefied natural gas (LNG) in only one year. In addition, imported LNG remains a crucial source of energy for resource-poor countries, such as Japan, where LNG imports satisfy about a quarter of the country’s primary energy demand. However, an increasing number of countries are formulating stringent decarbonization plans. Liquefied hydrogen and liquefied ammonia coupled with carbon capture and storage (LH2-CCS, LNH3-CCS) are emerging as the front runners in the search for low-carbon alternatives to LNG. Yet, little is currently known about the full environmental profile of LH2-CCS and LNH3-CCS because several characteristics of the two alternatives have only been analyzed in isolation in previous work. Here we show that the potential of these fuels to reduce greenhouse gas (GHG) emissions throughout the supply chain is highly uncertain. Our best estimate is that LH2-CCS and LNH3-CCS can reduce GHG emissions by 25%–61% relative to LNG assuming a 100 year global warming potential. However, directly coupling LNG with CCS would lead to substantial GHG reductions on the order of 74%. Further, under certain conditions, emissions from LH2-CCS and LNH3-CCS could exceed those of LNG, by up to 44%. These results question the suitability of LH2-CCS and LNH3-CCS for stringent decarbonization purposes.</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current, about, especially;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Estimating hepatitis B virus prevalence among key population groups for European Union and European Economic Area countries and the United Kingdom: a modelling study — https://doi.org/10.1186/s12879-023-08433-3</w:t>
      </w:r>
    </w:p>
    <w:p>
      <w:pPr/>
      <w:r>
        <w:rPr>
          <w:b/>
        </w:rPr>
        <w:t>Shared claim-specific concepts:</w:t>
      </w:r>
      <w:r>
        <w:t xml:space="preserve"> estimates, predict, there, eastern, countries; EU scope visible. This is a provisional connection, not an outcome finding.</w:t>
      </w:r>
    </w:p>
    <w:p>
      <w:pPr>
        <w:pStyle w:val="SourceNote"/>
      </w:pPr>
      <w:r>
        <w:rPr>
          <w:b/>
        </w:rPr>
        <w:t>Available abstract (not full text):</w:t>
      </w:r>
      <w:r>
        <w:t xml:space="preserve"> BACKGROUND: Hepatitis B virus (HBV) epidemiology in Europe differs by region and population risk group, and data are often incomplete. We estimated chronic HBV prevalence as measured by surface antigen (HBsAg) among general and key population groups for each country in the European Union, European Economic Area and the United Kingdom (EU/EEA/UK), including where data are currently unavailable. METHODS: We combined data from a 2018 systematic review (updated in 2021), data gathered directly by the European Centre for Disease Control (ECDC) from EU/EEA countries and the UK and further country-level data. We included data on adults from the general population, pregnant women, first time blood donors (FTBD), men who have sex with men (MSM), prisoners, people who inject drugs (PWID), and migrants from 2001 to 2021, with three exceptions made for pre-2001 estimates. Finite Mixture Models (FMM) and Beta regression were used to predict country and population group HBsAg prevalence. A separate multiplier method was used to estimate HBsAg prevalence among the migrant populations within each country, due to biases in the data available. RESULTS: There were 595 included studies from 31 countries (N = 41,955,969 people): 66 were among the general population (mean prevalence ([Formula: see text]) 1.3% [range: 0.0-7.6%]), 52 among pregnant women ([Formula: see text]1.1% [0.1-5.3%]), 315 among</w:t>
      </w:r>
    </w:p>
    <w:p>
      <w:pPr/>
      <w:r>
        <w:rPr>
          <w:b/>
        </w:rPr>
        <w:t>POSSIBLE 2023:</w:t>
      </w:r>
      <w:r>
        <w:t xml:space="preserve"> Emissions intensity: do we need a CBAM for oil and gas imports? — https://doi.org/10.1093/jwelb/jwad036</w:t>
      </w:r>
    </w:p>
    <w:p>
      <w:pPr/>
      <w:r>
        <w:rPr>
          <w:b/>
        </w:rPr>
        <w:t>Shared claim-specific concepts:</w:t>
      </w:r>
      <w:r>
        <w:t xml:space="preserve"> need, gas, countries; EU scope not established. This is a provisional connection, not an outcome finding.</w:t>
      </w:r>
    </w:p>
    <w:p>
      <w:pPr>
        <w:pStyle w:val="SourceNote"/>
      </w:pPr>
      <w:r>
        <w:rPr>
          <w:b/>
        </w:rPr>
        <w:t>Available abstract (not full text):</w:t>
      </w:r>
      <w:r>
        <w:t xml:space="preserve"> Abstract The UK has seen significant recent attention being paid to the issue of the ‘emissions intensity’ of oil and gas operations, with the oil and gas industry and the Government using this as a climate justification for domestic North Sea production over imported oil and gas. This commentary explores these arguments in the context of the Rosebank decision and examines why emission intensity matters for lawyers. One key reason identified involves trade: without a carbon border adjustment mechanism (tax) or equivalent on imports of oil and gas from countries with poor records on electrification, flaring and vented emissions, domestic oil and gas production faces unfair climate competition.</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pStyle w:val="Heading2"/>
      </w:pPr>
      <w:r>
        <w:t>972.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2026:</w:t>
      </w:r>
      <w:r>
        <w:t xml:space="preserve"> Application of a Systematic Approach for Monitoring Between Foresight and PEP in the C2CBridge Project — https://doi.org/10.46254/ap07.20260187</w:t>
      </w:r>
    </w:p>
    <w:p>
      <w:pPr/>
      <w:r>
        <w:rPr>
          <w:b/>
        </w:rPr>
        <w:t>Shared claim-specific concepts:</w:t>
      </w:r>
      <w:r>
        <w:t xml:space="preserve"> foresight, process, implemented; EU scope not established. This is a provisional connection, not an outcome finding.</w:t>
      </w:r>
    </w:p>
    <w:p>
      <w:pPr>
        <w:pStyle w:val="SourceNote"/>
      </w:pPr>
      <w:r>
        <w:rPr>
          <w:b/>
        </w:rPr>
        <w:t>Available abstract (not full text):</w:t>
      </w:r>
      <w:r>
        <w:t xml:space="preserve"> In product engineering processes, foresight analyses are typically conducted only at early project stages, while their underlying assumptions remain largely unchallenged as development progresses. This can lead to late design changes and increased correction costs when environmental conditions, technologies, or market requirements evolve. To address this gap, this paper applies a systematic approach for continuous monitoring and validation of product properties throughout the product engineering process. The approach integrates strategic foresight, environmental scanning, and indicator-based monitoring into a continuous feedback loop that enables early identification of relevant deviations from expected developments. The approach is demonstrated using a case study from the project Country to City Bridge (C2CBridge), a research initiative focused on developing user-centered, intermodal mobility solutions. The application is deliberately limited to the vehicle concept to ensure methodological clarity. The results show that systematically linking trends, prognoses, indicators, and product characteristics allows the identification of sensitive product properties and key indicators that are critical for long-term product robustness. Furthermore, the case study reveals methodological refinement needs, particularly regarding evaluation schemes, normalization of assessment scales, and </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across, regional, tools;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pStyle w:val="Heading2"/>
      </w:pPr>
      <w:r>
        <w:t>973.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2026:</w:t>
      </w:r>
      <w:r>
        <w:t xml:space="preserve"> Energy policy and economic security: a comparison of Europe and Asia — https://doi.org/10.33223/epj/207199</w:t>
      </w:r>
    </w:p>
    <w:p>
      <w:pPr/>
      <w:r>
        <w:rPr>
          <w:b/>
        </w:rPr>
        <w:t>Shared claim-specific concepts:</w:t>
      </w:r>
      <w:r>
        <w:t xml:space="preserve"> approaches, security, long-term, environment;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Emerging research security approaches: organisational arrangements at three European universities — https://doi.org/10.1080/23322969.2026.2751120</w:t>
      </w:r>
    </w:p>
    <w:p>
      <w:pPr/>
      <w:r>
        <w:rPr>
          <w:b/>
        </w:rPr>
        <w:t>Shared claim-specific concepts:</w:t>
      </w:r>
      <w:r>
        <w:t xml:space="preserve"> approaches, security, further, framework; EU scope visible. This is a provisional connection, not an outcome finding.</w:t>
      </w:r>
    </w:p>
    <w:p>
      <w:pPr>
        <w:pStyle w:val="SourceNote"/>
      </w:pPr>
      <w:r>
        <w:rPr>
          <w:b/>
        </w:rPr>
        <w:t>Available abstract (not full text):</w:t>
      </w:r>
      <w:r>
        <w:t xml:space="preserve"> European and national policymakers have, in recent years, introduced new expectations regarding the safeguarding of research and innovation. However, the extant literature has paid limited attention to how universities interpret and operationalise these emerging research security agendas. This paper examines how research security is operationalised within universities through the interaction of policy framing, organisational structures, and local governance practices. Drawing on a comparative case study of three European universities, the KTH Royal Institute of Technology (Sweden), the University of Barcelona (Spain), and the University of Liège (Belgium), the study investigates how research security policies are translated into organisational arrangements and everyday practices. The findings demonstrate that research security does not develop through a single governance model but is shaped by institution-specific interpretations of broader policy narratives. While common European concerns have encouraged convergence around issues such as risk management, awareness-raising, due diligence, and compliance, significant differences remain in how universities define challenges, assign responsibilities, and organise responses. The analysis further shows that export control compliance frequently serves as an entry point for broader research security initiatives. It concludes that rese</w:t>
      </w:r>
    </w:p>
    <w:p>
      <w:pPr/>
      <w:r>
        <w:rPr>
          <w:b/>
        </w:rPr>
        <w:t>POSSIBLE 2026:</w:t>
      </w:r>
      <w:r>
        <w:t xml:space="preserve"> CRIMEA, UKRAINE, IRAN. THE EUROPEAN DIMENSION OF AVIATION SECURITY — https://doi.org/10.61846/cuji-ssh.2026.3.09</w:t>
      </w:r>
    </w:p>
    <w:p>
      <w:pPr/>
      <w:r>
        <w:rPr>
          <w:b/>
        </w:rPr>
        <w:t>Shared claim-specific concepts:</w:t>
      </w:r>
      <w:r>
        <w:t xml:space="preserve"> planning, security, support, they, long-term; EU scope visible. This is a provisional connection, not an outcome finding.</w:t>
      </w:r>
    </w:p>
    <w:p>
      <w:pPr>
        <w:pStyle w:val="SourceNote"/>
      </w:pPr>
      <w:r>
        <w:rPr>
          <w:b/>
        </w:rPr>
        <w:t>Available abstract (not full text):</w:t>
      </w:r>
      <w:r>
        <w:t xml:space="preserve"> The need to make progress, improve security policies, and enhance global aviation security has been a priority for this sector, spanning industry, economic development, mobility, and scientific research. The constant evolution of public policies, involving the assessment of existing ones and the emergence of a need for new, modern policies capable of responding to changing inputs, has prompted nations and international organisations to collaborate with industry specialists on their development. The growing interdependence among nations and the technical nature of certain fields have necessitated the identification and establishment of coordinated, harmonized actions at both global and regional levels. The states comprising these intergovernmental international organizations have played and continue to play a significant role, both in drafting constituent instruments and in adopting documents issued within the organization; such documents become operational only after ratification by a specific proportion of member states. By accepting and ratifying the constituent instruments of intergovernmental international organizations, member states enable these organizations to "act" as legal entities under domestic law. Addressing this subject is relevant for highlighting the influence civil aviation currently has on diplomatic and military affairs, given its potential to play a n very </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2025:</w:t>
      </w:r>
      <w:r>
        <w:t xml:space="preserve"> Implementing the systems-based breeding approach: Lessons learned from the European Union LIVESEED project — https://doi.org/10.5304/jafscd.2025.144.004</w:t>
      </w:r>
    </w:p>
    <w:p>
      <w:pPr/>
      <w:r>
        <w:rPr>
          <w:b/>
        </w:rPr>
        <w:t>Shared claim-specific concepts:</w:t>
      </w:r>
      <w:r>
        <w:t xml:space="preserve"> approaches, focus, project, security; EU scope visible. This is a provisional connection, not an outcome finding.</w:t>
      </w:r>
    </w:p>
    <w:p>
      <w:pPr>
        <w:pStyle w:val="SourceNote"/>
      </w:pPr>
      <w:r>
        <w:rPr>
          <w:b/>
        </w:rPr>
        <w:t>Available abstract (not full text):</w:t>
      </w:r>
      <w:r>
        <w:t xml:space="preserve"> Organic breeders must meet many requirements when developing cultivars to satisfy demand for high yield, good quality, resource efficiency and climate robustness, cultural and ethical accepta­bil­ity, and the provision of ecosystem services. Given the current and future climatic, agronomic, eco­nomic, and socio-cultural challenges, resilience can only be efficiently achieved through concerted actions. The concept of systems-based breeding integrates the strengths of different breeding orientations and provides a perspective where breeders can initiate developments toward ecologi­cally and societally resilient crop production that address six sustainability targets, including (1) food security, safety and quality; (2) food and seed sov­ereignty; (3) social justice; (4) agrobiodiversity; (5) ecosystem services; and (6) climate robustness. In this paper we present five supportive pillars for implementing the concept of systems-based breed­ing, based on experiences obtained during the European Union (EU) project LIVESEED from 2017 to 2021, and including results from prior related projects and literature on innovation sys­tems and systems change. The five supportive pil­lars we have identified are (1) increasing social awareness and reflection, (2) developing alternative financing approaches, (3) promoting the develop­ment of appropriate breeding methodologies and methods, (4) apply</w:t>
      </w:r>
    </w:p>
    <w:p>
      <w:pPr>
        <w:pStyle w:val="Heading2"/>
      </w:pPr>
      <w:r>
        <w:t>974.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2026:</w:t>
      </w:r>
      <w:r>
        <w:t xml:space="preserve"> Virome analysis reveals ORF7 sequences of type 2 porcine respiratory and reproductive syndrome virus (PRRSV) for the first time in a rodent host (Microtus pennsylvanicus) — https://doi.org/10.1016/j.onehlt.2026.101345</w:t>
      </w:r>
    </w:p>
    <w:p>
      <w:pPr/>
      <w:r>
        <w:rPr>
          <w:b/>
        </w:rPr>
        <w:t>Shared claim-specific concepts:</w:t>
      </w:r>
      <w:r>
        <w:t xml:space="preserve"> first, time, species; EU scope not established. This is a provisional connection, not an outcome finding.</w:t>
      </w:r>
    </w:p>
    <w:p>
      <w:pPr>
        <w:pStyle w:val="SourceNote"/>
      </w:pPr>
      <w:r>
        <w:rPr>
          <w:b/>
        </w:rPr>
        <w:t>Available abstract (not full text):</w:t>
      </w:r>
      <w:r>
        <w:t xml:space="preserve"> The lung virome of meadow vole ( Microtus pennsylvanicus) from six neighbouring locations in New York State, USA was investigated using metagenomics to determine the circulation of potentially zoonotic viruses in a common wild rodent. This study provides the first evidence of the occurrence of Type 2 Porcine Respiratory and Reproductive Syndrome Virus (PRRSV2) in a rodent, or indeed in any species apart from wild and domestic pigs ( Sus scrofa ). PRRSV has the highest economic impact on the pig husbandry industry of any pathogen, but up to now, farm-to-farm transmission of this virus has been assumed to be associated with movement of and contact with infected pigs and fomites. Our results showing the natural occurrence of this virus in potential transmission hosts other than wild or domestic pigs challenge this scenario. Phylogenetic analysis of assembled partial genomes from four of our pooled samples and all other nucleocapsid protein (ORF7) sequences available in Genbank showed that the sequences recovered from meadow voles unambiguously clustered within the PRRSV2 clade together with sequences derived from wild and domestic pigs . Historical research suggests that spillover from voles to domestic pigs may be the most parsimonious explanation for these results; however, we cannot rule out the reverse: that the source of PRRSV2 in these wild voles derives from pigs. From a On</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2025:</w:t>
      </w:r>
      <w:r>
        <w:t xml:space="preserve"> Figure 2 in Bioassay tests reveal for the first time pyrethroid resistance in Aedes mosquitoes from Franceville, southeast Gabon, Central Africa — https://doi.org/10.5281/zenodo.20217709</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Figure 2. Mortality of adult females 24 h after 1-hour exposure to insecticides and pre-exposure to PBO. The red dotted line indicates 90% mortality, and the green one 98% mortality.</w:t>
      </w:r>
    </w:p>
    <w:p>
      <w:pPr/>
      <w:r>
        <w:rPr>
          <w:b/>
        </w:rPr>
        <w:t>POSSIBLE 2025:</w:t>
      </w:r>
      <w:r>
        <w:t xml:space="preserve"> Amplified warming and marine heatwaves in the North Sea under a warming climate and their impacts — https://doi.org/10.5194/os-21-2505-2025</w:t>
      </w:r>
    </w:p>
    <w:p>
      <w:pPr/>
      <w:r>
        <w:rPr>
          <w:b/>
        </w:rPr>
        <w:t>Shared claim-specific concepts:</w:t>
      </w:r>
      <w:r>
        <w:t xml:space="preserve"> impacts, warming, atmospheric; EU scope visible. This is a provisional connection, not an outcome finding.</w:t>
      </w:r>
    </w:p>
    <w:p>
      <w:pPr>
        <w:pStyle w:val="SourceNote"/>
      </w:pPr>
      <w:r>
        <w:rPr>
          <w:b/>
        </w:rPr>
        <w:t>Available abstract (not full text):</w:t>
      </w:r>
      <w:r>
        <w:t xml:space="preserve"> Abstract. The Northeast Atlantic and adjacent regions, such as the North Sea, are among the fastest-warming areas in the world. However, the role of climate change and internal variability on marine heatwaves (MHWs) in this region remains poorly understood. This study aims to quantify the relevant changes in sea surface temperature (SST) and MHWs in the North Sea, as well as to identify the leading patterns of interannual MHW variability over more than four decades (1982–2024). Our results indicate a new regime shift in the annual mean SST in the North Sea since 2013. Therefore, we examine the relationships between MHW trends and long-term SST warming trends to quantify the role of climate change in the intensification of MHWs. We found that the increase in MHWs is related to the significant decadal change in SST over the North Sea, and we have revealed that large-scale climate modes, such as the Atlantic Multidecadal Oscillation and the East Atlantic Pattern, play a crucial role in this decadal change in SST. In particular, the SST trend has doubled in recent years (post-2013) compared to the previous period (1982–2012: pre-2013), leading to more intense and frequent MHWs. The SST and MHW frequencies have significantly increased by 0.38 °C/decade and 1.04 events/decade, respectively, over the entire study period. After removing the long-term SST warming trend before MHW detect</w:t>
      </w:r>
    </w:p>
    <w:p>
      <w:pPr/>
      <w:r>
        <w:rPr>
          <w:b/>
        </w:rPr>
        <w:t>POSSIBLE 2025:</w:t>
      </w:r>
      <w:r>
        <w:t xml:space="preserve"> Exploring Global Warming Impact on the Economy: The Nexus of Global Warming and the Economy in Perspective — https://doi.org/10.22610/jsds.v15i1(s).4383</w:t>
      </w:r>
    </w:p>
    <w:p>
      <w:pPr/>
      <w:r>
        <w:rPr>
          <w:b/>
        </w:rPr>
        <w:t>Shared claim-specific concepts:</w:t>
      </w:r>
      <w:r>
        <w:t xml:space="preserve"> reveal, time, warming, productivity; EU scope not established. This is a provisional connection, not an outcome finding.</w:t>
      </w:r>
    </w:p>
    <w:p>
      <w:pPr>
        <w:pStyle w:val="SourceNote"/>
      </w:pPr>
      <w:r>
        <w:rPr>
          <w:b/>
        </w:rPr>
        <w:t>Available abstract (not full text):</w:t>
      </w:r>
      <w:r>
        <w:t xml:space="preserve"> This study explores global warming’s impact on the economy, recommending solutions to reduce poverty. Its most important implications are for policy economists who present global warming’s effects as impacting intergenerational equity. Grounded in production theory, the specific emphasis of this study is public-goods investment and agricultural productivity’s dependency on nature. A focus on these two areas is what sets this study apart from similar research. After conducting a meta-study of the relevant qualitative information on these areas, my findings reveal that global warming’s effects are always a trade-off between present and future generations’ consumption of resources. Since the global population increases while resources are limited, historical inequalities are likely to persist if concerted interventions are not widely adopted. I argue that if global warming’s effects are economic problems, the over-exploitation of limited resources needs to be addressed directly and that economic solutions without follow-through cannot fix the problem. Ultimately, the study recommends that reducing greenhouse gas (GHG) emissions, despite negative economic outcomes in the short term, will be beneficial over time. As a result, the present generation needs to invest wisely in environmentally sustainable technologies, rather than short-term goods, so that future generations will enjoy </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pStyle w:val="Heading2"/>
      </w:pPr>
      <w:r>
        <w:t>975.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Enhancing Robustness of Federated Learning via Server Learning — https://doi.org/10.48550/arxiv.2604.03226</w:t>
      </w:r>
    </w:p>
    <w:p>
      <w:pPr/>
      <w:r>
        <w:rPr>
          <w:b/>
        </w:rPr>
        <w:t>Shared claim-specific concepts:</w:t>
      </w:r>
      <w:r>
        <w:t xml:space="preserve"> robustness, learning, not; EU scope not established. This is a provisional connection, not an outcome finding.</w:t>
      </w:r>
    </w:p>
    <w:p>
      <w:pPr>
        <w:pStyle w:val="SourceNote"/>
      </w:pPr>
      <w:r>
        <w:rPr>
          <w:b/>
        </w:rPr>
        <w:t>Available abstract (not full text):</w:t>
      </w:r>
      <w:r>
        <w:t xml:space="preserve"> This paper explores the use of server learning for enhancing the robustness of federated learning against malicious attacks even when clients' training data are not independent and identically distributed. We propose a heuristic algorithm that uses server learning and client update filtering in combination with geometric median aggregation. We demonstrate via experiments that this approach can achieve significant improvement in model accuracy even when the fraction of malicious clients is high, even more than $50\%$ in some cases, and the dataset utilized by the server is small and could be synthetic with its distribution not necessarily close to that of the clients' aggregated data.</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pStyle w:val="Heading2"/>
      </w:pPr>
      <w:r>
        <w:t>976.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2026:</w:t>
      </w:r>
      <w:r>
        <w:t xml:space="preserve"> Assessment of the 5-year evaluation for 1st call members of the European Reference Network on Rare Endocrine Conditions (Endo-ERN) — https://doi.org/10.1530/ec-25-0619</w:t>
      </w:r>
    </w:p>
    <w:p>
      <w:pPr/>
      <w:r>
        <w:rPr>
          <w:b/>
        </w:rPr>
        <w:t>Shared claim-specific concepts:</w:t>
      </w:r>
      <w:r>
        <w:t xml:space="preserve"> reference, not, one; EU scope visible. This is a provisional connection, not an outcome finding.</w:t>
      </w:r>
    </w:p>
    <w:p>
      <w:pPr>
        <w:pStyle w:val="SourceNote"/>
      </w:pPr>
      <w:r>
        <w:rPr>
          <w:b/>
        </w:rPr>
        <w:t>Available abstract (not full text):</w:t>
      </w:r>
      <w:r>
        <w:t xml:space="preserve"> Background: The European Reference Networks on Rare Endocrine Diseases (Endo-ERN) and member healthcare providers (HCPs) both are mandated to undergo periodical evaluation of their performance every 5 years. This evaluation is to ensure the continued high standards of ERN HCPs and gauges network progress. The first 5-year evaluation took place in 2022 for healthcare providers that joined Endo-ERN as full members in 2017. As the first implementation of this methodology, it must be reviewed and refined before the next 5-year evaluation. Aim: To investigate how the evaluation process could have impacted the changes in scores beyond merit of the HCP. Methods: This mixed-methods retrospective study and content analysis (CA) was used to examine the self-evaluation results from HCPs, comparing the draft and final scores earned. Results: Fifty-eight HCPs that were subjected to the 5-year evaluation were included, with 14 receiving on-site audit. Final scores of HCPs who received an on-site audit were significantly higher than draft scores in only one area, concerning 'quality and safety' (W = 105, P &lt; 0.0001). CA found five different concepts potentially causing this difference. HCPs with on-site audit commented 'No evidence is provided' online frequently. In follow-up, 61% of HCPs who received the on-site audit felt the on-site visit added value; however, in parallel, 55% felt that th</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2025:</w:t>
      </w:r>
      <w:r>
        <w:t xml:space="preserve"> Design Policy Mapping in Europe — https://openalex.org/W7215223829</w:t>
      </w:r>
    </w:p>
    <w:p>
      <w:pPr/>
      <w:r>
        <w:rPr>
          <w:b/>
        </w:rPr>
        <w:t>Shared claim-specific concepts:</w:t>
      </w:r>
      <w:r>
        <w:t xml:space="preserve"> built, policies, one;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Perceptions of the European Green Deal: Understanding Public Sentiment — https://doi.org/10.1177/20563051251337404</w:t>
      </w:r>
    </w:p>
    <w:p>
      <w:pPr/>
      <w:r>
        <w:rPr>
          <w:b/>
        </w:rPr>
        <w:t>Shared claim-specific concepts:</w:t>
      </w:r>
      <w:r>
        <w:t xml:space="preserve"> trends, way, compared; EU scope visible. This is a provisional connection, not an outcome finding.</w:t>
      </w:r>
    </w:p>
    <w:p>
      <w:pPr>
        <w:pStyle w:val="SourceNote"/>
      </w:pPr>
      <w:r>
        <w:rPr>
          <w:b/>
        </w:rPr>
        <w:t>Available abstract (not full text):</w:t>
      </w:r>
      <w:r>
        <w:t xml:space="preserve"> Launched in December 2019, the European Green Deal (EGD) represents the European Union’s (EU) ambitious policy framework to achieve climate neutrality by 2050. This study employs a sentiment analysis of 582,156 tweets from the beginning of 2020 to April 2024 to understand the evolution of public sentiment toward the EGD. Grounded in Social Representations Theory and Framing Theory, we analyze sentiment trends, topic distributions, and the impact of key policy and external events (e.g. COVID-19 spread) on public sentiment. The results reveal predominantly neutral sentiment (61.68%), with more positive (28.26%) than negative (10.06%) sentiment overall and a substantially stable trend over time. EU-affiliated accounts showed higher positive sentiment compared to non-EU-affiliated accounts. Sentiment trends were correlated with key policy announcements and global events, demonstrating the intricate relationship between policy communication and the formation of public opinion. The study identified key themes and specific initiatives driving positive sentiment, including those linked to the first EU climate law and climate targets, Farm to Fork, and New European Bauhaus. Conversely, economic concerns, challenges in policy implementation challenges, ecosystem conservation status, and food system, and energy security issues appeared as associated with negative sentiment. The findings h</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pStyle w:val="Heading2"/>
      </w:pPr>
      <w:r>
        <w:t>977.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2024:</w:t>
      </w:r>
      <w:r>
        <w:t xml:space="preserve"> Synergy‐as‐principle in global climate regulation — https://doi.org/10.1111/1758-5899.13425</w:t>
      </w:r>
    </w:p>
    <w:p>
      <w:pPr/>
      <w:r>
        <w:rPr>
          <w:b/>
        </w:rPr>
        <w:t>Shared claim-specific concepts:</w:t>
      </w:r>
      <w:r>
        <w:t xml:space="preserve"> synergies, climate; EU scope not established. This is a provisional connection, not an outcome finding.</w:t>
      </w:r>
    </w:p>
    <w:p>
      <w:pPr>
        <w:pStyle w:val="SourceNote"/>
      </w:pPr>
      <w:r>
        <w:rPr>
          <w:b/>
        </w:rPr>
        <w:t>Available abstract (not full text):</w:t>
      </w:r>
      <w:r>
        <w:t xml:space="preserve"> Abstract Isolated policy interventions are unlikely to effectively address a highly complex and cross‐cutting issue such as climate change. Such issues require more integrated or holistic approaches. The concept of searching for synergy across multiple objectives could then achieve better outcomes than a default position of trade‐off and collision. This contribution construes a novel principle of synergy to structure integrated decision‐making in global climate regulation through law. This article grounds its argument theoretically in the analysis of global regulation. It first develops the rationale of a regulatory principle justifying synergetic choices in rule‐design and rule‐application. It then sets out a typology of regulatory synergies – reinforcing, functional, and dormant or connecting – which can be arranged on a sliding scale and delivered with appropriate policy tools. It also suggests pathways for synergy‐as‐principle to advance beyond an effective strategy to acquiring legal bindingness within global regulation through law. Finally, this article tests the workability of this principle in four scenarios where climate protection and adjacent objectives intersect. Beyond this analysis of global climate regulation, this article points to the deeper normative foundations capable of supporting a non‐exclusionary global community.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2023:</w:t>
      </w:r>
      <w:r>
        <w:t xml:space="preserve"> Spinning in circles? A systematic review on the role of theory in social vulnerability, resilience and adaptation research — https://doi.org/10.1016/j.gloenvcha.2023.102672</w:t>
      </w:r>
    </w:p>
    <w:p>
      <w:pPr/>
      <w:r>
        <w:rPr>
          <w:b/>
        </w:rPr>
        <w:t>Shared claim-specific concepts:</w:t>
      </w:r>
      <w:r>
        <w:t xml:space="preserve"> adaptation, flood, climate; EU scope not established. This is a provisional connection, not an outcome finding.</w:t>
      </w:r>
    </w:p>
    <w:p>
      <w:pPr>
        <w:pStyle w:val="SourceNote"/>
      </w:pPr>
      <w:r>
        <w:rPr>
          <w:b/>
        </w:rPr>
        <w:t>Available abstract (not full text):</w:t>
      </w:r>
      <w:r>
        <w:t xml:space="preserve"> An increasing number of publications focus on social vulnerability, resilience, and adaptation (SVRA) towards natural hazards and climate change. Despite this proliferation of research, a systematic understanding of how these studies are theoretically grounded is lacking. Here, we systematically reviewed 4432 articles that address SVRA in various disciplinary fields (e.g. psychology, sociology, geography, mathematics) for various hazards, including floods, droughts, landslides, storm surges, wildfires, tsunamis, earthquakes, and volcano eruptions. We focus on the extent to which these studies explicate the frameworks, theoretical constructs or theories they rely on. Surprisingly, we found that about 90% of the reviewed studies do not explicitly refer to a theoretical un-derpinning. Overall, theories focusing on individuals' SVRA were more frequently used than those focusing on systems, society, groups, and networks. Moreover, the uptake of theories varied according to the hazard investigated and field of knowledge, being more frequent in wildfire and flood studies and articles published in social science journals. Based on our analysis, we propose a reflexive handling of theories to foster more transparent, comparable, and robust empirical research on SVRA.</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2022:</w:t>
      </w:r>
      <w:r>
        <w:t xml:space="preserve"> International Students' Psychological and Sociocultural Adaptation in the United States — https://doi.org/10.57709/1061378</w:t>
      </w:r>
    </w:p>
    <w:p>
      <w:pPr/>
      <w:r>
        <w:rPr>
          <w:b/>
        </w:rPr>
        <w:t>Shared claim-specific concepts:</w:t>
      </w:r>
      <w:r>
        <w:t xml:space="preserve"> therefore, likely, adaptation, between, services; EU scope not established. This is a provisional connection, not an outcome finding.</w:t>
      </w:r>
    </w:p>
    <w:p>
      <w:pPr>
        <w:pStyle w:val="SourceNote"/>
      </w:pPr>
      <w:r>
        <w:rPr>
          <w:b/>
        </w:rPr>
        <w:t>Available abstract (not full text):</w:t>
      </w:r>
      <w:r>
        <w:t xml:space="preserve"> International students constitute an important cohort in the United States (U.S.) colleges and universities. In order for the U.S. colleges and universities to better accommodate the significant number of international students and to recruit them in the future, it is critical to identify factors that influence these students? acculturation and adjustment processes and provide professionals with guidelines for creating culturally appropriate services and programs for them. Therefore the current study examined international students? adaptation to the U.S. in relation to their acculturation levels, coping processes, and intent to stay in the U.S. after their graduation. Center for Epidemiologic Studies - Depression scale was used as a measure of psychological adaptation. In addition, Sociocultural Adaptation Scale, Acculturation Index, and Ways of Coping Questionnaire, were used to measure sociocultural adaptation, acculturation dimensions, and coping processes, respectively. A total of 204 F1 visa holding international students participated in the current study. This project was a cross-sectional, exploratory study that measured depression and sociocultural adaptation among international students. Cronbach?s alpha for each instrument was calculated to determine the internal reliability for the current sample. Pearson product moment correlational analyses were performed to exami</w:t>
      </w:r>
    </w:p>
    <w:p>
      <w:pPr/>
      <w:r>
        <w:rPr>
          <w:b/>
        </w:rPr>
        <w:t>POSSIBLE 2022:</w:t>
      </w:r>
      <w:r>
        <w:t xml:space="preserve"> Tradeoffs and synergies in wetland multifunctionality: A scaling issue — https://doi.org/10.1016/j.scitotenv.2022.160746</w:t>
      </w:r>
    </w:p>
    <w:p>
      <w:pPr/>
      <w:r>
        <w:rPr>
          <w:b/>
        </w:rPr>
        <w:t>Shared claim-specific concepts:</w:t>
      </w:r>
      <w:r>
        <w:t xml:space="preserve"> therefore, synergies, range, services, climate; EU scope not established. This is a provisional connection, not an outcome finding.</w:t>
      </w:r>
    </w:p>
    <w:p>
      <w:pPr>
        <w:pStyle w:val="SourceNote"/>
      </w:pPr>
      <w:r>
        <w:rPr>
          <w:b/>
        </w:rPr>
        <w:t>Available abstract (not full text):</w:t>
      </w:r>
      <w:r>
        <w:t xml:space="preserve"> 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pStyle w:val="Heading2"/>
      </w:pPr>
      <w:r>
        <w:t>978.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2024:</w:t>
      </w:r>
      <w:r>
        <w:t xml:space="preserve"> How Important is European Integration for Pro-European Voters in Times of Politicization? — https://doi.org/10.1007/s11615-024-00545-y</w:t>
      </w:r>
    </w:p>
    <w:p>
      <w:pPr/>
      <w:r>
        <w:rPr>
          <w:b/>
        </w:rPr>
        <w:t>Shared claim-specific concepts:</w:t>
      </w:r>
      <w:r>
        <w:t xml:space="preserve"> important, however, only; EU scope visible. This is a provisional connection, not an outcome finding.</w:t>
      </w:r>
    </w:p>
    <w:p>
      <w:pPr>
        <w:pStyle w:val="SourceNote"/>
      </w:pPr>
      <w:r>
        <w:rPr>
          <w:b/>
        </w:rPr>
        <w:t>Available abstract (not full text):</w:t>
      </w:r>
      <w:r>
        <w:t xml:space="preserve"> Abstract The increasing success of Eurosceptic parties and multiple European crises have fostered the politicization of European integration. However, we know little about how pro-European voters behave in this politicized environment. How important is European integration for pro-European voters? Do they care more about European integration when their vision of Europe is increasingly contested? The past 15 years have been characterized by persistent politicization of Eurosceptic parties and an increasing willingness of Europhile parties to engage with European topics. Moreover, European crises illustrated potential consequences of political disintegration. I expect these developments to be reflected in an increasing salience of European integration among pro-European voters. I derive salience estimates from spatial vote models encompassing four issue dimensions to track the development of salience. I use data from the European Social Survey, the European Election Studies, and the Chapel Hill Expert Survey, which cover many EU member states between 2008 and 2019. The results show that the salience of the European integration issue is most pronounced among Eurosceptic voters, while it is less pronounced among pro-European voters. However, in countries with a successful Eurosceptic party, it is more likely that the European integration issue also matters to pro-European voters. M</w:t>
      </w:r>
    </w:p>
    <w:p>
      <w:pPr/>
      <w:r>
        <w:rPr>
          <w:b/>
        </w:rPr>
        <w:t>POSSIBLE 2024:</w:t>
      </w:r>
      <w:r>
        <w:t xml:space="preserve"> Petitions and Petitioning in Europe and North America — https://doi.org/10.5871/bacad/9780197267721.001.0001</w:t>
      </w:r>
    </w:p>
    <w:p>
      <w:pPr/>
      <w:r>
        <w:rPr>
          <w:b/>
        </w:rPr>
        <w:t>Shared claim-specific concepts:</w:t>
      </w:r>
      <w:r>
        <w:t xml:space="preserve"> important, present; EU scope visible. This is a provisional connection, not an outcome finding.</w:t>
      </w:r>
    </w:p>
    <w:p>
      <w:pPr>
        <w:pStyle w:val="SourceNote"/>
      </w:pPr>
      <w:r>
        <w:rPr>
          <w:b/>
        </w:rPr>
        <w:t>Available abstract (not full text):</w:t>
      </w:r>
      <w:r>
        <w:t xml:space="preserve"> Abstract Throughout history, across very different types of state and society, petitions and petitioning have been ubiquitous practices. The interaction between petitioners and authority has been a crucial dynamic in exercising and contesting power. Consolidating and advancing a rapidly expanding field of research across history, law, and the social sciences, this book is the first study of these venerable practices from their development in the late medieval period to the emergence of e-petitions in the 21st century. With a broad focus on Europe and North America, this volume breaks new ground by examining the concept, history, and practice of petitions and petitioning across chronological and geographical boundaries, opening up this important topic to a wider audience across the humanities and social sciences. The book is organised in three parts: the first section defines petitions with greater clarity than before; the second examines cycles of continuity and transformation over long periods of time; while the final section zooms in to analyse examples that reveal why petitions and petitioning have mattered for both petitioners and authority. The chapters emphasise why petitionary practices have been crucial forms of collective action and representation, and a ubiquitous presence in political culture, both past and present.</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2023:</w:t>
      </w:r>
      <w:r>
        <w:t xml:space="preserve"> PERSPECTIVEs on supervised exercise programs in people with metastatic breast cancer- a qualitative study in four European countries — https://doi.org/10.1007/s00520-023-07739-x</w:t>
      </w:r>
    </w:p>
    <w:p>
      <w:pPr/>
      <w:r>
        <w:rPr>
          <w:b/>
        </w:rPr>
        <w:t>Shared claim-specific concepts:</w:t>
      </w:r>
      <w:r>
        <w:t xml:space="preserve"> important, exercise, qualitative, purpose; EU scope visible. This is a provisional connection, not an outcome finding.</w:t>
      </w:r>
    </w:p>
    <w:p>
      <w:pPr>
        <w:pStyle w:val="SourceNote"/>
      </w:pPr>
      <w:r>
        <w:rPr>
          <w:b/>
        </w:rPr>
        <w:t>Available abstract (not full text):</w:t>
      </w:r>
      <w:r>
        <w:t xml:space="preserve"> PURPOSE: Supervised exercise is a potentially promising supportive care intervention for people with metastatic breast cancer (MBC), but research on the patients' perspective is limited. The aim of the current focus group study was to gain an in-depth understanding of MBC patients' perceived barriers, facilitators, and preferences for supervised exercise programs. METHODS: Eleven online focus groups with, in total, 44 MBC patients were conducted in four European countries (Germany, Poland, Spain, Sweden). Main topics of the semi-structured discussions covered attitudes towards participation in supervised exercise programs, perceived facilitators, experienced barriers, and exercise preferences. Interviews were transcribed verbatim, translated into English, and coded based on a preliminary coding framework, supplemented by themes emerging during the sessions. The codes were subsequently examined for interrelations and re-organized into overarching clusters. RESULTS: Participants had positive attitudes towards exercise, but experienced physical limitations and insecurities that inhibited their participation. They expressed a strong desire for exercise tailored to their needs, and supervision by an exercise professional. Participants also highlighted the social nature of group training as an important facilitator. They had no clear preference for exercise type, but rather favored a</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pStyle w:val="Heading2"/>
      </w:pPr>
      <w:r>
        <w:t>979.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980.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2026:</w:t>
      </w:r>
      <w:r>
        <w:t xml:space="preserve"> Horizon Scanning report 2016-2025 update — https://openalex.org/W7212410651</w:t>
      </w:r>
    </w:p>
    <w:p>
      <w:pPr/>
      <w:r>
        <w:rPr>
          <w:b/>
        </w:rPr>
        <w:t>Shared claim-specific concepts:</w:t>
      </w:r>
      <w:r>
        <w:t xml:space="preserve"> horizon, scanning, systemic;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pStyle w:val="Heading2"/>
      </w:pPr>
      <w:r>
        <w:t>981.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2026:</w:t>
      </w:r>
      <w:r>
        <w:t xml:space="preserve"> A Segmentation Analysis of Air Passengers in European Countries — https://doi.org/10.3390/futuretransp6010027</w:t>
      </w:r>
    </w:p>
    <w:p>
      <w:pPr/>
      <w:r>
        <w:rPr>
          <w:b/>
        </w:rPr>
        <w:t>Shared claim-specific concepts:</w:t>
      </w:r>
      <w:r>
        <w:t xml:space="preserve"> air, both, factors; EU scope visible. This is a provisional connection, not an outcome finding.</w:t>
      </w:r>
    </w:p>
    <w:p>
      <w:pPr>
        <w:pStyle w:val="SourceNote"/>
      </w:pPr>
      <w:r>
        <w:rPr>
          <w:b/>
        </w:rPr>
        <w:t>Available abstract (not full text):</w:t>
      </w:r>
      <w:r>
        <w:t xml:space="preserve"> Fully integrated airport access requires managing many aspects from both the passengers’ and the operational point of view. It is noted that air passenger preferences, influenced by distance, time, and other travel-related factors, are one of the fundamentals for understanding airport choice within multi-region airport systems. Therefore, an online survey was conducted in Europe, collecting more than two thousand responses, from which passengers’ attitudes and motives for selecting airport access travel modes were obtained. On the basis of the mobility profile of respondents, Fuzzy C-means (FCM) clustering analysis was performed to identify segments with similar travel attributes. The outcomes of clustering were validated through the comparison between the FCM and K-means clustering algorithms. The results of the study showed that (i) the car was the most preferred mode of transport across different age groups, and (ii) waiting time, travel costs, and travel time were rated as important, with reliability identified as the most important factor when making travel mode choices. These findings may serve as a reference for improving multimodal airport access services and encouraging a shift from private to public transportation modes.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2024:</w:t>
      </w:r>
      <w:r>
        <w:t xml:space="preserve"> Air pollution and rhinitis — https://doi.org/10.3389/falgy.2024.1387525</w:t>
      </w:r>
    </w:p>
    <w:p>
      <w:pPr/>
      <w:r>
        <w:rPr>
          <w:b/>
        </w:rPr>
        <w:t>Shared claim-specific concepts:</w:t>
      </w:r>
      <w:r>
        <w:t xml:space="preserve"> air, pollution, climate; EU scope not established. This is a provisional connection, not an outcome finding.</w:t>
      </w:r>
    </w:p>
    <w:p>
      <w:pPr>
        <w:pStyle w:val="SourceNote"/>
      </w:pPr>
      <w:r>
        <w:rPr>
          <w:b/>
        </w:rPr>
        <w:t>Available abstract (not full text):</w:t>
      </w:r>
      <w:r>
        <w:t xml:space="preserve"> Rhinitis arises from either allergic or non-allergic inflammation of the nasal mucosa, characterized by the infiltration of inflammatory cells into the tissue and nasal secretions, along with structural alterations in the nasal mucosa. The pathways through which air pollution affects rhinitis may diverge from those affecting asthma. This article aims to review the effects of diverse air pollutants on the nose, the correlation of climate change and pollution, and how they aggravate the symptoms of patients with rhinitis.</w:t>
      </w:r>
    </w:p>
    <w:p>
      <w:pPr/>
      <w:r>
        <w:rPr>
          <w:b/>
        </w:rPr>
        <w:t>POSSIBLE 2024:</w:t>
      </w:r>
      <w:r>
        <w:t xml:space="preserve"> Urban challenges and air quality in selected european cities — https://doi.org/10.37190/epe240304</w:t>
      </w:r>
    </w:p>
    <w:p>
      <w:pPr/>
      <w:r>
        <w:rPr>
          <w:b/>
        </w:rPr>
        <w:t>Shared claim-specific concepts:</w:t>
      </w:r>
      <w:r>
        <w:t xml:space="preserve"> air, pollution, improvement, climate, quality; EU scope visible. This is a provisional connection, not an outcome finding.</w:t>
      </w:r>
    </w:p>
    <w:p>
      <w:pPr>
        <w:pStyle w:val="SourceNote"/>
      </w:pPr>
      <w:r>
        <w:rPr>
          <w:b/>
        </w:rPr>
        <w:t>Available abstract (not full text):</w:t>
      </w:r>
      <w:r>
        <w:t xml:space="preserve"> More than half of the world's population currently resides in urban areas. Therefore, cities must be part of the solution if the increasingly urbanized world is to successfully address environmental challenges such as climate change. Air pollution poses a significant health risk to Europeans. Due to urbanization, population growth, traffic congestion, industrial activities, energy generation, and inadequate urban planning connected to environmental solutions modern cities confront a range of complex challenges concerning air quality. Achieving the zero-pollution vision for 2050 demands further endeavors to diminish air pollution to levels deemed safe for health. This article examines the multifaceted obstacles that modern cities encounter, with a particular emphasis on the critical issue of air quality. The study aims to analyze low-emission solutions aimed at improving the state of air quality in selected European cities. The study assessed changes in the concentrations of NO2, O3, PM10, PM2.5 and benzo(a)pyrene in chosen European cities between 2013–2022 offering a comparative analysis of air quality challenges and solutions across selected cities. The value of the analysis lies in its ability to draw conclusions from current European urban trends related to air quality improvement and to develop a comprehensive set of recommendations tailored for policymakers.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2023:</w:t>
      </w:r>
      <w:r>
        <w:t xml:space="preserve"> MEASURING THE JUSTNESS OF THE EUROPEAN GREEN TRANSITION — https://doi.org/10.61432/cpne0101030m</w:t>
      </w:r>
    </w:p>
    <w:p>
      <w:pPr/>
      <w:r>
        <w:rPr>
          <w:b/>
        </w:rPr>
        <w:t>Shared claim-specific concepts:</w:t>
      </w:r>
      <w:r>
        <w:t xml:space="preserve"> measures, main, leading; EU scope visible. This is a provisional connection, not an outcome finding.</w:t>
      </w:r>
    </w:p>
    <w:p>
      <w:pPr>
        <w:pStyle w:val="SourceNote"/>
      </w:pPr>
      <w:r>
        <w:rPr>
          <w:b/>
        </w:rPr>
        <w:t>Available abstract (not full text):</w:t>
      </w:r>
      <w:r>
        <w:t xml:space="preserve"> The ambitious goals of the green transition of the EU have set numerous challenges, including in the social sphere. The green transition is expected to affect the European households and businesses in various ways (job loss, energy and transport poverty, etc.) leading to a direct or indirect increase in their living costs and company expenses. Thus, research is needed on the policy measures that the EU is taking to tackle the negative social effects of the green transition and on the evaluation of their efficiency. The latest developments in the policy area concerning its social dimension are considered in this paper, as well as the approaches to the measurement of the justness of the green transition. The aim of this review scientific paper is to analyze main methodological approaches to green transition, and specifically to the justness of the green transition in the EU. The methodology of this study includes a desk research, based on analysis and synthesis, descriptive and comparative analysis and systematic approach. The key finding of the study is that despite the numerous policy papers, regulations and recommendations, there is no comprehensive methodology to measure the justness of the green transition in the EU and further research is needed regarding the precision of the indicators that need to be developed and for which statistical data will have to be collected. The </w:t>
      </w:r>
    </w:p>
    <w:p>
      <w:pPr>
        <w:pStyle w:val="Heading2"/>
      </w:pPr>
      <w:r>
        <w:t>982.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Extreme high temperatures and heatwave events across Europe in 2023 — https://doi.org/10.1088/2515-7620/adae60</w:t>
      </w:r>
    </w:p>
    <w:p>
      <w:pPr/>
      <w:r>
        <w:rPr>
          <w:b/>
        </w:rPr>
        <w:t>Shared claim-specific concepts:</w:t>
      </w:r>
      <w:r>
        <w:t xml:space="preserve"> baseline, period, much; EU scope visible. This is a provisional connection, not an outcome finding.</w:t>
      </w:r>
    </w:p>
    <w:p>
      <w:pPr>
        <w:pStyle w:val="SourceNote"/>
      </w:pPr>
      <w:r>
        <w:rPr>
          <w:b/>
        </w:rPr>
        <w:t>Available abstract (not full text):</w:t>
      </w:r>
      <w:r>
        <w:t xml:space="preserve"> Abstract With global mean temperatures reaching record highs in 2023, many regions experienced successive heatwaves, causing negative impacts on human health, social economy, and ecosystems. Europe is among the continents that experienced a series of extreme heatwaves over large areas in the year. However, there is a lack of quantitative analysis of spatial and temporal features of such record high heatwaves. Here, we investigated the spatial patterns and seasonal evolution of heatwaves over Europe in 2023. Overall, Europe was unusually warm with prolonged seasons and expanded spatial extent of heatwaves in 2023 compared to the baseline period (1991–2020). The earliest heatwave occurred in the Iberian Peninsula in late April, with the heatwave intensity up to 30 °C. Then, heatwaves were observed in the British Isles and Scandinavia in mid-June successively, with duration above 10 days and the highest intensity in some areas since 1991. Extreme heatwaves extended through the autumn primarily in the Mediterranean areas and western Europe, with some areas experiencing maximum temperature up to 32 °C and duration exceeding 12 days. The heatwave number, duration, frequency, and intensity in areas affected by extreme heatwaves in all seasons were much higher than the average in the baseline period. Especially in the autumn, the frequency and seasonal cumulative heat anomalies were up</w:t>
      </w:r>
    </w:p>
    <w:p>
      <w:pPr/>
      <w:r>
        <w:rPr>
          <w:b/>
        </w:rPr>
        <w:t>POSSIBLE 2024:</w:t>
      </w:r>
      <w:r>
        <w:t xml:space="preserve"> Recovery and resilience of European temperate forests after large and severe disturbances — https://doi.org/10.1111/gcb.17159</w:t>
      </w:r>
    </w:p>
    <w:p>
      <w:pPr/>
      <w:r>
        <w:rPr>
          <w:b/>
        </w:rPr>
        <w:t>Shared claim-specific concepts:</w:t>
      </w:r>
      <w:r>
        <w:t xml:space="preserve"> baseline, larger, climate; EU scope visible. This is a provisional connection, not an outcome finding.</w:t>
      </w:r>
    </w:p>
    <w:p>
      <w:pPr>
        <w:pStyle w:val="SourceNote"/>
      </w:pPr>
      <w:r>
        <w:rPr>
          <w:b/>
        </w:rPr>
        <w:t>Available abstract (not full text):</w:t>
      </w:r>
      <w:r>
        <w:t xml:space="preserve"> Abstract Recent observations of tree regeneration failures following large and severe disturbances, particularly under warm and dry conditions, have raised concerns about the resilience of forest ecosystems and their recovery dynamics in the face of climate change. We investigated the recovery of temperate forests in Europe after large and severe disturbance events (i.e., resulting in more than 70% canopy loss in patches larger than 1 ha), with a range of one to five decades since the disturbance occurred. The study included 143 sites of different forest types and management practices that had experienced 28 disturbance events, including windthrow (132 sites), fire (six sites), and bark beetle outbreaks (five sites). We focused on assessing post‐disturbance tree density, structure, and composition as key indicators of forest resilience. We compared post‐disturbance height‐weighted densities with site‐specific pre‐disturbance densities to qualitatively assess the potential for structural and compositional recovery, overall and for dominant tree species, respectively. Additionally, we analyzed the ecological drivers of post‐windthrow tree density, such as forest management, topography, and post‐disturbance aridity, using a series of generalized additive models. The descriptive results show that European temperate forests have been resilient to past large and severe disturbances a</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2022:</w:t>
      </w:r>
      <w:r>
        <w:t xml:space="preserve"> The duration of the school-to-work transition in Italy and in other European countries: a flexible baseline hazard interpretation — https://doi.org/10.1108/ijm-03-2021-0135</w:t>
      </w:r>
    </w:p>
    <w:p>
      <w:pPr/>
      <w:r>
        <w:rPr>
          <w:b/>
        </w:rPr>
        <w:t>Shared claim-specific concepts:</w:t>
      </w:r>
      <w:r>
        <w:t xml:space="preserve"> comparing, baseline, increases; EU scope visible. This is a provisional connection, not an outcome finding.</w:t>
      </w:r>
    </w:p>
    <w:p>
      <w:pPr>
        <w:pStyle w:val="SourceNote"/>
      </w:pPr>
      <w:r>
        <w:rPr>
          <w:b/>
        </w:rPr>
        <w:t>Available abstract (not full text):</w:t>
      </w:r>
      <w:r>
        <w:t xml:space="preserve">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pStyle w:val="Heading2"/>
      </w:pPr>
      <w:r>
        <w:t>983.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2026:</w:t>
      </w:r>
      <w:r>
        <w:t xml:space="preserve"> Oxybenzone in Sunscreen: Examining Human Health Implications — https://openalex.org/W7202418639</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Objective: The purpose of this paper is to evaluate the current evidence regarding the human health effects associated with exposure to oxybenzone (benzophenone-3) containing sunscreen in individuals using sunscreen products. This review examined outcomes, including systemic absorption, endocrine function, and reproductive health, while considering established benefits of sunscreen for skin cancer prevention. Methods: A comprehensive literature review was conducted using peer-reviewed publications identified through PubMed, Google Scholar, and the Valparaiso University library database. Selected studies included systematic reviews, meta-analyses, pharmacokinetic studies, observational studies, and toxicological research. Literature evaluating systemic absorption, endocrine disruption, reproductive health effects, biomonitoring data, and regulatory safety assessments was critically appraised and synthesized to identify current evidence and clinical implications. Results: The reviewed literature consistently demonstrated that oxybenzone is systemically absorbed following topical sunscreen application, with plasma concentrations frequently exceeding the U.S. Food and Drug Administration threshold, warranting additional safety evaluation. While experimental and animal studies suggest endocrine-disrupting activity, human studies have produced inconsistent findings regarding clinical</w:t>
      </w:r>
    </w:p>
    <w:p>
      <w:pPr/>
      <w:r>
        <w:rPr>
          <w:b/>
        </w:rPr>
        <w:t>POSSIBLE 2026:</w:t>
      </w:r>
      <w:r>
        <w:t xml:space="preserve"> Examining E-Learning System Success in Jordanian Higher Education: Extending the Information Systems Success Model with Monitoring Quality — https://doi.org/10.3390/info17080738</w:t>
      </w:r>
    </w:p>
    <w:p>
      <w:pPr/>
      <w:r>
        <w:rPr>
          <w:b/>
        </w:rPr>
        <w:t>Shared claim-specific concepts:</w:t>
      </w:r>
      <w:r>
        <w:t xml:space="preserve"> systems, but, not, significantly; EU scope not established. This is a provisional connection, not an outcome finding.</w:t>
      </w:r>
    </w:p>
    <w:p>
      <w:pPr>
        <w:pStyle w:val="SourceNote"/>
      </w:pPr>
      <w:r>
        <w:rPr>
          <w:b/>
        </w:rPr>
        <w:t>Available abstract (not full text):</w:t>
      </w:r>
      <w:r>
        <w:t xml:space="preserve"> Higher education is increasingly digitalized, resulting in increased reliance on e-learning systems, and thus, e-learning system success should be sufficiently evaluated. However, students worldwide have shown unproductive e-learning use. Hence, the e-learning systems success model after the outbreak needs revision. To validate the e-learning systems success, the role of monitoring quality was examined in this study using current e-learning and information systems success models. Data from 600 students were analyzed with structural equation modelling (SEM) run by SMARTPLS 4. Results showed that user satisfaction was positively impacted by information quality, system quality and service quality but not by monitoring quality. Results further showed positive impact of user system use on student satisfaction, subsequently impacting student loyalty. Also, results showed user satisfaction significantly impacting learning effectiveness. This study enhances the information systems literature through the inclusion of monitoring quality into the DeLone and McLean information systems success model and through examining its impact on user satisfaction, loyalty intention, and learning effectiveness in e-learning environments.</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2025:</w:t>
      </w:r>
      <w:r>
        <w:t xml:space="preserve"> Examining the Possibility of Transition from the Accusatorial to Inquisitorial Model of Trial in the Present Criminal Justice System — https://doi.org/10.36128/priw.vi54.865</w:t>
      </w:r>
    </w:p>
    <w:p>
      <w:pPr/>
      <w:r>
        <w:rPr>
          <w:b/>
        </w:rPr>
        <w:t>Shared claim-specific concepts:</w:t>
      </w:r>
      <w:r>
        <w:t xml:space="preserve"> examines, but; EU scope visible. This is a provisional connection, not an outcome finding.</w:t>
      </w:r>
    </w:p>
    <w:p>
      <w:pPr>
        <w:pStyle w:val="SourceNote"/>
      </w:pPr>
      <w:r>
        <w:rPr>
          <w:b/>
        </w:rPr>
        <w:t>Available abstract (not full text):</w:t>
      </w:r>
      <w:r>
        <w:t xml:space="preserve"> The criminal justice system plays an important role in any society governed by the rule of law. It basically emphasises on the safety and security of an individual and the society as a whole. Two models of criminal justice system i.e., an accusatorial and inquisitional model are followed across the globe. The inquisitional system has its origin in continental law countries such as Italy, France, Germany etc. while the accusatorial system has its roots in England and other common law countries. India, being a common law country, generally follows the accusatorial model of criminal justice system but in exceptional cases some elements of the inquisitional model have also been adopted through the process of legislation and judicial rulings. The present paper examines the applicability of both models in the exiting criminal justice system. Considering the present scenario and the challenges faced by our country, the author would also like to examine the possibility of tilting towards the inquisitional system to overcome such challenges.</w:t>
      </w:r>
    </w:p>
    <w:p>
      <w:pPr/>
      <w:r>
        <w:rPr>
          <w:b/>
        </w:rPr>
        <w:t>POSSIBLE 2025:</w:t>
      </w:r>
      <w:r>
        <w:t xml:space="preserve"> Examining the Development of a Geographic Information System Georeferencing Algorithm for Building Informaiton Modeling — https://doi.org/10.18494/sam5381</w:t>
      </w:r>
    </w:p>
    <w:p>
      <w:pPr/>
      <w:r>
        <w:rPr>
          <w:b/>
        </w:rPr>
        <w:t>Shared claim-specific concepts:</w:t>
      </w:r>
      <w:r>
        <w:t xml:space="preserve"> systems, but, not; EU scope not established. This is a provisional connection, not an outcome finding.</w:t>
      </w:r>
    </w:p>
    <w:p>
      <w:pPr>
        <w:pStyle w:val="SourceNote"/>
      </w:pPr>
      <w:r>
        <w:rPr>
          <w:b/>
        </w:rPr>
        <w:t>Available abstract (not full text):</w:t>
      </w:r>
      <w:r>
        <w:t xml:space="preserve"> Digital twins are rapidly expanding in the market as an important foundation for industrial revitalization.Among these, building information modeling (BIM) plays a critical role in the digital twin field, and its integration with the Geographic Information System (GIS) enables applications in various areas, including urban planning and digital twin development.However, BIM and GIS were developed for different purposes, resulting in distinct data structures and characteristics, which makes integration challenging.In particular, the integration process requires positional correction owing to differences in coordinate systems, but in practice, location information is not prioritized during BIM model creation, making coordinate matching difficult.To address the discrepancies in location information between BIM and GIS, in this study, we propose an automatic algorithm for coordinate transformation to align Local Coordinate System (LCS)-based data with Reference Coordinate System (RCS)-based GIS digital maps.The algorithm goes through a five-step process: measuring location information levels, extracting outermost polygon vectors, polygon-based model matching, extracting coordinate transformation coefficients, and BIM model georeferencing.Owing to the limited availability of BIM data, the proposed method was only applied experimentally in this study.However, future research should in</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pStyle w:val="Heading2"/>
      </w:pPr>
      <w:r>
        <w:t>984.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2026:</w:t>
      </w:r>
      <w:r>
        <w:t xml:space="preserve"> Exploring Key Factors of Idle Land as Food Estate Area using Delphi Method — https://openalex.org/W7217048500</w:t>
      </w:r>
    </w:p>
    <w:p>
      <w:pPr/>
      <w:r>
        <w:rPr>
          <w:b/>
        </w:rPr>
        <w:t>Shared claim-specific concepts:</w:t>
      </w:r>
      <w:r>
        <w:t xml:space="preserve"> used, delphi, method, food; EU scope not established. This is a provisional connection, not an outcome finding.</w:t>
      </w:r>
    </w:p>
    <w:p>
      <w:pPr>
        <w:pStyle w:val="SourceNote"/>
      </w:pPr>
      <w:r>
        <w:rPr>
          <w:b/>
        </w:rPr>
        <w:t>Available abstract (not full text):</w:t>
      </w:r>
      <w:r>
        <w:t xml:space="preserve"> In the context of globalization and climate change, research on determining the location of utilization of Indonesian Navy idle land is becoming increasingly relevant to face new challenges in agriculture and the environment. The efforts to optimize the utilization of idle land through quality research will provide long-term benefits for the sustainability of natural resources and food resilience. In addition, the sustainability of the logistical aspects of idle land production can support the ability to carry out the Navy's operational tasks. This research aims to identify key factors in empowering Indonesian Navy idle land as a food estate area to support national food resilience. Land Use Planning Theory, and resilience theory support this research. Qualitative analysis is used as a research method supported by the Delphi method. The Lantamal III working area was used as the research locus, because in this area there are still several areas as idle land. The results of the identification of factors using the delphi method approach, obtained six related factors namely 1) Soil Fertility; 2) Risk of Natural Disaster; 3) Labor; 4) Agricultural Technology; 5) Infrastructure Access; 6) Financial. Utilization of Indonesian Navy idle land is driven by soil fertility, manageable risk of natural disasters, abundant labor supply, understanding of agricultural technology, good infrastru</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pStyle w:val="Heading2"/>
      </w:pPr>
      <w:r>
        <w:t>985.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r>
        <w:rPr>
          <w:b/>
        </w:rPr>
        <w:t>POSSIBLE 2024:</w:t>
      </w:r>
      <w:r>
        <w:t xml:space="preserve"> Analysis Project Management on Cv. Nbw. Id by Cpm Method (Critical Path Method) — https://doi.org/10.56338/jsm.v11i1.5084</w:t>
      </w:r>
    </w:p>
    <w:p>
      <w:pPr/>
      <w:r>
        <w:rPr>
          <w:b/>
        </w:rPr>
        <w:t>Shared claim-specific concepts:</w:t>
      </w:r>
      <w:r>
        <w:t xml:space="preserve"> methods, processing, data, between; EU scope not established. This is a provisional connection, not an outcome finding.</w:t>
      </w:r>
    </w:p>
    <w:p>
      <w:pPr>
        <w:pStyle w:val="SourceNote"/>
      </w:pPr>
      <w:r>
        <w:rPr>
          <w:b/>
        </w:rPr>
        <w:t>Available abstract (not full text):</w:t>
      </w:r>
      <w:r>
        <w:t xml:space="preserve"> Project implementation can be successful when existing resources are used effectively and efficiently. One attempt to use the critical path (CPM) method is a project scheduling method that uses project planning analysis and fixed tim e estimates for each activity. In other words, this method can help solve the scheduling problem by determining the timing of the longest production process schedules in the project so that the company can effectively and efficiently determine how long a project can be completed. Optimization must be done to restore the project duration to the actual schedule. The data processing results are performed to determine the project control methods applied by the CV. NBW. ID and obtain a comparison of completion time between scheduling using the CPM (Critical Path Method) method and actual CV results. NBA. ID. To shorten the life of the project, it can be used CPM. The result of using the program on the project with the CPM method is that the project may be completed with a duration of 108 hours or approximately 13 days for one project at a cost of Rs 2.255.903,00 with a time difference of 18 hours.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pStyle w:val="Heading2"/>
      </w:pPr>
      <w:r>
        <w:t>986.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2026:</w:t>
      </w:r>
      <w:r>
        <w:t xml:space="preserve"> Thirty Years of Agricultural Landscape Simplification in Europe: A Multi-Scale Assessment Using CORINE Land Cover and GAM Models — https://doi.org/10.3390/land15081370</w:t>
      </w:r>
    </w:p>
    <w:p>
      <w:pPr/>
      <w:r>
        <w:rPr>
          <w:b/>
        </w:rPr>
        <w:t>Shared claim-specific concepts:</w:t>
      </w:r>
      <w:r>
        <w:t xml:space="preserve"> provides, quantitative, long-term; EU scope visible. This is a provisional connection, not an outcome finding.</w:t>
      </w:r>
    </w:p>
    <w:p>
      <w:pPr>
        <w:pStyle w:val="SourceNote"/>
      </w:pPr>
      <w:r>
        <w:rPr>
          <w:b/>
        </w:rPr>
        <w:t>Available abstract (not full text):</w:t>
      </w:r>
      <w:r>
        <w:t xml:space="preserve"> Understanding long-term changes in agricultural landscapes is essential for assessing the sustainability of land-use systems and guiding agro-environmental policy. This study analyzes three decades of landscape simplification and natural habitat complexity (1990–2018) across three spatial scales—Europe, Spain, and Extremadura—using CORINE Land Cover data and generalized additive models (GAMs). Four agricultural systems were examined: total agriculture, vineyards, olive groves, and rice fields. For each year and region, 1000 randomly selected 1 km buffers were used to quantify the proportions of focal crops and natural habitat as indicators of landscape simplification and complexity, respectively. Results showed that landscape simplification was widespread and statistically significant across most agricultural systems, particularly in Spanish vineyards (p = 3.02 × 10−5) and rice fields (p = 3.74 × 10−5). Temporal analyses indicated declining simplification trends in Europe and Spain (approximately −1.5%), whereas Extremadura exhibited increasing simplification (+1.5%) and a decline in landscape complexity after 2006. Landscape complexity showed fewer significant trends, with Europe and Spain displaying slight increases over time, whereas Extremadura shifted from initial complexity gains to a decline after 2006, indicating pressures from irrigation expansion and crop intensificat</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2025:</w:t>
      </w:r>
      <w:r>
        <w:t xml:space="preserve"> A quantitative solar ultraviolet radiation job-exposure matrix for Europe — https://doi.org/10.1093/annweh/wxaf011</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INTRODUCTION: Outdoor workers are exposed to high levels of solar ultraviolet radiation (UVR). UVR causes skin cancer and is a risk factor for cataract and other short- and long-term health effects, but there are significant knowledge gaps regarding the exposure-response relations based on quantitative measures of UVR exposure. We developed a quantitative UVR job-exposure matrix (JEM) for the general working population of Europe. METHODS: Three experts from each of Northern, Central, and Southern Europe rated duration of outdoor work for all 372 occupations defined by the International Standard Classification of Occupations from 1988 (ISCO-88(COM)). A systematic literature search identified 12 studies providing 223 sets of summary workday UVR exposure for 49 ISCO-88(COM) occupations based on 75,711 personal workday measurements obtained from 2,645 participants and reported as arithmetic mean standard erythemal dose (SED). We combined the expert ratings with the measured occupational UVR exposure data and estimated harmonized workday UVR exposures for all 372 occupations in a linear mixed effects model. RESULTS: Monotonically increasing workday UVR exposure of 0.68, 1.57, 1.80, and 2.49 SED were seen by increasing expert ratings of 0, 1 to 2, 3 to 4, and ≥5 h of daily outdoor work. The UVR exposure showed a 6-fold increase from lowest to highest exposed occupation. Farm hands, r</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2024:</w:t>
      </w:r>
      <w:r>
        <w:t xml:space="preserve"> Constraining long-term NO x emissions over the United States and Europe using nitrate wet deposition monitoring networks — https://doi.org/10.5194/acp-24-4569-2024</w:t>
      </w:r>
    </w:p>
    <w:p>
      <w:pPr/>
      <w:r>
        <w:rPr>
          <w:b/>
        </w:rPr>
        <w:t>Shared claim-specific concepts:</w:t>
      </w:r>
      <w:r>
        <w:t xml:space="preserve"> long-term, emission; EU scope visible. This is a provisional connection, not an outcome finding.</w:t>
      </w:r>
    </w:p>
    <w:p>
      <w:pPr>
        <w:pStyle w:val="SourceNote"/>
      </w:pPr>
      <w:r>
        <w:rPr>
          <w:b/>
        </w:rPr>
        <w:t>Available abstract (not full text):</w:t>
      </w:r>
      <w:r>
        <w:t xml:space="preserve"> Abstract. Nitrogen oxides (NOx = NO + NO2) play a critical role in regulating tropospheric chemistry, yet NOx emission estimates are subject to large uncertainties, casting doubt on our ability to accurately model secondary pollutants such as ozone. Bottom-up emissions inventories are subject to a number of uncertainties related to estimates of emission activities, scaling factors, and fuel sources. Here, we provide an additional constraint on NOx emissions and trends using nitrate wet deposition (NWD) fluxes from the United States National Atmospheric Deposition Program (NADP) and the European Monitoring and Evaluation Programme (EMEP). We use these NWD measurements to evaluate anthropogenic and total NOx trends and magnitudes in the global Community Emissions Data System (CEDS) emissions inventory and the GEOS-Chem chemical transport model from 1980–2020. Over both the United States and Europe, observed NWD trends track well with anthropogenic NOx emissions from the CEDS inventory until 2010, after which NWD trends level out in contrast to continued decreases in CEDS. After 2010, NWD trends are able to reproduce total NOx emissions trends when the influences of both anthropogenic and background sources are considered. Observed NWD fluxes are also able to capture NOx emissions decreases over the 2020 COVID-19 lockdown period and are consistent with satellite and surface measur</w:t>
      </w:r>
    </w:p>
    <w:p>
      <w:pPr/>
      <w:r>
        <w:rPr>
          <w:b/>
        </w:rPr>
        <w:t>POSSIBLE 2023:</w:t>
      </w:r>
      <w:r>
        <w:t xml:space="preserve"> Towards risk-targeted seismic hazard models for Europe — https://doi.org/10.1038/s41598-023-36947-y</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Standards and Codes of Practice for designing new constructions and for assessing and strengthening existing ones are usually based on uniform hazard maps, where different Limit States (LSs) are associated with different hazard-exceedance probabilities. This approach yields non-homogeneous LS-exceedance probabilities across a territory, thus failing to achieve the goal of uniform risk throughout a territory. Such lack of uniformity stems from estimating the probability of failure using capacity and demand models. If the capacity of new constructions-or the capacity increase of strengthened existing constructions-are designed based on a prescribed hazard-exceedance probability, then the seismic risk depends on both the structure (depending on the design philosophy and corresponding design objectives), through the capacity model, and the location, through the hazard model. The aim of this study is threefold. First, it provides a seismic probability assessment formulation and a risk-targeted intensity measure based on a linear model in log-log coordinates of the hazard, under the assumption of log-normal capacity and demand. The proposed framework introduces a factor that multiplies the code hazard-based demand to account either for intentional (from design) over-capacity or for undesired (e.g., in existing constructions) under-capacity. Second, this paper shows an application to </w:t>
      </w:r>
    </w:p>
    <w:p>
      <w:pPr>
        <w:pStyle w:val="Heading2"/>
      </w:pPr>
      <w:r>
        <w:t>987.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988.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2026:</w:t>
      </w:r>
      <w:r>
        <w:t xml:space="preserve"> Severe Convective Storms in a Changing Climate: Uncertainties in risk views across North America and Europe — https://doi.org/10.63024/dkee-9w5q</w:t>
      </w:r>
    </w:p>
    <w:p>
      <w:pPr/>
      <w:r>
        <w:rPr>
          <w:b/>
        </w:rPr>
        <w:t>Shared claim-specific concepts:</w:t>
      </w:r>
      <w:r>
        <w:t xml:space="preserve"> trends, likely, distribution, north; EU scope visible. This is a provisional connection, not an outcome finding.</w:t>
      </w:r>
    </w:p>
    <w:p>
      <w:pPr>
        <w:pStyle w:val="SourceNote"/>
      </w:pPr>
      <w:r>
        <w:rPr>
          <w:b/>
        </w:rPr>
        <w:t>Available abstract (not full text):</w:t>
      </w:r>
      <w:r>
        <w:t xml:space="preserve"> Severe convective storms (SCS) have become a major, recurrent source of insured catastrophe loss, particularly in North America and, increasingly, Europe. Observed loss growth is driven primarily by socio-economic trends, including growth and concentration of insured exposure, changes in vulnerability and loss-cost inflation; a distinct climate-change signal has not yet been robustly isolated in historical insured-loss records. At the same time, anthropogenic warming is altering the physical ingredients that support SCS, including atmospheric moisture, instability, heavy precipitation intensity and, in some regions, environments favourable to organised convection. Robust assessment remains constrained by short and inhomogeneous hazard records, reporting and detection biases, changes in observing systems and claims practices, and limited event-level observations of hail, tornadoes and damaging convective winds. We synthesise current evidence on historical trends and future changes in the principal SCS sub-perils relevant for catastrophe modelling: hail, tornadoes, damaging straight-line winds including derechos, and SCS-related extreme precipitation. In addition to observed hazard and loss records, we evaluate reanalysis-derived environmental proxies and convection-permitting simulations commonly used to infer climate-conditioned SCS risk. Proxy metrics are useful for identifyin</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similar, trends, increased;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Diverging trends in large floods across Europe in a warming climate — https://doi.org/10.1038/s43247-025-02734-y</w:t>
      </w:r>
    </w:p>
    <w:p>
      <w:pPr/>
      <w:r>
        <w:rPr>
          <w:b/>
        </w:rPr>
        <w:t>Shared claim-specific concepts:</w:t>
      </w:r>
      <w:r>
        <w:t xml:space="preserve"> trends, increased, northern, shifts, warmer;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Regional variations and trends in liver transplantation practices across Europe — https://doi.org/10.1016/j.jhepr.2025.101424</w:t>
      </w:r>
    </w:p>
    <w:p>
      <w:pPr/>
      <w:r>
        <w:rPr>
          <w:b/>
        </w:rPr>
        <w:t>Shared claim-specific concepts:</w:t>
      </w:r>
      <w:r>
        <w:t xml:space="preserve"> trends, increased, northern, decreased; EU scope visible. This is a provisional connection, not an outcome finding.</w:t>
      </w:r>
    </w:p>
    <w:p>
      <w:pPr>
        <w:pStyle w:val="SourceNote"/>
      </w:pPr>
      <w:r>
        <w:rPr>
          <w:b/>
        </w:rPr>
        <w:t>Available abstract (not full text):</w:t>
      </w:r>
      <w:r>
        <w:t xml:space="preserve"> Background &amp; Aims Liver transplantation (LT) is a live-saving therapy for patients with end-stage liver disease, but demand exceeds supply, leading to waiting list (WL) mortality. This study reviews LT practices and trends in Europe to identify potential policies for improving outcomes. Methods Data were extracted from the European Liver Transplant Registry and the Global Observatory on Donation and Transplantation. Countries were categorized into Eastern (EEC), Mediterranean (MEC), and Northern European (NEC). We analyzed LT indications, recipient and donor age, transplant type, and WL outcomes from 2012 to 2022. Results Etiology of LT differed across regions: HBV cirrhosis predominated in EEC (37.3%), whereas alcohol-related liver disease was more frequent in NEC (41.8%) and MEC (49.1%). Metabolic-dysfunction associated steatotic liver disease increased across Europe, particularly in NEC. Recipient age has risen, with 40% aged ≥60 years in MEC vs. 20% in EEC. Donor age and type also varied: EEC relies on younger donors (&lt;50 years, 70%), whereas MEC expanded criteria to include donors ≥60 years (50%). Donation after circulatory determination of death increased by 30%, particularly in NEC and MEC, but remains rare in EEC. Model for end-stage liver disease scores at LT decreased, with 30% scoring &gt;21 in 2021 vs. 50% in 2012. WL mortality declined by 10% since 2015, although larg</w:t>
      </w:r>
    </w:p>
    <w:p>
      <w:pPr/>
      <w:r>
        <w:rPr>
          <w:b/>
        </w:rPr>
        <w:t>POSSIBLE 2025:</w:t>
      </w:r>
      <w:r>
        <w:t xml:space="preserve"> Spatiotemporal analysis of the FWI over Europe and North Africa: Historical trends and climate projections under RCP4.5 and RCP8.5 — https://doi.org/10.1016/j.gsf.2025.102178</w:t>
      </w:r>
    </w:p>
    <w:p>
      <w:pPr/>
      <w:r>
        <w:rPr>
          <w:b/>
        </w:rPr>
        <w:t>Shared claim-specific concepts:</w:t>
      </w:r>
      <w:r>
        <w:t xml:space="preserve"> trends, over, northern, southern, shifts, conditions; EU scope visible. This is a provisional connection, not an outcome finding.</w:t>
      </w:r>
    </w:p>
    <w:p>
      <w:pPr>
        <w:pStyle w:val="SourceNote"/>
      </w:pPr>
      <w:r>
        <w:rPr>
          <w:b/>
        </w:rPr>
        <w:t>Available abstract (not full text):</w:t>
      </w:r>
      <w:r>
        <w:t xml:space="preserve"> • FWI trends analyzed over Europe &amp; N. Africa from 1979 to 2098. • Extreme fire danger increases under both RCP4.5 and RCP8.5 scenarios. • Strong agreement (r &gt; 0.8) between reanalysis and GCMs in fire-prone areas. • Southern regions show significant increasing trends in FWI. Wildfires represent an escalating environmental threat across Europe and North Africa, increasingly exacerbated by climate-driven shifts in temperature, precipitation, and drought patterns. However, there is still limited large-scale, methodologically consistent research that simultaneously assesses historical patterns and future projections of fire danger across these regions, particularly in terms of both frequency and duration of risk under different climate scenarios. This study addresses this gap by providing a high-resolution, spatiotemporal assessment of fire weather conditions, with the aim of offering critical insights to support climate-adaptive fire management strategies, extended preparedness frameworks, and the integration of future fire weather projections into land-use and risk governance policies. To achieve this, we investigate historical (1979–2021) and projected (2000–2098) trends in fire danger using the Canadian Fire Weather Index (FWI), based on ERA5 reanalysis data and outputs from five Global Climate Models (GCMs) under RCP4.5 and RCP8.5 scenarios. Over 50,000 land grid cells were a</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pStyle w:val="Heading2"/>
      </w:pPr>
      <w:r>
        <w:t>989.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2021:</w:t>
      </w:r>
      <w:r>
        <w:t xml:space="preserve"> A Comparison of Land Use Classifications in Urbanized Areas in Selected European Countries — https://doi.org/10.7494/geom.2021.15.2.59</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real estate cadastre is the primary source of information on land use. It records information related to the division of land into types based on the actual way of land use or development. The distinguished types of land use depend on many geographical factors, as well as historical and economic conditions. The study presents a comparison of the detail of land use classification registered in the real estate cadastre in areas functionally related to the urban areas of 9 European countries: Austria, Bulgaria, the Czech Republic, Estonia, Spain, Lithuania, Luxembourg, Germany and Poland. The research concerned the determination of the degree to which the classification of land use in urbanized areas is detailed, whether the studied European countries are characterized by the same number of distinguished classes of objects at different levels of detail, and what percentage are the distinguished classes of land use objects in urbanized areas in relation to all of the distinguished classes of objects land use at different levels of detail of classification. The study used legal acts regulating land use issues which have been made available in national languages by government institutions.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990.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2026:</w:t>
      </w:r>
      <w:r>
        <w:t xml:space="preserve"> Design and Performance Research of a Spindle-Integrated Rotational Piezoelectric Testing System for Upset Force Measurement During Welding Processes — https://doi.org/10.1109/jsen.2026.3671729</w:t>
      </w:r>
    </w:p>
    <w:p>
      <w:pPr/>
      <w:r>
        <w:rPr>
          <w:b/>
        </w:rPr>
        <w:t>Shared claim-specific concepts:</w:t>
      </w:r>
      <w:r>
        <w:t xml:space="preserve"> during, first, simulation; EU scope not established. This is a provisional connection, not an outcome finding.</w:t>
      </w:r>
    </w:p>
    <w:p>
      <w:pPr>
        <w:pStyle w:val="SourceNote"/>
      </w:pPr>
      <w:r>
        <w:rPr>
          <w:b/>
        </w:rPr>
        <w:t>Available abstract (not full text):</w:t>
      </w:r>
      <w:r>
        <w:t xml:space="preserve"> Accurate monitoring of high-frequency upset force during friction stir welding (FSW) is a critical step for optimizing welding process parameters and ensuring joint quality. However, traditional platform-type force gauges cannot measure the upset force in the bobbin tool friction stir welding (BT-FSW) process, which poses a technical challenge. To resolve this issue, a high-frequency spindle-integrated rotational piezoelectric testing system (SIR-PTS) mounted on the equipment spindle was designed. This system uses piezoelectric sensors as measuring elements and comprises a force gauge, a built-in signal conditioning circuit, and monitoring software. First, a theoretical mechanical model under rotational conditions was established to determine the dimensional parameters of the piezoelectric quartz wafers. Subsequently, ANSYS finite element simulation was utilized to analyze the static structural characteristics and dynamic response of the testing system. Meanwhile, a modular hardware circuit integrating charge conversion, filtering, and wireless transmission functions was developed. A series of verification experiments were conducted to evaluate the system performance. The experimental results demonstrate that the system exhibits a static linearity error of 0.64% and a repeatability error of 0.34%. Its main-direction natural frequency is 2082.52 Hz, which meets the requirements </w:t>
      </w:r>
    </w:p>
    <w:p>
      <w:pPr/>
      <w:r>
        <w:rPr>
          <w:b/>
        </w:rPr>
        <w:t>POSSIBLE 2026:</w:t>
      </w:r>
      <w:r>
        <w:t xml:space="preserve"> Development of an integrated computational-experimental framework for predicting grinding force and safety in ultrasonic bone scalpels operations — https://doi.org/10.1038/s41598-026-39710-1</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This study aims to develop a high-precision predictive model for grinding forces generated by ultrasonic bone scalpels during spinal surgery, to enhance safety by establishing quantitative operational boundaries. Existing predictive models often rely on simplified 2D simulations or theoretical decompositions, which may limit accuracy in capturing the complex three-dimensional kinematics and tool–bone interactions. To address this, an integrated framework combining three-dimensional explicit dynamic finite element analysis (FEA) with a Box-Behnken experimental design and response surface methodology was developed. The FEA model realistically simulates tool–bone interaction, while the RSM systematically investigates the coupling effects of bone density (480–800–1640 kg/m 3 ), ultrasonic amplitude (60–100 μm), and feed rate (1–4 mm/s). A second-order polynomial model was derived, revealing that the grinding force increased with bone density (coefficient: + 3.10) and feed rate (coefficient: + 2.55), but decreased with ultrasonic amplitude (coefficient: − 2.52). Rigorous validation via analysis of variance residual diagnostics, and robotic-assisted physical experiments confirmed a maximum prediction error of 7.10%, demonstrating higher accuracy than existing models. Based on a 20 N safety threshold, clinically actionable safety boundaries were visualized as heatmaps, offering clear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2025:</w:t>
      </w:r>
      <w:r>
        <w:t xml:space="preserve"> New Insolation Forcing for Paleoclimate Models — https://doi.org/10.5194/egusphere-egu25-14317</w:t>
      </w:r>
    </w:p>
    <w:p>
      <w:pPr/>
      <w:r>
        <w:rPr>
          <w:b/>
        </w:rPr>
        <w:t>Shared claim-specific concepts:</w:t>
      </w:r>
      <w:r>
        <w:t xml:space="preserve"> during, period, climate, show; EU scope not established. This is a provisional connection, not an outcome finding.</w:t>
      </w:r>
    </w:p>
    <w:p>
      <w:pPr>
        <w:pStyle w:val="SourceNote"/>
      </w:pPr>
      <w:r>
        <w:rPr>
          <w:b/>
        </w:rPr>
        <w:t>Available abstract (not full text):</w:t>
      </w:r>
      <w:r>
        <w:t xml:space="preserve"> In paleoclimate simulations, the insolation forcing at the top of the atmosphere needs to be altered to reflect Earth's orbital history during the time interval of interest. General Circulation Models (GCMs) often rely on either a modern orbital configuration to allow for direct comparison to modern and near-future climate simulations—sometimes with snapshot sensitivity experiments (DeepMIP, PlioMIP, etc.)—or they use the Berger (1978) (Ber78) routines to compute the orbital parameters. For snapshot simulations targeting older time periods such as the Eocene, using the modern orbital configuration is inappropriate, because the obliquity amplitude, for example, was much smaller than in the recent past. Our astronomical solutions ZB18a and ZB20a have been shown to produce the best match with geologic data to 58 Ma and 71 Ma, respectively (Zeebe &amp; Lourens 2019, Kocken &amp; Zeebe 2024). The eccentricity of the Ber78 solution diverges from these astronomical solutions already at ~33 ka, shows a different amplitude throughout, and drifts out of phase at ~1.6 Ma. It has been noted in the literature as well as code that the Ber78 routines are not appropriate for an analysis of time periods older than ~1 Myr. However, even recent transient simulations of the past 3 Myr sometimes fall back to using these outdated routines for the full time period. This is likely because of their ease of use</w:t>
      </w:r>
    </w:p>
    <w:p>
      <w:pPr/>
      <w:r>
        <w:rPr>
          <w:b/>
        </w:rPr>
        <w:t>POSSIBLE 2025:</w:t>
      </w:r>
      <w:r>
        <w:t xml:space="preserve"> Guidelines for producing integrated 210Pb and 14C age-models — https://doi.org/10.1016/j.earscirev.2025.105301</w:t>
      </w:r>
    </w:p>
    <w:p>
      <w:pPr/>
      <w:r>
        <w:rPr>
          <w:b/>
        </w:rPr>
        <w:t>Shared claim-specific concepts:</w:t>
      </w:r>
      <w:r>
        <w:t xml:space="preserve"> integrated, forcings, during, climate, special; EU scope not established. This is a provisional connection, not an outcome finding.</w:t>
      </w:r>
    </w:p>
    <w:p>
      <w:pPr>
        <w:pStyle w:val="SourceNote"/>
      </w:pPr>
      <w:r>
        <w:rPr>
          <w:b/>
        </w:rPr>
        <w:t>Available abstract (not full text):</w:t>
      </w:r>
      <w:r>
        <w:t xml:space="preserve"> Accurate reconstructions of past environmental changes are crucial in paleoecological research and require reliable chronologies of sedimentary archives. Establishing robust age-models and obtaining the most appropriate proxies for analysis is a complex scientific endeavor, requiring extensive resources and collaboration among specialists, including radiochronologists. Radiometric dating methods, such as 210 Pb and radiocarbon ( 14 C), are frequently employed to establish chronologies in aquatic sedimentary deposits and peat bogs. In this study, we review key aspects of sampling, analysis, and the principles underlying 210 Pb and 14 C age-models, focusing on methods for developing robust joint chronologies for paleoenvironmental research. Drawing largely from the authors' experiences and group discussions during and after a scientific workshop in 2022, we discuss important considerations for site selection, sampling strategies, and radiometric dating to construct integrated 210 Pb − 14 C age-models. Using expert consensus, this group – called Paleostats – aims to provide a set of best practices for other geochronologists with this methods paper. Among our conclusions, we emphasize the importance of accounting for site-specific factors such as prior information on sedimentation rates to establish appropriate sampling and analytical strategies. The use of appropriate coring devic</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pStyle w:val="Heading2"/>
      </w:pPr>
      <w:r>
        <w:t>991.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2026:</w:t>
      </w:r>
      <w:r>
        <w:t xml:space="preserve"> The Revolution Inside Wells’s War — https://doi.org/10.1093/9780191993800.003.0015</w:t>
      </w:r>
    </w:p>
    <w:p>
      <w:pPr/>
      <w:r>
        <w:rPr>
          <w:b/>
        </w:rPr>
        <w:t>Shared claim-specific concepts:</w:t>
      </w:r>
      <w:r>
        <w:t xml:space="preserve"> radically, different, understandings, but, also; EU scope not established. This is a provisional connection, not an outcome finding.</w:t>
      </w:r>
    </w:p>
    <w:p>
      <w:pPr>
        <w:pStyle w:val="SourceNote"/>
      </w:pPr>
      <w:r>
        <w:rPr>
          <w:b/>
        </w:rPr>
        <w:t>Available abstract (not full text):</w:t>
      </w:r>
      <w:r>
        <w:t xml:space="preserve"> Abstract This chapter examines three of the major texts Wells produced around the time of the First World War—The World Set Free, The War That Will End War, and Mr. Britling Sees It Through—and discovers fresh understandings of what the war meant for Wells. Using the critical idea of the historical novel sequence, this chapter joins writings ostensibly and even radically different—a fantastical futurist vision, a polemical set of editorials, and an historical novel on the war already underway—and connects them under an idea graspable in fragments in each but as a totality in the threesome. This is the idea of a revolution that the war originally configured and, in longer course for many authors, already in shorter course for Wells, also radically disappointed. Wells reveals his singularity in this regard.</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2025:</w:t>
      </w:r>
      <w:r>
        <w:t xml:space="preserve"> The roots of reactionary tech oligarchy and the need for radical democratic alternatives — https://doi.org/10.1093/ccc/tcaf011</w:t>
      </w:r>
    </w:p>
    <w:p>
      <w:pPr/>
      <w:r>
        <w:rPr>
          <w:b/>
        </w:rPr>
        <w:t>Shared claim-specific concepts:</w:t>
      </w:r>
      <w:r>
        <w:t xml:space="preserve"> not, only, but, also, political; EU scope not established. This is a provisional connection, not an outcome finding.</w:t>
      </w:r>
    </w:p>
    <w:p>
      <w:pPr>
        <w:pStyle w:val="SourceNote"/>
      </w:pPr>
      <w:r>
        <w:rPr>
          <w:b/>
        </w:rPr>
        <w:t>Available abstract (not full text):</w:t>
      </w:r>
      <w:r>
        <w:t xml:space="preserve"> Abstract The aim for this commentary is two-fold: first, we seek to outline how decades of liberal “post-democratic” hegemony—prevalent across liberal democratic parliaments, journalism, and academia—have enabled the rise of reactionary tech oligarchy. Second, we call for cross-disciplinary and cross-societal alliances that not only reject depoliticized euphemisms such as “polarization,” “populism,” and “post-truth,” but also actively commit to building radical democratic alternatives to both the failed liberal democratic status quo and its authoritarian outgrowth. Departing from the growing overt involvements of tech billionaires in authoritarian movements—financially, politically, discursively—we build on emergent scholarship to highlight failures in understanding the rise of reactionary tech, through its historical roots, financial and political power, and discursive reach.</w:t>
      </w:r>
    </w:p>
    <w:p>
      <w:pPr/>
      <w:r>
        <w:rPr>
          <w:b/>
        </w:rPr>
        <w:t>POSSIBLE 2024:</w:t>
      </w:r>
      <w:r>
        <w:t xml:space="preserve"> A pluriversal definition of Futures Studies: critical futures studies from margin to centre — https://doi.org/10.4337/9781035301607.00013</w:t>
      </w:r>
    </w:p>
    <w:p>
      <w:pPr/>
      <w:r>
        <w:rPr>
          <w:b/>
        </w:rPr>
        <w:t>Shared claim-specific concepts:</w:t>
      </w:r>
      <w:r>
        <w:t xml:space="preserve"> futurists, different, but, also, ways; EU scope not established. This is a provisional connection, not an outcome finding.</w:t>
      </w:r>
    </w:p>
    <w:p>
      <w:pPr>
        <w:pStyle w:val="SourceNote"/>
      </w:pPr>
      <w:r>
        <w:rPr>
          <w:b/>
        </w:rPr>
        <w:t>Available abstract (not full text):</w:t>
      </w:r>
      <w:r>
        <w:t xml:space="preserve"> Decolonial futures, African futurity, Afrofuturism, and feminist futures are currently framed in futures studies, at best as important ‘critical’ or alternative add-ons, at worst, marginal futures pursued by particular voices. I aspire to demonstrate why these ‘critical’ or ‘radical futures’ approaches should be read as essential in a pluriversal approach to futures studies. If our field is truly interdisciplinary, its centre(s) should reflect the pluriversality of its past, present, and future. By doing so, I claim that the aforementioned approaches, also known as critical futures, are the ones helping futurists today articulate the most fundamental questions for the definition of futures studies. They are therefore everything but peripheral. These key questions are structured around the importance of agency in a broader understanding of futures studies. They articulate imagination, rest, empathy, engaged participation, and the admission of ignorance as central pillars of the work of futurists. First describing the central questions from these four ‘schools of thought’ and their centrality for futures studies, the chapter finds in their misclassification one of the explanations for their erasure and proposes five ways to prevent its perpetuation. A pluriversal definition of futures studies as the documentation, implementation, and assessment of the instrumentalisation of the f</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2023:</w:t>
      </w:r>
      <w:r>
        <w:t xml:space="preserve"> Moderate and Radical Transhumanism — https://doi.org/10.18384/2949-5148-2023-3-112-121</w:t>
      </w:r>
    </w:p>
    <w:p>
      <w:pPr/>
      <w:r>
        <w:rPr>
          <w:b/>
        </w:rPr>
        <w:t>Shared claim-specific concepts:</w:t>
      </w:r>
      <w:r>
        <w:t xml:space="preserve"> different, not, only, but, used; EU scope not established. This is a provisional connection, not an outcome finding.</w:t>
      </w:r>
    </w:p>
    <w:p>
      <w:pPr>
        <w:pStyle w:val="SourceNote"/>
      </w:pPr>
      <w:r>
        <w:rPr>
          <w:b/>
        </w:rPr>
        <w:t>Available abstract (not full text):</w:t>
      </w:r>
      <w:r>
        <w:t xml:space="preserve"> Aim. To present the authors’ solution to the problem of establishing the probable result of transhumanist transformations of a person. Methodology. The article provides a philosophical analysis of various concepts of transhumanism. Comparison methods are used, as well as abstraction, induction and deduction, analysis and synthesis and mental modeling. Results. Among the numerous concepts of transhumanism, the authors identified two groups: a group of moderate transhumanist teachings and a group of the radical ones. Moderate transhumanists believe that the result of the modification of human nature will be a neo-human who will preserve and develop the human essence while modifying its material carrier. According to radical transhumanists, the result of the application of NBICS-convergent technologies will be a hypothetical posthuman with the essence different from an unmodified human. The posthuman will share the worldview of radical transhumanism, which is fundamentally different from humanism. The authors show that only radical transhumanism is incompatible with humanism. This circumstance is not considered by bioconservatives who do not recognize the need for transformations in human nature. Hypothetical variants of the creature of the future are considered: a genetically modified and technically improved individual, a nanocyborgized individual and a virtual digital (incorpor</w:t>
      </w:r>
    </w:p>
    <w:p>
      <w:pPr>
        <w:pStyle w:val="Heading2"/>
      </w:pPr>
      <w:r>
        <w:t>992.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2022:</w:t>
      </w:r>
      <w:r>
        <w:t xml:space="preserve"> Emergence of current European thinking and policies on doctoral education — https://doi.org/10.1111/ejed.12515</w:t>
      </w:r>
    </w:p>
    <w:p>
      <w:pPr/>
      <w:r>
        <w:rPr>
          <w:b/>
        </w:rPr>
        <w:t>Shared claim-specific concepts:</w:t>
      </w:r>
      <w:r>
        <w:t xml:space="preserve"> different, current, system, presented; EU scope visible. This is a provisional connection, not an outcome finding.</w:t>
      </w:r>
    </w:p>
    <w:p>
      <w:pPr>
        <w:pStyle w:val="SourceNote"/>
      </w:pPr>
      <w:r>
        <w:rPr>
          <w:b/>
        </w:rPr>
        <w:t>Available abstract (not full text):</w:t>
      </w:r>
      <w:r>
        <w:t xml:space="preserve"> Abstract In today's age of knowledge and technology, societies are changing fast, on both macro and micro levels. Hardly anyone could have predicted several years ago such an acceleration of change and its impact on society, and in particular, on higher education. In Europe as well as globally, higher education has been undergoing many changes for more than two decades. In many countries, the number of higher education institutions has increased, mass education has replaced more elite systems, universities have adopted different agenda, and research has become more competitive. In this new context, doctoral education has also needed to be redefined in order to better respond to societal and academic challenges. Doctoral education—a crucial segment of higher education and the main link between the European Higher Education Area and the European Research Area—has been receiving continuous attention for more than 15 years. This paper provides an overall view on changes in doctoral education in Europe, the background of this change process, and the context that led to these major changes. The main analysis will be presented from a European academic context perspective, but it will also reflect a global perspective. It will provide an analysis of all the milestones and consider the relevant policies and recommendations on the supranational level and their reflection on the national </w:t>
      </w:r>
    </w:p>
    <w:p>
      <w:pPr>
        <w:pStyle w:val="Heading2"/>
      </w:pPr>
      <w:r>
        <w:t>993.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2024:</w:t>
      </w:r>
      <w:r>
        <w:t xml:space="preserve"> Warm regards: Influence of thermal haptic feedback during social interactions in VR — https://doi.org/10.1109/ismar62088.2024.00138</w:t>
      </w:r>
    </w:p>
    <w:p>
      <w:pPr/>
      <w:r>
        <w:rPr>
          <w:b/>
        </w:rPr>
        <w:t>Shared claim-specific concepts:</w:t>
      </w:r>
      <w:r>
        <w:t xml:space="preserve"> regards, second, potential; EU scope not established. This is a provisional connection, not an outcome finding.</w:t>
      </w:r>
    </w:p>
    <w:p>
      <w:pPr>
        <w:pStyle w:val="SourceNote"/>
      </w:pPr>
      <w:r>
        <w:rPr>
          <w:b/>
        </w:rPr>
        <w:t>Available abstract (not full text):</w:t>
      </w:r>
      <w:r>
        <w:t xml:space="preserve"> In this paper, we study how thermal haptic feedback can influence social interactions in virtual environments, with an emphasis on persuasion, focus, co-presence, and friendliness. Physical and social warmth have been repeatedly linked in psychological literature, which allows for speculations on the effect of thermal haptics on virtual social interactions. To that effect, we conducted a study on thermal feedback during simulated social interactions with a virtual agent. We tested three conditions: warm, cool, and neutral. Results showed that warm feedback positively influenced users’ perception of the agent and significantly enhanced persuasion and thermal comfort. Multiple users reported the agent feeling less ‘robotic’ and more ‘human’ during the warm condition. Moreover, multiple studies have previously shown the potential of vibrotactile feedback for social interactions. A second study thus evaluated the combination of warmth and vibrations for social interactions. The study included the same protocol and three similar conditions: warmth, vibrations, and warm vibrations. Warmth was perceived as more friendly, while warm vibrations heightened the agent’s virtual presence and persuasion. These results encourage the study of thermal haptics to support positive social interactions. Moreover, they suggest that some haptic feedback are more suited to certain types of social inte</w:t>
      </w:r>
    </w:p>
    <w:p>
      <w:pPr>
        <w:pStyle w:val="Heading2"/>
      </w:pPr>
      <w:r>
        <w:t>994.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2024:</w:t>
      </w:r>
      <w:r>
        <w:t xml:space="preserve"> Cladodes of Opuntia ficus-indica (L.) Mill. Possess Important Beneficial Properties Dependent on Their Different Stages of Maturity — https://doi.org/10.3390/plants13101365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Opuntia ficus-indica (L.) Mill. belongs to the Cactaceae family and the genus Opuntia; it is a succulent plant that adapts to extreme climatic conditions. The aerial part of the plant consists of the cladodes, morphological changes of branches that appear green, are covered with thorns, and are essential to reduce excessive perspiration of water. The composition of cladodes is very varied, and the main constituents are water, fibers, polysaccharides, proteins, fatty acids, vitamins, sterols, minerals, and polyphenols. Polyphenols are responsible for many beneficial activities for human health, such as antioxidant, anti-inflammatory, antitumor, and nutritional properties. The purpose of this manuscript was to compare the properties of cladodes belonging to the same plant but with different stages of maturity. Relative extracts were tested both in vitro and on a cell line and antioxidant and anti-apoptotic properties were found. The antioxidant activity was tested by the ORAC test, the DPPH test, and the measurement of cellular accumulation of ROS. Anti-apoptotic activity was evaluated by the annexin/PI assay and measurement of caspases 9 and 3 expression. The results obtained have shown that the extracts considered possess antioxidant and anti-apoptotic properties. However, the different stages of maturity of cladodes are essential for the performance of both functions. In addit</w:t>
      </w:r>
    </w:p>
    <w:p>
      <w:pPr/>
      <w:r>
        <w:rPr>
          <w:b/>
        </w:rPr>
        <w:t>POSSIBLE 2024:</w:t>
      </w:r>
      <w:r>
        <w:t xml:space="preserve"> Different drying methods alter the quality parameters of ethnobotanically important Curcuma caesia Roxb. rhizomes — https://doi.org/10.14719/pst.3635</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Curcuma caesia Roxb. of the Zingiberaceae family, is an ethnobotanically important rhizomatous perennial herb and is commonly known as “Black turmeric”. Like in other species of Curcuma, the pharmacologically important polyphenol curcumin is also found in C. caesia. In traditional medicine, C. caesia has been used to treat piles, leprosy, asthma, cancer, diabetes, fertility, toothache, vomiting, allergies, etc. Drying is considered the simplest and most cost-effective means of preserving raw plant materials, safeguarding the integrity of nearly all biologically active substances. Medicinal plant materials are primarily utilized in their dried forms in pharmaceutical industries. However, it has been observed that there is a lack of comprehensive information on the effects of different drying methods on quality parameters, and other pharmaceutically important aspects of C. caesia. Hence, here, we investigated the impact of various drying methods, such as direct sunlight exposure, solar drying, shade drying, and conventional oven drying with or without previous boiling, on the quality parameters of C. caesia rhizome, such as moisture, ash, and curcumin content. The results suggest that oven drying at 100 ?C, despite possessing favorable criteria for drug designing like the smallest particle sizes and the lowest moisture content, did not restore the maximum level of ash, curcumin, </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r>
        <w:rPr>
          <w:b/>
        </w:rPr>
        <w:t>POSSIBLE 2023:</w:t>
      </w:r>
      <w:r>
        <w:t xml:space="preserve"> Cycle Tests on the Influence of Different Charging Currents—A Case Study on Different Commercial, Cylindrical Lithium Ion Cells — https://doi.org/10.3390/batteries9020083</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On the way to a Precise Battery, the generation of measurement results and findings based on them play an important role. Although cycle life tests are time-consuming and expensive, they can provide support and important information. Especially in the current topic of accelerating the charging process, it is important to know how different charging currents affect different cell types. The CC CV charging method is still the most common, widely used method. Therefore, long-term cycle tests are carried out in this work in order to clarify the influence of different charging currents, as recommended by the cell manufacturers. Common high-energy and high-power cylindrical lithium ion cells are investigated and compared. In addition to the influence of the charging protocol on the aging, charging time and heating, the effects on the dispersion of the cells as well as the effects on the constant current and the constant voltage part of the charging process are considered. From the results it can be seen how different the investigated cells behave in response to increased charging currents. Even supposedly similar cells show significant differences in aging behavior.</w:t>
      </w:r>
    </w:p>
    <w:p>
      <w:pPr>
        <w:pStyle w:val="Heading2"/>
      </w:pPr>
      <w:r>
        <w:t>995.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2026:</w:t>
      </w:r>
      <w:r>
        <w:t xml:space="preserve"> EUROPE'S DILEMMA: CONTINUE THE PROXY WAR IN UKRAINE OR START EU REFORM — https://doi.org/10.5281/zenodo.18899368</w:t>
      </w:r>
    </w:p>
    <w:p>
      <w:pPr/>
      <w:r>
        <w:rPr>
          <w:b/>
        </w:rPr>
        <w:t>Shared claim-specific concepts:</w:t>
      </w:r>
      <w:r>
        <w:t xml:space="preserve"> reforms, article, possible; EU scope visible. This is a provisional connection, not an outcome finding.</w:t>
      </w:r>
    </w:p>
    <w:p>
      <w:pPr>
        <w:pStyle w:val="SourceNote"/>
      </w:pPr>
      <w:r>
        <w:rPr>
          <w:b/>
        </w:rPr>
        <w:t>Available abstract (not full text):</w:t>
      </w:r>
      <w:r>
        <w:t xml:space="preserve"> Abstract: This research article aims to present the European Union's declining position in the world economy and geopolitics and to examine its development options in light of the new American national security strategy and the Russo-Ukrainian war. As for the latter, the author, after presenting the changes in the geopolitical situation, examines the development of the Russo-Ukrainian war, presenting little-known justifications for it, and widely unknown facts about characteristics of the special military operation (SMO), the reasons for its initial failure, its transformation (into a war of attrition and proxy warfare), the results achieved, and possible escalation. Then, he analyzes one of the most important elements of the peace treaty under preparation - security guarantees - with special attention to the planned deployment of European deterrent forces in Ukraine, presenting arguments that this deployment does not serve to establish peace. The author concludes that the decline of the United States' role in Europe should convince the EU that if it wants to remain an influential player in the world, it must urgently introduce reforms to increase organizational and operational efficiency and competitiveness and to build a European military force without US participation. The resources needed for this can be secured, in significant part, by promoting the closure of the Russo-Uk</w:t>
      </w:r>
    </w:p>
    <w:p>
      <w:pPr/>
      <w:r>
        <w:rPr>
          <w:b/>
        </w:rPr>
        <w:t>POSSIBLE 2026:</w:t>
      </w:r>
      <w:r>
        <w:t xml:space="preserve"> 25. The Reformed Mode of Spelling — https://doi.org/10.11647/obp.0537.25</w:t>
      </w:r>
    </w:p>
    <w:p>
      <w:pPr/>
      <w:r>
        <w:rPr>
          <w:b/>
        </w:rPr>
        <w:t>Shared claim-specific concepts:</w:t>
      </w:r>
      <w:r>
        <w:t xml:space="preserve"> article, three; EU scope not established. This is a provisional connection, not an outcome finding.</w:t>
      </w:r>
    </w:p>
    <w:p>
      <w:pPr>
        <w:pStyle w:val="SourceNote"/>
      </w:pPr>
      <w:r>
        <w:rPr>
          <w:b/>
        </w:rPr>
        <w:t>Available abstract (not full text):</w:t>
      </w:r>
      <w:r>
        <w:t xml:space="preserve"> The objective of Chapter 25 is to provide contextualization for Franklin’s Reformed Mode of Spelling. The chapter is divided into three main sections. The first section provides background on Franklin’s editor, friend, and fellow Whig, Benjamin Vaughan (1751–1835), as well as his motivations for compiling and publishing Franklin’s writings under the title Political, Miscellaneous, and Philosophical Pieces written by Benjamin Franklin. The RMS composes the final chapter of this volume.While Franklin’s many other accomplishments far outweigh his contributions to orthography, both he and Vaughan evidently regarded the RMS as sufficiently important to include in the publication, and this despite the fact that it never went beyond a draft proposal. The second section reviews all previous linguistic studies dedicated to Franklin’s RMS. These extend from the eighteenth century to 2025. That being said, Charles Wise’s 1948 article was the single most significant contribution of the 20th century. Here, I outline the input these scholars have made to our understanding of Franklin’s alphabet and the phonological system it reflects. However, virtually all prior scholars have assumed that Franklin’s RMS reflected his native colonial accent. From this assumption, many concluded that Franklin’s English—and, by extension, colonial American English—was close to educated 18th century London Engl</w:t>
      </w:r>
    </w:p>
    <w:p>
      <w:pPr/>
      <w:r>
        <w:rPr>
          <w:b/>
        </w:rPr>
        <w:t>POSSIBLE 2023:</w:t>
      </w:r>
      <w:r>
        <w:t xml:space="preserve"> Which managerial reforms facilitate public sector innovation? — https://doi.org/10.1111/padm.12951</w:t>
      </w:r>
    </w:p>
    <w:p>
      <w:pPr/>
      <w:r>
        <w:rPr>
          <w:b/>
        </w:rPr>
        <w:t>Shared claim-specific concepts:</w:t>
      </w:r>
      <w:r>
        <w:t xml:space="preserve"> reforms, governance; EU scope visible. This is a provisional connection, not an outcome finding.</w:t>
      </w:r>
    </w:p>
    <w:p>
      <w:pPr>
        <w:pStyle w:val="SourceNote"/>
      </w:pPr>
      <w:r>
        <w:rPr>
          <w:b/>
        </w:rPr>
        <w:t>Available abstract (not full text):</w:t>
      </w:r>
      <w:r>
        <w:t xml:space="preserve"> Abstract A key question of public sector innovation (PSI) scholarship is: which factors influence innovation? This paper focuses on managerial practices as drivers of PSI and addresses two research questions. First, how have the main types of managerial reforms—pertaining to marketization, results‐orientation, and collaboration—influenced PSI? Second, how have different features of public sector reform strategies influenced PSI? Using survey data from 19 European countries, we show that reforms focusing on collaboration and results‐orientation facilitate PSI, while marketization‐type reforms have no significant impact. Our study indicates that reforms initiated by public administration (rather than politicians) are more conducive to PSI. We also show that reforms that are crisis‐driven and reforms oriented toward cost cutting have negative impacts on PSI. Overall, our findings demonstrate that New Public Governance‐type reforms exert more positive influence on PSI than NPM‐type reforms.</w:t>
      </w:r>
    </w:p>
    <w:p>
      <w:pPr/>
      <w:r>
        <w:rPr>
          <w:b/>
        </w:rPr>
        <w:t>POSSIBLE 2022:</w:t>
      </w:r>
      <w:r>
        <w:t xml:space="preserve"> The Partisan Politics of Family and Labor Market Policy Reforms in Southern Europe — https://doi.org/10.1093/oso/9780197601457.003.0004</w:t>
      </w:r>
    </w:p>
    <w:p>
      <w:pPr/>
      <w:r>
        <w:rPr>
          <w:b/>
        </w:rPr>
        <w:t>Shared claim-specific concepts:</w:t>
      </w:r>
      <w:r>
        <w:t xml:space="preserve"> reforms, three, eurozone; EU scope visible. This is a provisional connection, not an outcome finding.</w:t>
      </w:r>
    </w:p>
    <w:p>
      <w:pPr>
        <w:pStyle w:val="SourceNote"/>
      </w:pPr>
      <w:r>
        <w:rPr>
          <w:b/>
        </w:rPr>
        <w:t>Available abstract (not full text):</w:t>
      </w:r>
      <w:r>
        <w:t xml:space="preserve"> Abstract This chapter sheds light on the role of political parties as social investment protagonists, consenters, or antagonists in the reform of labor market and family policies in Greece, Italy, Portugal, and Spain. Drawing on original, hand-coded data of three decades of labor market and family policy reforms in Southern Europe, the findings show divergent social investment trajectories. While Spain and Portugal have started to develop contours of a social investment agenda, little progress has been made in Italy and Greece. Programmatic political competition and government partisanship play a role in accounting for these divergent trajectories. Center-left parties have acted as the primary social investment protagonists in Spain, Portugal, and Italy. However, the Italian center-left remains fragmented and has rarely been in government. In stark contrast, both center-right and center-left parties in Greece have acted as social investment antagonists. Political and economic turmoil in the wake of the Eurozone crisis paints a bleak picture for the further development of social investment in Southern Europe. Once fiscal constraints can eventually be overcome, a core question remains as to what extent an inclusive social investment coalition can be formed in an ever more fragmented political landscape.</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2020:</w:t>
      </w:r>
      <w:r>
        <w:t xml:space="preserve"> Improving Economic Security through European Integration Reforms in Ukraine’s Social Sector — https://doi.org/10.12958/1817-3772-2020-4(62)-180-189</w:t>
      </w:r>
    </w:p>
    <w:p>
      <w:pPr/>
      <w:r>
        <w:rPr>
          <w:b/>
        </w:rPr>
        <w:t>Shared claim-specific concepts:</w:t>
      </w:r>
      <w:r>
        <w:t xml:space="preserve"> reforms, article; EU scope visible. This is a provisional connection, not an outcome finding.</w:t>
      </w:r>
    </w:p>
    <w:p>
      <w:pPr>
        <w:pStyle w:val="SourceNote"/>
      </w:pPr>
      <w:r>
        <w:rPr>
          <w:b/>
        </w:rPr>
        <w:t>Available abstract (not full text):</w:t>
      </w:r>
      <w:r>
        <w:t xml:space="preserve"> According to the Constitution of Ukraine (Article 1), Ukraine is a democratic, social and rule of law state. Developing a highly developed welfare state in Ukraine requires shaping its concept model and mechanisms of its functioning. Active and efficient social policy should become a solid foundation for comprehensive innovative, social development, integration into the European Union, the basis for developing a welfare state with a competitive socially oriented market economy capable of ensuring human development, decent standards and quality of life. This article substantiates the problem of ensuring the economic security of the state and suggests the ways to achieve European standards in the national social sphere. Ukraine has chosen the strategic course of the European integration as a priority of its domestic and foreign policy. This course provides for modernization of all spheres of life at the state and local levels in accordance with the broad context of the development strategy of the EU member states. Modern ideology, which is based on the principles of protection of citizens from major social risks (disability, impoverishment, etc.) and, partially, social paternalism, should be reconsidered in the context of principled of social inclusion. Improvement of existing approaches to social programming should start with a focus on the development and implementation of fund</w:t>
      </w:r>
    </w:p>
    <w:p>
      <w:pPr/>
      <w:r>
        <w:rPr>
          <w:b/>
        </w:rPr>
        <w:t>POSSIBLE 2020:</w:t>
      </w:r>
      <w:r>
        <w:t xml:space="preserve"> Under pressure. Economic constraints, electoral politics and labour market reforms in Southern Europe in the decade of the Great Recession — https://doi.org/10.1111/1475-6765.12414</w:t>
      </w:r>
    </w:p>
    <w:p>
      <w:pPr/>
      <w:r>
        <w:rPr>
          <w:b/>
        </w:rPr>
        <w:t>Shared claim-specific concepts:</w:t>
      </w:r>
      <w:r>
        <w:t xml:space="preserve"> reforms, eurozone; EU scope visible. This is a provisional connection, not an outcome finding.</w:t>
      </w:r>
    </w:p>
    <w:p>
      <w:pPr>
        <w:pStyle w:val="SourceNote"/>
      </w:pPr>
      <w:r>
        <w:rPr>
          <w:b/>
        </w:rPr>
        <w:t>Available abstract (not full text):</w:t>
      </w:r>
      <w:r>
        <w:t xml:space="preserve"> Abstract Even when subject to comparable exogenous constraints during the Eurozone crisis and in its immediate aftermath, governments in Southern Europe have pursued distinct labour market reform agendas. What room for manoeuvre did governments of crisis‐struck peripheral countries really have in shaping their labour market reform strategies, and how can we account for the observed variation? We address these questions by making a twofold contribution to the debate on the political economy of austerity in the Eurozone periphery. First, through the first systematic analysis of all labour market and collective bargaining (CB) reforms implemented in Portugal, Spain, Italy and Greece over 2009–2019, we identify those elements of core labour market deregulation common across Southern European countries (namely, the loosening of employment protection for workers on open‐ended contracts and the decentralisation of CB to the firm level); and those elements of variation, both cross‐country and cross‐party, in the content of corollary labour market interventions that accompanied this core deregulation. Second, we explain these similarities and variations in reform outcomes as the product of the interaction of two factors: economic constraints and electoral dynamics. We argue that the implementation of the common core of deregulation is linked to the exogenous pressure to improve export c</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pStyle w:val="Heading2"/>
      </w:pPr>
      <w:r>
        <w:t>996.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2026:</w:t>
      </w:r>
      <w:r>
        <w:t xml:space="preserve"> Fifty years of research have deepened uncertainties in global irrigation water withdrawals — https://doi.org/10.1038/s44221-026-00710-0</w:t>
      </w:r>
    </w:p>
    <w:p>
      <w:pPr/>
      <w:r>
        <w:rPr>
          <w:b/>
        </w:rPr>
        <w:t>Shared claim-specific concepts:</w:t>
      </w:r>
      <w:r>
        <w:t xml:space="preserve"> water, withdrawals, increase, between, indicate; EU scope not established. This is a provisional connection, not an outcome finding.</w:t>
      </w:r>
    </w:p>
    <w:p>
      <w:pPr>
        <w:pStyle w:val="SourceNote"/>
      </w:pPr>
      <w:r>
        <w:rPr>
          <w:b/>
        </w:rPr>
        <w:t>Available abstract (not full text):</w:t>
      </w:r>
      <w:r>
        <w:t xml:space="preserve"> Abstract For five decades, refining models and datasets has been regarded as central to reducing uncertainty in global irrigation water withdrawal estimates. However, whether these efforts have succeeded remains unclear. Here we compile 1,621 global estimates from 65 studies published between 1974 and 2025 and evaluate them across 360 analytical pathways, spanning a comprehensive range of plausible statistical designs. Our results indicate that uncertainty in global irrigation water withdrawals has not declined: only 18% of pathways show any reduction over time, falling to 10% once projections to 2100 are excluded. Paths split between an unstable trend (42%) and an increase in uncertainty (35%), and where a net direction exists, it is an increase by more than two to one. Progress may therefore require the field to renounce the goal of reducing uncertainty and instead double down on what it has historically done best: expanding it, until uncertainty reaches the boundary of what current knowledge of global irrigation cannot exclude.</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2024:</w:t>
      </w:r>
      <w:r>
        <w:t xml:space="preserve"> Water Reuse: A Comprehensive Review — https://doi.org/10.3390/environments11040081</w:t>
      </w:r>
    </w:p>
    <w:p>
      <w:pPr/>
      <w:r>
        <w:rPr>
          <w:b/>
        </w:rPr>
        <w:t>Shared claim-specific concepts:</w:t>
      </w:r>
      <w:r>
        <w:t xml:space="preserve"> water, freshwater, resources; EU scope visible. This is a provisional connection, not an outcome finding.</w:t>
      </w:r>
    </w:p>
    <w:p>
      <w:pPr>
        <w:pStyle w:val="SourceNote"/>
      </w:pPr>
      <w:r>
        <w:rPr>
          <w:b/>
        </w:rPr>
        <w:t>Available abstract (not full text):</w:t>
      </w:r>
      <w:r>
        <w:t xml:space="preserve"> Water scarcity has emerged as a pressing global concern, driven by population growth, urbanization, and climate change. As freshwater resources dwindle, the imperative for water reuse becomes increasingly apparent. Reusing water presents a sustainable solution to mitigate scarcity, offering a way to maximize the efficiency of available resources. This review delves into the multifaceted landscape of water consumption and reuse, aiming to provide a comprehensive analysis and understanding of this critical issue. It explores the diverse implications of unregulated water consumption, spanning from its impacts on household routines to its profound influence on economic activities. Additionally, it scrutinizes the legislative framework surrounding water usage, shedding light on the policies and regulations in place. Furthermore, the review investigates the current status of water reuse practices in Europe, delving into various methods of water recovery. Finally, it examines public perceptions and attitudes toward recycled water, offering insights into the societal outlook on this increasingly vital aspect of water management.</w:t>
      </w:r>
    </w:p>
    <w:p>
      <w:pPr/>
      <w:r>
        <w:rPr>
          <w:b/>
        </w:rPr>
        <w:t>POSSIBLE 2024:</w:t>
      </w:r>
      <w:r>
        <w:t xml:space="preserve"> Next-Generation Green Hydrogen: Progress and Perspective from Electricity, Catalyst to Electrolyte in Electrocatalytic Water Splitting — https://doi.org/10.1007/s40820-024-01424-2</w:t>
      </w:r>
    </w:p>
    <w:p>
      <w:pPr/>
      <w:r>
        <w:rPr>
          <w:b/>
        </w:rPr>
        <w:t>Shared claim-specific concepts:</w:t>
      </w:r>
      <w:r>
        <w:t xml:space="preserve"> water, electricity, production; EU scope not established. This is a provisional connection, not an outcome finding.</w:t>
      </w:r>
    </w:p>
    <w:p>
      <w:pPr>
        <w:pStyle w:val="SourceNote"/>
      </w:pPr>
      <w:r>
        <w:rPr>
          <w:b/>
        </w:rPr>
        <w:t>Available abstract (not full text):</w:t>
      </w:r>
      <w:r>
        <w:t xml:space="preserve"> Green hydrogen from electrolysis of water has attracted widespread attention as a renewable power source. Among several hydrogen production methods, it has become the most promising technology. However, there is no large-scale renewable hydrogen production system currently that can compete with conventional fossil fuel hydrogen production. Renewable energy electrocatalytic water splitting is an ideal production technology with environmental cleanliness protection and good hydrogen purity, which meet the requirements of future development. This review summarizes and introduces the current status of hydrogen production by water splitting from three aspects: electricity, catalyst and electrolyte. In particular, the present situation and the latest progress of the key sources of power, catalytic materials and electrolyzers for electrocatalytic water splitting are introduced. Finally, the problems of hydrogen generation from electrolytic water splitting and directions of next-generation green hydrogen in the future are discussed and outlooked. It is expected that this review will have an important impact on the field of hydrogen production from water.</w:t>
      </w:r>
    </w:p>
    <w:p>
      <w:pPr>
        <w:pStyle w:val="Heading2"/>
      </w:pPr>
      <w:r>
        <w:t>997.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2026:</w:t>
      </w:r>
      <w:r>
        <w:t xml:space="preserve"> Assembly of the most massive Black Holes in the Universe — https://doi.org/10.7488/era/7378</w:t>
      </w:r>
    </w:p>
    <w:p>
      <w:pPr/>
      <w:r>
        <w:rPr>
          <w:b/>
        </w:rPr>
        <w:t>Shared claim-specific concepts:</w:t>
      </w:r>
      <w:r>
        <w:t xml:space="preserve"> critical, question, whether, massive, construct; EU scope not established. This is a provisional connection, not an outcome finding.</w:t>
      </w:r>
    </w:p>
    <w:p>
      <w:pPr>
        <w:pStyle w:val="SourceNote"/>
      </w:pPr>
      <w:r>
        <w:rPr>
          <w:b/>
        </w:rPr>
        <w:t>Available abstract (not full text):</w:t>
      </w:r>
      <w:r>
        <w:t xml:space="preserve"> Supermassive Black Holes (BHs) are nested at the centre of most galaxies, and are the most massive compact objects in the Universe. To this day, we still struggle to explain how these extremely massive objects have assembled and grown over time. Particularly puzzling is that the most massive BHs were thought to have assembled gradually over cosmic time, reaching their high masses only in the local Universe, but BHs already with very large masses in place have been identified at very early cosmic times. This discovery of an early, high-redshift massive BH population sparks the question of how these massive objects formed this quickly in the history of the Universe, and how could this mass build-up happen in such a surprisingly short amount of time. This thesis investigates the growth and assembly of the most massive BHs, emphasising their connection to host galaxies. Specifically, I investigate the active BH population, called Active Galactic Nuclei (AGN), selected through their X-ray emission. AGN represent a critical phase in BH evolution, during which in-falling gas forms an accretion disc, producing powerful radiation across the electromagnetic spectrum. X-ray selection provides a robust method to probe these accretion processes and construct an almost complete census of AGN across a broad range of the galaxy population. In Chapter 3, I study a rare subset of AGN called red </w:t>
      </w:r>
    </w:p>
    <w:p>
      <w:pPr/>
      <w:r>
        <w:rPr>
          <w:b/>
        </w:rPr>
        <w:t>POSSIBLE 2026:</w:t>
      </w:r>
      <w:r>
        <w:t xml:space="preserve"> Hubble as a Unique Discovery Engine of the Fate of Massive Stars and Black Hole Formation — https://doi.org/10.48550/arxiv.2606.10710</w:t>
      </w:r>
    </w:p>
    <w:p>
      <w:pPr/>
      <w:r>
        <w:rPr>
          <w:b/>
        </w:rPr>
        <w:t>Shared claim-specific concepts:</w:t>
      </w:r>
      <w:r>
        <w:t xml:space="preserve"> critical, question, whether, massive; EU scope not established. This is a provisional connection, not an outcome finding.</w:t>
      </w:r>
    </w:p>
    <w:p>
      <w:pPr>
        <w:pStyle w:val="SourceNote"/>
      </w:pPr>
      <w:r>
        <w:rPr>
          <w:b/>
        </w:rPr>
        <w:t>Available abstract (not full text):</w:t>
      </w:r>
      <w:r>
        <w:t xml:space="preserve"> How stellar-mass black holes are formed is an open question in astrophysics, with very limited observational constraints. It is not known which types of stars are more likely to produce black holes, and whether the formation process is accompanied by strong or weak electromagnetic transients - or none at all - and this issue remains a critical missing piece in the puzzle of the fate of massive stars. Recent theoretical work predicts that many stellar-mass black holes form from hot, UV-luminous massive stars, including Wolf-Rayet-like progenitors, and searches focused primarily on luminous cool supergiants may therefore miss a substantial fraction of black-hole formation events. While the coming decade will bring major advances in time-domain astronomy through Rubin/LSST, Roman, JWST, and wide-field transient surveys, none of these combines UV sensitivity, sub-arcsecond imaging, and decade-long continuity. HST uniquely enables direct searches for disappearing hot massive stars associated with black-hole formation. We outline a roadmap for extending HST's role in this area into the 2030s through a dedicated, large program to re-image nearby galaxies in the UV and identify candidate disappearing stars and unusual low-luminosity transients identified by complementary surveys. Theoretical event rates imply that the nearby galaxy population accessible to HST should yield of order one</w:t>
      </w:r>
    </w:p>
    <w:p>
      <w:pPr/>
      <w:r>
        <w:rPr>
          <w:b/>
        </w:rPr>
        <w:t>POSSIBLE 2025:</w:t>
      </w:r>
      <w:r>
        <w:t xml:space="preserve"> Selecting Injected Viscosity in Polymer Flood Projects: A Controversial and Critical Question — https://doi.org/10.3997/2214-4609.202531011</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Summary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its cost which can reach tens of dollars for large expansions. This paper will explain why the question still remains without a clear answer using case studies. The paper reviews the theoretical and practical arguments based on real field experience to help future project designers select the right viscosity for their polymer project. This is a critical issue as this can have an impact on injectivity and economics. Theoretical methods can be conservative and may lead to over-design. Reservoir simulations have also been used in several cases to justify extremely high polymer viscosities but in some cases field results do not bear out these expectations. The conclusions of this work show that several factors need to be considered when selecting polymer viscosity; beyond injectivity and mobility control which are obvious ones, another important</w:t>
      </w:r>
    </w:p>
    <w:p>
      <w:pPr/>
      <w:r>
        <w:rPr>
          <w:b/>
        </w:rPr>
        <w:t>POSSIBLE 2025:</w:t>
      </w:r>
      <w:r>
        <w:t xml:space="preserve"> Can Critical Thinking Be Learned? Critical Examination of Critical Thinking — https://doi.org/10.18690/um.ff.11.2025.10</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goal of this paper is to analyse the phenomenon of critical thinking and to examine the question of acquiring knowledge or the possibility to learn critical thinking. In particular, we want to examine which aspect(s) or element(s) of this phenomenon are subject to teaching and learning and which can at best be only slightly improved. In contrast to the unspecific and indiscriminate general view that critical thinking can be learned by nearly everyone, we argue that the answer depends on what is considered to be the nature and structure of critical thinking. In contrast to a more elaborate view that distinguishes two general parts of good reasoning, logical skills understood as the core of critical thinking, and intellectual virtues, and argues that only the former but not the latter can be subject to pedagogical teaching, we argue for the exact opposite.</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2024:</w:t>
      </w:r>
      <w:r>
        <w:t xml:space="preserve"> Critical Questions Generation: Motivation and Challenges — https://doi.org/10.18653/v1/2024.conll-1.9</w:t>
      </w:r>
    </w:p>
    <w:p>
      <w:pPr/>
      <w:r>
        <w:rPr>
          <w:b/>
        </w:rPr>
        <w:t>Shared claim-specific concepts:</w:t>
      </w:r>
      <w:r>
        <w:t xml:space="preserve"> critical, question, use; EU scope not established. This is a provisional connection, not an outcome finding.</w:t>
      </w:r>
    </w:p>
    <w:p>
      <w:pPr>
        <w:pStyle w:val="SourceNote"/>
      </w:pPr>
      <w:r>
        <w:rPr>
          <w:b/>
        </w:rPr>
        <w:t>Available abstract (not full text):</w:t>
      </w:r>
      <w:r>
        <w:t xml:space="preserve"> The development of Large Language Models (LLMs) has brought impressive performances on mitigation strategies against misinformation, such as counterargument generation.However, LLMs are still seriously hindered by outdated knowledge and by their tendency to generate hallucinated content.In order to circumvent these issues, we propose a new task, namely, Critical Questions Generation, consisting of processing an argumentative text to generate the critical questions (CQs) raised by it.In argumentation theory CQs are tools designed to lay bare the blind spots of an argument by pointing at the information it could be missing.Thus, instead of trying to deploy LLMs to produce knowledgeable and relevant counterarguments, we use them to question arguments, without requiring any external knowledge.Research on CQs Generation using LLMs requires a reference dataset for large scale experimentation.Thus, in this work we investigate two complementary methods to create such a resource: (i) instantiating CQs templates as defined by Walton's argumentation theory and (ii), using LLMs as CQs generators.By doing so, we contribute with a procedure to establish what is a valid CQ and conclude that, while LLMs are reasonable CQ generators, they still have a wide margin for improvement in this task.(a) Scheme -Argument from Cause to Effect Premise: Generally, if people pour into the USA, then American</w:t>
      </w:r>
    </w:p>
    <w:p>
      <w:pPr/>
      <w:r>
        <w:rPr>
          <w:b/>
        </w:rPr>
        <w:t>POSSIBLE 2024:</w:t>
      </w:r>
      <w:r>
        <w:t xml:space="preserve"> Selecting Injected Viscosity in Polymer Flood Projects: A Controversial and Critical Question — https://doi.org/10.2118/222035-ms</w:t>
      </w:r>
    </w:p>
    <w:p>
      <w:pPr/>
      <w:r>
        <w:rPr>
          <w:b/>
        </w:rPr>
        <w:t>Shared claim-specific concepts:</w:t>
      </w:r>
      <w:r>
        <w:t xml:space="preserve"> critical, question, considered, expansion; EU scope not established. This is a provisional connection, not an outcome finding.</w:t>
      </w:r>
    </w:p>
    <w:p>
      <w:pPr>
        <w:pStyle w:val="SourceNote"/>
      </w:pPr>
      <w:r>
        <w:rPr>
          <w:b/>
        </w:rPr>
        <w:t>Available abstract (not full text):</w:t>
      </w:r>
      <w:r>
        <w:t xml:space="preserve"> Abstract Polymer injection is now a mature EOR process, and numerous large-scale expansions are currently underway while new projects are being designed all over the world. Curiously, one of the basic design questions still remains highly controversial: what is the optimum viscosity that should be injected? Some practitioners advocate injecting very high viscosities while others advocate just the opposite. The selection of the viscosity to inject has obvious economic implications as it is directly linked to the polymer concentration and thus to the cost of the polymer which can reach tens or hundreds of millions of dollars for large expansions. This paper will explain why the question still remains without a clear answer and will describe the arguments of both camps while outlining the pros and cons of each approach using case studies. The paper reviews the theoretical and practical arguments based on real field experience to help future project designers select the right viscosity for their polymer project. This is a critical issue as this can have an impact on injectivity and economics. The Gogarty method is a theoretical tool to select polymer viscosity, but it is extremely conservative and may lead to over-design. Reservoir simulations have also been used in several cases to justify extremely high polymer viscosities but in some cases field results do not bear out these exp</w:t>
      </w:r>
    </w:p>
    <w:p>
      <w:pPr>
        <w:pStyle w:val="Heading2"/>
      </w:pPr>
      <w:r>
        <w:t>998.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2026:</w:t>
      </w:r>
      <w:r>
        <w:t xml:space="preserve"> Critical iridium demands arising from global expansion of proton exchange membrane electrolysis — https://doi.org/10.1007/s44498-026-00088-y</w:t>
      </w:r>
    </w:p>
    <w:p>
      <w:pPr/>
      <w:r>
        <w:rPr>
          <w:b/>
        </w:rPr>
        <w:t>Shared claim-specific concepts:</w:t>
      </w:r>
      <w:r>
        <w:t xml:space="preserve"> expansion, production; EU scope not established. This is a provisional connection, not an outcome finding.</w:t>
      </w:r>
    </w:p>
    <w:p>
      <w:pPr>
        <w:pStyle w:val="SourceNote"/>
      </w:pPr>
      <w:r>
        <w:rPr>
          <w:b/>
        </w:rPr>
        <w:t>Available abstract (not full text):</w:t>
      </w:r>
      <w:r>
        <w:t xml:space="preserve"> Proton exchange membrane electrolysis (PEMEL) is a key technology for producing green hydrogen, but its scalability is limited by the use of scarce materials, particularly iridium. Iridium oxide, the preferred anode catalyst in PEMEL, offers exceptional stability but is produced only as a by-product of platinum mining, with annual output around 7.5 tons. This study estimates future iridium demand for PEMEL under various global deployment scenarios and technological advances. Results show that meeting net zero targets will require both significant improvements in catalyst efficiency and access to roughly 30% of global iridium production annually. Supply shortages could arise as early as 2030, earlier than previously anticipated. The analysis also reveals that long-term iridium needs beyond 2040 are significantly underestimated. These findings underscore the urgent need for innovation in material efficiency and recycling, and the importance of integrating resource constraints into energy policy and technology planning to ensure a sustainable hydrogen transition. Supplementary Information: The online version contains supplementary material available at 10.1007/s44498-026-00088-y.</w:t>
      </w:r>
    </w:p>
    <w:p>
      <w:pPr/>
      <w:r>
        <w:rPr>
          <w:b/>
        </w:rPr>
        <w:t>POSSIBLE 2026:</w:t>
      </w:r>
      <w:r>
        <w:t xml:space="preserve"> Economic incentives for conifers may limit broadleaf expansion in climate-adaptive European forests — https://doi.org/10.1038/s43247-026-04087-6</w:t>
      </w:r>
    </w:p>
    <w:p>
      <w:pPr/>
      <w:r>
        <w:rPr>
          <w:b/>
        </w:rPr>
        <w:t>Shared claim-specific concepts:</w:t>
      </w:r>
      <w:r>
        <w:t xml:space="preserve"> expansion, increasing, between; EU scope visible. This is a provisional connection, not an outcome finding.</w:t>
      </w:r>
    </w:p>
    <w:p>
      <w:pPr>
        <w:pStyle w:val="SourceNote"/>
      </w:pPr>
      <w:r>
        <w:rPr>
          <w:b/>
        </w:rPr>
        <w:t>Available abstract (not full text):</w:t>
      </w:r>
      <w:r>
        <w:t xml:space="preserve"> Abstract Forests are increasingly affected by climate change, highlighting the necessity of adaptive management to sustain ecosystem services. Yet adaptation is complicated by the interplay between ecological and socioeconomic considerations. We used an informed questionnaire to survey a selected group of forest professionals across different European sites, focusing on how perceptions of climate and socioeconomic change drive adaptive management choices. Here we show that professionals broadly agree on the negative impacts of climate change, with drought emerging as the dominant high-risk factor, while perceived socioeconomic change reflects rising timber demand and prices alongside higher operational costs. Professionals rank species diversity, mixing broadleaf and conifer species, and assisted natural regeneration as the priority adaptive measures, yet anticipated timber price increases lead a quarter of respondents to favor maintaining or increasing conifer shares. Economic expectations can change adaptation choices, highlighting a tension between ecological resilience and socioeconomic priorities that forest policy needs to address.</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2025:</w:t>
      </w:r>
      <w:r>
        <w:t xml:space="preserve"> Change in Household Demand in the Context of Concerns Regarding the Transition to a Healthy Diet — https://doi.org/10.24818/ea/2025/69/384</w:t>
      </w:r>
    </w:p>
    <w:p>
      <w:pPr/>
      <w:r>
        <w:rPr>
          <w:b/>
        </w:rPr>
        <w:t>Shared claim-specific concepts:</w:t>
      </w:r>
      <w:r>
        <w:t xml:space="preserve"> likely, food; EU scope visible. This is a provisional connection, not an outcome finding.</w:t>
      </w:r>
    </w:p>
    <w:p>
      <w:pPr>
        <w:pStyle w:val="SourceNote"/>
      </w:pPr>
      <w:r>
        <w:rPr>
          <w:b/>
        </w:rPr>
        <w:t>Available abstract (not full text):</w:t>
      </w:r>
      <w:r>
        <w:t xml:space="preserve"> This article investigates household consumption in 2011 and 2021, to see if there is evidence of changes in household demands of food.The European policy from Farm to Fork aims at providing sustainable, healthy food for all consumers, through an increase in vegetable consumption at the expense of meat consumption.We estimated demand functions for 8 groups of commodities, estimating expenditure and cross-price elasticities.Our finding suggests that Romanian households still view meat as an important dietary requirement, and since its demand is one of the most elastic, the intake will further increase.The quantity and expenditure share of vegetables decreased in the interval.The expenditure elasticity shows that urban households value vegetable consumption more than rural ones.The demand for fruits is elastic, in some cases more so than the one for meat, so it is likely that the fruits demand will continue to grow.From the analysis we can conclude that Romanian households diet preferences are not fulfilling the European aim of achieving "food consumption and healthy diets", since the demand for meat continues to grow, while the demand for vegetables is at best stationary.</w:t>
      </w:r>
    </w:p>
    <w:p>
      <w:pPr/>
      <w:r>
        <w:rPr>
          <w:b/>
        </w:rPr>
        <w:t>POSSIBLE 2025:</w:t>
      </w:r>
      <w:r>
        <w:t xml:space="preserve"> Minimum-Regret Hydrogen and Carbon Supply Chains to Decarbonize European Industrial Hydrogen Demands — https://doi.org/10.1021/acs.est.4c13659</w:t>
      </w:r>
    </w:p>
    <w:p>
      <w:pPr/>
      <w:r>
        <w:rPr>
          <w:b/>
        </w:rPr>
        <w:t>Shared claim-specific concepts:</w:t>
      </w:r>
      <w:r>
        <w:t xml:space="preserve"> expansion, production, conventional; EU scope visible. This is a provisional connection, not an outcome finding.</w:t>
      </w:r>
    </w:p>
    <w:p>
      <w:pPr>
        <w:pStyle w:val="SourceNote"/>
      </w:pPr>
      <w:r>
        <w:rPr>
          <w:b/>
        </w:rPr>
        <w:t>Available abstract (not full text):</w:t>
      </w:r>
      <w:r>
        <w:t xml:space="preserve"> High Resolution Image Download MS PowerPoint Slide Low-carbon hydrogen (H 2 ) is envisioned to play a central role in decarbonizing European hard-to-abate industries, such as refineries, ammonia, methanol, steel, and cement. To facilitate its widespread use, low-carbon H 2 supply chain (HSC) infrastructure is needed. However, uncertainties around future low-carbon H 2 demands and biomass availability hamper their proliferation. This work investigates the impact of uncertainties in H 2 demand and biomass availability on the optimal HSC design. A linear optimization model is used to determine the cost-optimal HSC design, considering a regional spatial resolution and a multiyear time horizon from 2022 to 2050. CO 2 and biomass infrastructure is designed alongside the HSC. A scenario-based approach is used to derive minimum-regret strategies and support infrastructure development. Results show that investing in scalable H 2 production capacity, targeting 10 Mt/a by 2030, enables flexible expansion to meet larger H 2 demands of up to 35 Mt/a by 2050. Although biomass-based H 2 production is most cost-effective, coupling conventional H 2 production with carbon capture and storage or investments in electrolysis provide more flexibility. Moreover, investments in CO 2 infrastructure are essential, often determining the ability to achieve 2050 climate targets.</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pStyle w:val="Heading2"/>
      </w:pPr>
      <w:r>
        <w:t>999.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2024:</w:t>
      </w:r>
      <w:r>
        <w:t xml:space="preserve"> Recent Literature — https://openalex.org/W7153690891</w:t>
      </w:r>
    </w:p>
    <w:p>
      <w:pPr/>
      <w:r>
        <w:rPr>
          <w:b/>
        </w:rPr>
        <w:t>Shared claim-specific concepts:</w:t>
      </w:r>
      <w:r>
        <w:t xml:space="preserve"> recent, literature, shown, majority; EU scope not established. This is a provisional connection, not an outcome finding.</w:t>
      </w:r>
    </w:p>
    <w:p>
      <w:pPr>
        <w:pStyle w:val="SourceNote"/>
      </w:pPr>
      <w:r>
        <w:rPr>
          <w:b/>
        </w:rPr>
        <w:t>Available abstract (not full text):</w:t>
      </w:r>
      <w:r>
        <w:t xml:space="preserve"> The appendicular royology of the Sandhill Crane [Gr•s ½anadends tab•ta], with comparative remarks on the Whoophug Crane [G.americana].Wilson Bull., 68: 282-304.CLICK, B. 1956.Normal growth of the Bursa of Fabricius in Chickens.Poultry Sci., 35: 843-851.--Maximumbursa size was attained in Barred crosses, White Leghorns, and Rhode Island Reds between 10 and 12, 4•/• and 6, and 8 and 11 weeks, respectively--all at an earlier age than previously reported.The bursa of males was larger than that of females during the first 4 weeks after hatching.Recent Literature [Vol.DtLCER, W. C. 1956.Hylocichlid Thrushes in captivity with notes on their behaviottr.Avicultttral Mag., 62: 183-189.--Abrief but valuable description of activities such as sleeping, bathing, pellet casting, defecation, and comfort movements in adult and young thrushes.--F.M. Ooo•)wtN, D. 1955.Some observations on the reproductive behaviour of Rooks.British Birds, 48: 97-105.--Nestbuilding movements are apparently stereotyped, but in the early stages there is a reluctance to let go of a placed stick, lest it drop.Some male corvids can build nests but it seems that the presence of a female also doing so may be a necessary stimulus.Goodwin suggests that there is an innate attacking reaction to the sight of other rooks copulating, as Heinroth (1948) found in pigeons.These attacks occttr even upon paired birds.Any intruding m</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Ascertaining the Knowledge of the General Public and Stakeholders in the Forestry Sector to Invasive Alien Species—A Pan-European Study — https://doi.org/10.3390/land12030642</w:t>
      </w:r>
    </w:p>
    <w:p>
      <w:pPr/>
      <w:r>
        <w:rPr>
          <w:b/>
        </w:rPr>
        <w:t>Shared claim-specific concepts:</w:t>
      </w:r>
      <w:r>
        <w:t xml:space="preserve"> recent, majority, negative; EU scope visible. This is a provisional connection, not an outcome finding.</w:t>
      </w:r>
    </w:p>
    <w:p>
      <w:pPr>
        <w:pStyle w:val="SourceNote"/>
      </w:pPr>
      <w:r>
        <w:rPr>
          <w:b/>
        </w:rPr>
        <w:t>Available abstract (not full text):</w:t>
      </w:r>
      <w:r>
        <w:t xml:space="preserve"> Against the background of the phenomenon of globalisation, which has increasingly intensified in recent decades, invasive alien species (IAS) have led to biological invasions that have resulted in multiple negative effects on economies, human health, and especially on the environment. In order to control invasive alien species, preventive actions are considered the most effective methods. In this context, society can actively participate in the process of early detection and preventing the spread of these organisms, but there is a need to raise public awareness. In order for this process to take place in the most efficient way, it is necessary to initially evaluate the knowledge of the general public to IAS. Through a questionnaire that was circulated in ten European countries and had over two thousand respondents, this study aimed to investigate the level of knowledge of some stakeholders in the forestry sector regarding IAS. The results showed that a vast majority of respondents who participated in the study had heard about IAS and provided a correct definition of these organisms. Most of the respondents in this study heard for the first time about IAS from school, the Internet, or journal articles. Data analysis also showed that stakeholders in the forestry sector (foresters, forest owners, and members of environmental NGOs) were more likely than the other respondents to be </w:t>
      </w:r>
    </w:p>
    <w:p>
      <w:pPr>
        <w:pStyle w:val="Heading2"/>
      </w:pPr>
      <w:r>
        <w:t>1000.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abstract, species, ranges, climate, conditions;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Nitrogen acquisition in Central European tree species is driven by counteracting species interactions and available soil N — https://doi.org/10.1007/s11104-025-07351-4</w:t>
      </w:r>
    </w:p>
    <w:p>
      <w:pPr/>
      <w:r>
        <w:rPr>
          <w:b/>
        </w:rPr>
        <w:t>Shared claim-specific concepts:</w:t>
      </w:r>
      <w:r>
        <w:t xml:space="preserve"> abstract, species, conditions, but; EU scope visible. This is a provisional connection, not an outcome finding.</w:t>
      </w:r>
    </w:p>
    <w:p>
      <w:pPr>
        <w:pStyle w:val="SourceNote"/>
      </w:pPr>
      <w:r>
        <w:rPr>
          <w:b/>
        </w:rPr>
        <w:t>Available abstract (not full text):</w:t>
      </w:r>
      <w:r>
        <w:t xml:space="preserve"> Abstract Background and aims The interactions between trees and their species-specific properties (e.g. growth rate, nutrient demand) drive the acquisition of growth-limiting nitrogen (N). In tree communities, the outcome of multiple potentially counteracting interactions can mask the underlying effects between species. Methods Using two-species approaches we investigated the interactions among seven common temperate Central European tree species differing in their morphological and physiological properties. Seedlings were grown under controlled conditions with no, intra-, or interspecific interactions at limited or excess soil N. We measured inorganic and organic net N uptake capacity and biomass and growth traits. Results Among species, inorganic and organic N acquisition was unrelated to general physiological and morphological plant properties (i.e. more N with fast growth) but was species-specific. Species interactions affected N acquisition and growth positively, negatively, and/or not depending on the species and available soil N. Which N sources were preferred changed with neighbour and soil N: With limited N, amino acids and nitrate were taken up most whereas with excess N, N acquisition was generally increased and ammonium preferred. Conclusions The interactions with different neighbouring tree species can affect inorganic and organic N acquisition of a species positiv</w:t>
      </w:r>
    </w:p>
    <w:p>
      <w:pPr/>
      <w:r>
        <w:rPr>
          <w:b/>
        </w:rPr>
        <w:t>POSSIBLE 2025:</w:t>
      </w:r>
      <w:r>
        <w:t xml:space="preserve"> Atlas for the Identification of Sturgeon Species of Europe by Skeletal Elements and Implications for Its Use in Archaeozoology — https://doi.org/10.1002/oa.70035</w:t>
      </w:r>
    </w:p>
    <w:p>
      <w:pPr/>
      <w:r>
        <w:rPr>
          <w:b/>
        </w:rPr>
        <w:t>Shared claim-specific concepts:</w:t>
      </w:r>
      <w:r>
        <w:t xml:space="preserve"> abstract, species, conditions; EU scope visible. This is a provisional connection, not an outcome finding.</w:t>
      </w:r>
    </w:p>
    <w:p>
      <w:pPr>
        <w:pStyle w:val="SourceNote"/>
      </w:pPr>
      <w:r>
        <w:rPr>
          <w:b/>
        </w:rPr>
        <w:t>Available abstract (not full text):</w:t>
      </w:r>
      <w:r>
        <w:t xml:space="preserve"> ABSTRACT This paper presents a comprehensive photographic atlas for the identification of sturgeon species in Europe based on skeletal elements. The atlas aims to facilitate accurate species identification of sturgeons from archaeological sites across Europe by providing photographs of key skeletal elements and main body measurements. These data were collected from examinations of 42 specimens representing eight sturgeon species and two intergeneric hybrids. The atlas covers 22 skeletal elements, focusing on those most commonly preserved in the context of archaeological sites and useful for species‐level identification. This resource is intended to support archaeozoologists in their efforts to reconstruct past human activities, trade networks, and environmental conditions. It can also contribute to current conservation efforts by documenting the diversity and distribution of individual species‐level taxa of sturgeons in the historical past of Europe.</w:t>
      </w:r>
    </w:p>
    <w:p>
      <w:pPr/>
      <w:r>
        <w:rPr>
          <w:b/>
        </w:rPr>
        <w:t>POSSIBLE 2025:</w:t>
      </w:r>
      <w:r>
        <w:t xml:space="preserve"> Welfare Indicators for Aquaculture Research: Toolboxes for Five Farmed European Fish Species — https://doi.org/10.1111/raq.70109</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Refining approaches to measuring, monitoring and appraising animal welfare in aquaculture research is key to (i) protecting and optimizing it, (ii) documenting the severity of how and when it deviates, and (iii) ensuring good scientific quality, reliable results and reproducibility, amongst other factors. However, different fish species and life stages can have varying welfare needs and assessing their welfare can be challenging. An array of welfare indicators (WIs) can be utilized when documenting fish welfare, and there is currently little consensus on which WIs are most applicable to the key fish species used in European aquaculture research. The aim of this review is to propose updated, fit for purpose and comprehensive WI toolboxes for aquaculture research involving Atlantic salmon ( Salmo salar ), rainbow trout ( Oncorhynchus mykiss ), European seabass ( Dicentrarchus labrax ), gilthead seabream ( Sparus aurata ), and the common carp ( Cyprinus carpio ). Where possible, these toolboxes will also include life‐stage considerations. It also provides information on utilizing WIs in deciding humane end‐points as well as information on how to sample different types of indicators. The review closes with information on how digitalization can affect the collection, collation and analysis of WI data in aquaculture research, including both practical and theoretical consider</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pStyle w:val="Heading2"/>
      </w:pPr>
      <w:r>
        <w:t>1001.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2025:</w:t>
      </w:r>
      <w:r>
        <w:t xml:space="preserve"> The Role of European Equestrian Institutions in Training Professionals: Outcomes from a Workshop on Horse Welfare in Equestrian Education — https://doi.org/10.3390/ani15020183</w:t>
      </w:r>
    </w:p>
    <w:p>
      <w:pPr/>
      <w:r>
        <w:rPr>
          <w:b/>
        </w:rPr>
        <w:t>Shared claim-specific concepts:</w:t>
      </w:r>
      <w:r>
        <w:t xml:space="preserve"> workshop, conducted, countries, suggest; EU scope visible. This is a provisional connection, not an outcome finding.</w:t>
      </w:r>
    </w:p>
    <w:p>
      <w:pPr>
        <w:pStyle w:val="SourceNote"/>
      </w:pPr>
      <w:r>
        <w:rPr>
          <w:b/>
        </w:rPr>
        <w:t>Available abstract (not full text):</w:t>
      </w:r>
      <w:r>
        <w:t xml:space="preserve"> This paper highlights and summarizes the experiences and perceptions of European equestrian educational experts from a workshop held at the French National Riding School in Saumur. The workshop, which brought together fifty leading experts, aimed to address challenges in equestrian education, identify common ground, and share best practices. Using 'The World Café' method, the participants were divided into groups to discuss four key topics: the relationship between horses and humans, diversity of perspectives versus common ground, training philosophy, and social acceptability. A follow-up online focus group was conducted six months later, and the discussions were transcribed and analyzed using qualitative content analysis. The results revealed the need for a universal cultural shift towards an evidence-based approach to riding and training horses, with equine welfare at its core. Key challenges, such as anthropomorphism, varying standards across disciplines and countries, and the evolving horse-human relationship, pose risks to the social license to operate. The findings suggest that educational institutions, with their shared values, are well-positioned to lead this change, although further research is needed to address pedagogical challenges. The study also emphasizes the importance of communicating 'good news stories' to promote evidence-based practices in training and compe</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pStyle w:val="Heading2"/>
      </w:pPr>
      <w:r>
        <w:t>1002.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2026:</w:t>
      </w:r>
      <w:r>
        <w:t xml:space="preserve"> On the economic prospects of non-Western migrants in Europe — https://doi.org/10.1007/s00148-026-01167-x</w:t>
      </w:r>
    </w:p>
    <w:p>
      <w:pPr/>
      <w:r>
        <w:rPr>
          <w:b/>
        </w:rPr>
        <w:t>Shared claim-specific concepts:</w:t>
      </w:r>
      <w:r>
        <w:t xml:space="preserve"> over, many, countries; EU scope visible. This is a provisional connection, not an outcome finding.</w:t>
      </w:r>
    </w:p>
    <w:p>
      <w:pPr>
        <w:pStyle w:val="SourceNote"/>
      </w:pPr>
      <w:r>
        <w:rPr>
          <w:b/>
        </w:rPr>
        <w:t>Available abstract (not full text):</w:t>
      </w:r>
      <w:r>
        <w:t xml:space="preserve"> Abstract Many European countries are concerned about the economic integration of low-skilled non-Western migrants. This study investigates skill disparities and their intergenerational persistence by employing a unique combination of Dutch survey and registry data linking math and language skills of parents and their children. We find that skills of non-Western migrants strongly converge towards those of natives; group differences in math and language are reduced by 60 to 70% over one generation. Ethnic externalities that may delay group convergence indefinitely appear not to be important. This suggests that the currently observed skill gaps of non-Western migrants in Europe are unlikely to persist for those migrants.</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2024:</w:t>
      </w:r>
      <w:r>
        <w:t xml:space="preserve"> European Narratives and Euroscepticism in the Western Balkans and the EU — https://doi.org/10.4324/9781032674544</w:t>
      </w:r>
    </w:p>
    <w:p>
      <w:pPr/>
      <w:r>
        <w:rPr>
          <w:b/>
        </w:rPr>
        <w:t>Shared claim-specific concepts:</w:t>
      </w:r>
      <w:r>
        <w:t xml:space="preserve"> over, western, countries; EU scope visible. This is a provisional connection, not an outcome finding.</w:t>
      </w:r>
    </w:p>
    <w:p>
      <w:pPr>
        <w:pStyle w:val="SourceNote"/>
      </w:pPr>
      <w:r>
        <w:rPr>
          <w:b/>
        </w:rPr>
        <w:t>Available abstract (not full text):</w:t>
      </w:r>
      <w:r>
        <w:t xml:space="preserve"> Moving from a social movement perspective, this timely volume examines narratives on Euroscepticism and frames on Europe from below, at the party and social movement levels. Revealing perspectives from both the Right and the Left, it unpacks the emergence, re-emergence and increase in critical ‘voices’ and opposition towards Europe. Based on extensive fieldwork in two candidate countries for accession to the EU and three member states, it offers insight from analysis of focus groups, interviews with Eurosceptic and pro-European political actors and ordinary citizens, together with frame analysis and scrutiny of archival material, electoral manifestoes and organisational documents. Revealing the development of Eurocritical frames, it demonstrates the differences and similarities in narratives used to address Europe and the conceptualisation of Euroscepticism. Key cases examined include the rise of illiberalism in post-transition Slovenia; complex Euroscepticism in Poland; the path from strong support to harsh opposition in Italy; indecision over membership in North Macedonia; anticipating the future while revisiting the past in Bosnia and Herzegovina. Offering guidelines for the direction of future research and policy, European Narratives and Euroscepticism in the Western Balkans and the EU is essential reading for scholars and students of political sociology, political science,</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2023:</w:t>
      </w:r>
      <w:r>
        <w:t xml:space="preserve"> The faunal Ponto-Caspianization of central and western European waterways — https://doi.org/10.1007/s10530-023-03060-0</w:t>
      </w:r>
    </w:p>
    <w:p>
      <w:pPr/>
      <w:r>
        <w:rPr>
          <w:b/>
        </w:rPr>
        <w:t>Shared claim-specific concepts:</w:t>
      </w:r>
      <w:r>
        <w:t xml:space="preserve"> over, western, countries, large; EU scope visible. This is a provisional connection, not an outcome finding.</w:t>
      </w:r>
    </w:p>
    <w:p>
      <w:pPr>
        <w:pStyle w:val="SourceNote"/>
      </w:pPr>
      <w:r>
        <w:rPr>
          <w:b/>
        </w:rPr>
        <w:t>Available abstract (not full text):</w:t>
      </w:r>
      <w:r>
        <w:t xml:space="preserve"> Abstract As alien invasive species are a key driver of biodiversity loss, understanding patterns of rapidly changing global species compositions depends upon knowledge of invasive species population dynamics and trends at large scales. Within this context, the Ponto-Caspian region is among the most notable donor regions for aquatic invasive species in Europe. Using macroinvertebrate time series collected over 52 years (1968–2020) at 265 sites across 11 central and western European countries, we examined the occurrences, invasion rates, and abundances of freshwater Ponto-Caspian fauna. We examined whether: (i) successive Ponto-Caspian invasions follow a consistent pattern of composition pioneered by the same species, and (ii) Ponto-Caspian invasion accelerates subsequent invasion rates. In our dataset, Ponto-Caspian macroinvertebrates increased from two species in 1972 to 29 species in 2012. This trend was parallelled by a non-significant increasing trend in the abundances of Ponto-Caspian taxa. Trends in Ponto-Caspian invader richness increased significantly over time. We found a relatively uniform distribution of Ponto-Caspian macroinvertebrates across Europe without any relation to the distance to their native region. The Ponto-Caspian species that arrived first were often bivalves (46.5% of cases), particularly Dreissena polymorpha, followed secondarily by amphipods (83.8%; </w:t>
      </w:r>
    </w:p>
    <w:p>
      <w:pPr>
        <w:pStyle w:val="Heading2"/>
      </w:pPr>
      <w:r>
        <w:t>1003.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2026:</w:t>
      </w:r>
      <w:r>
        <w:t xml:space="preserve"> Incentive distortions in FuelEU Maritime: Reforming the GHG intensity penalty structure — https://doi.org/10.1016/j.tranpol.2026.104333</w:t>
      </w:r>
    </w:p>
    <w:p>
      <w:pPr/>
      <w:r>
        <w:rPr>
          <w:b/>
        </w:rPr>
        <w:t>Shared claim-specific concepts:</w:t>
      </w:r>
      <w:r>
        <w:t xml:space="preserve"> ghg, emissions, transport; EU scope not established. This is a provisional connection, not an outcome finding.</w:t>
      </w:r>
    </w:p>
    <w:p>
      <w:pPr>
        <w:pStyle w:val="SourceNote"/>
      </w:pPr>
      <w:r>
        <w:rPr>
          <w:b/>
        </w:rPr>
        <w:t>Available abstract (not full text):</w:t>
      </w:r>
      <w:r>
        <w:t xml:space="preserve"> The FuelEU Maritime Regulation introduces a greenhouse gas (GHG) intensity standard for maritime transport, enforced through financial penalties for non-compliance. While intended to promote cost-effective decarbonization, this paper demonstrates that the current formulation creates a declining penalty per unit of non-compliance as emissions increase, weakening marginal abatement incentives for higher-emitting vessels and encouraging strategic behaviour. For a heterogeneous fleet with a fixed aggregate non-compliance balance, the total penalty depends on how non-compliance is distributed across vessels: it is maximized when GHG intensities are equalised and minimized at a boundary solution with at most one vessel taking an interior value between the target and baseline intensities. This feature introduces distortions that are inconsistent with efficient and equitable policy outcomes. To address these issues, we propose a reformed penalty structure and provide analytical results supported by numerical examples. The revised design restores constant marginal incentives, improves fairness and transparency, and eliminates strategic distortions in compliance markets. The results highlight the importance of functional form in policy design for maritime decarbonization.</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decline;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Emission Factors and Global Warming Potential as Key Parameters in GHG Emissions Reporting — https://doi.org/10.14311/bit.2026.01.01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The calculation of greenhouse gas emissions represents a fundamental component of environmental reporting and the assessment of a company's carbon footprint. Although the resulting emissions are typically reported in metric tons of carbon dioxide equivalent, their determination is based on the use of emission factors and global warming potential values. The utilisation of these parameters facilitates the conversion of data pertaining to energy and fuel consumption, along with other activities, into comparable greenhouse gas emission values. The objective of this article is to analyse the significance of emission factors and GWP values in quantifying greenhouse gas emissions and to elucidate their role in the context of ESG reporting requirements. The focus of this paper is twofold: firstly, to examine the principles of their use in calculating emissions and, secondly, to consider the availability of input data, the differences between individual sources and their impact on the resulting reported emission values. The article goes on to examine the relationship between emission factors and GWP values, highlighting the fact that an inappropriate choice of these parameters can significantly affect the results of environmental reporting as a whole.</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pStyle w:val="Heading2"/>
      </w:pPr>
      <w:r>
        <w:t>1004.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2024:</w:t>
      </w:r>
      <w:r>
        <w:t xml:space="preserve"> The European Mesolithic in Mountain Landscapes — https://doi.org/10.1093/oxfordhb/9780197608005.013.24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Abstract The use of mountain environments is a recurrent, although not universal, feature of the Mesolithic across Europe. However, synthesis of this material is rare. This means that it is difficult to assess whether regional variation in archaeological evidence is a product of different activities in the past, different research traditions, different post-depositional landscape histories, or—most likely—complex local combinations of all three. To help move past this problem, we provide a comparative approach to the mountain Mesolithic of Western Austria, Southern Norway, Scotland, and the Swiss Alps. For each region, we provide an overview of how sites have been found and what kinds of evidence is present. This allows us to present some comparable and contrasting aspects of the evidence at a European level. In turn, this perspective reinforces the importance of particular kinds of archaeological practice, especially in terms of survey and public engagement, and to highlight potential threats to this archaeological resource.</w:t>
      </w:r>
    </w:p>
    <w:p>
      <w:pPr/>
      <w:r>
        <w:rPr>
          <w:b/>
        </w:rPr>
        <w:t>POSSIBLE 2024:</w:t>
      </w:r>
      <w:r>
        <w:t xml:space="preserve"> Beyond the present, the nation, and Europe: Three different uses of history in reflexive migration studies — https://doi.org/10.1093/migration/mnae023</w:t>
      </w:r>
    </w:p>
    <w:p>
      <w:pPr/>
      <w:r>
        <w:rPr>
          <w:b/>
        </w:rPr>
        <w:t>Shared claim-specific concepts:</w:t>
      </w:r>
      <w:r>
        <w:t xml:space="preserve"> three, different, border; EU scope visible. This is a provisional connection, not an outcome finding.</w:t>
      </w:r>
    </w:p>
    <w:p>
      <w:pPr>
        <w:pStyle w:val="SourceNote"/>
      </w:pPr>
      <w:r>
        <w:rPr>
          <w:b/>
        </w:rPr>
        <w:t>Available abstract (not full text):</w:t>
      </w:r>
      <w:r>
        <w:t xml:space="preserve"> Abstract Interdisciplinary migration research is currently witnessing an increased interest in the impact of colonialism, decolonization, and expertization on present-day integrationism and racism. Tracing the genealogy of current ways of framing, categorizing, and governing groups viewed as “migrant Others” forms part of a reflexive research agenda that analyses migration as a product of changing constellations and categorizations. The article takes up this interest in the recent (and sometimes less recent) past in migration research. Bringing this interdisciplinary body of work into conversation with historical scholarship, we discuss how migration scholars make use of historical genealogies and we identify three different ways of relating the past to the present in debates about current migration and border regimes: We distinguish between what we term an anthropological “deep history” mode, a “genealogical” mode, and a “contrapuntal” or “disruptive” mode. This article argues for a careful, reflexive use of the past. We contend that both the alterity of past discourses and practices and their persistence and lasting impact can help us better make sense of the present in critical migration research.</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2022:</w:t>
      </w:r>
      <w:r>
        <w:t xml:space="preserve"> Cereal Aphid Parasitoids in Europe (Hymenoptera: Braconidae: Aphidiinae): Taxonomy, Biodiversity, and Ecology — https://doi.org/10.3390/insects13121142</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Cereals are very common and widespread crops in Europe. Aphids are a diverse group of herbivorous pests on cereals and one of the most important limiting factors of cereal production. Here, we present an overview of knowledge about the taxonomy, biodiversity, and ecology of cereal aphid parasitoids in Europe, an important group of natural enemies contributing to cereal aphid control. We review the knowledge obtained from the integrative taxonomy of 26 cereal aphid primary parasitoid species, including two allochthonous species (Lysiphlebus testaceipes and Trioxys sunnysidensis) and two recently described species (Lipolexis labialis and Paralipsis brachycaudi). We further review 28 hyperparasitoid species belonging to three hymenopteran superfamilies and four families (Ceraphronoidea: Megaspillidae; Chalcidoidea: Pteromalidae, Encyrtidae; Cynipoidea: Figitidae). We also compile knowledge on the presence of secondary endosymbionts in cereal aphids, as these are expected to influence the community composition and biocontrol efficiency of cereal aphid parasitoids. To study aphid–parasitoid–hyperparasitoid food webs more effectively, we present two kinds of DNA-based approach: (i) diagnostic PCR (mainly multiplex PCR), and (ii) DNA sequence-based methods. Finally, we also review the effects of landscape complexity on the different trophic levels in the food webs of cereal aphids and</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pStyle w:val="Heading2"/>
      </w:pPr>
      <w:r>
        <w:t>1005.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pStyle w:val="Heading2"/>
      </w:pPr>
      <w:r>
        <w:t>1006.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2024:</w:t>
      </w:r>
      <w:r>
        <w:t xml:space="preserve"> G-quadruplex landscape and its regulation revealed by a new antibody capture method — https://doi.org/10.18632/oncotarget.28564</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 Subhamoy Datta 1 , Manthan Patel 2 , Chakkarai Sathyaseelan 3 , Chandrama Ghosh 4 , Akanksha Mudgal 5 , Divyesh Patel 6 , Thenmalarchelvi Rathinavelan 3 and Umashankar Singh 1 1 HoMeCell Lab, Discipline of Biological Engineering, Indian Institute of Technology Gandhinagar, Gandhinagar, Gujarat 382355, India 2 Centre for Genomics and Child Health, Blizard Institute, Barts and The London School of Medicine and Dentistry, Queen Mary University of London, London E1 2AT, UK 3 Department of Biotechnology, Indian Institute of Technology Hyderabad, Kandi Campus, Telangana 502285, India 4 Azrieli Faculty of Medicine, Bar-Ilan University, Henrietta Szold 8A, Safed 1311502, Israel 5 Department of Biopharmacy, Medical University of Lublin, Lublin 20059, Poland 6 Research Programs Unit, Applied Tumor Genomics Program, Faculty of Medicine, University of Helsinki, Biomedicum, Helsinki 00290, Finland Correspondence to: Umashankar Singh, email: usingh@iitgn.ac.in Keywords: DNA G-quadruplexes; G4-ChIP; CGGBP1; CTCF; G/C-skew Received: October 27, 2023 Accepted: February 12, 2024 Published: March 14, 2024 Copyright: © 2024 Datta et al. This is an open access article distributed under the terms of the Creative Commons Attribution License (CC BY 4.0), which permits unrestricted use, distribution, and reproduction in any medium, provided the original author and source are credited. ABSTRACT Our u</w:t>
      </w:r>
    </w:p>
    <w:p>
      <w:pPr/>
      <w:r>
        <w:rPr>
          <w:b/>
        </w:rPr>
        <w:t>POSSIBLE 2023:</w:t>
      </w:r>
      <w:r>
        <w:t xml:space="preserve"> WHAT KIND OF PLURALISM WE NEED IN ECONOMICS? — https://openalex.org/W4322755094</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Author argues that neoclassical school consolidated its monopoly position within economics mainly by dictating strict methodological rules. The article highlights that methodological normativism is substantially reducing our social reality in order to understand economic system as a closed system that is fully analysable. Such a misleading picture of the world as one social reality leads to one best epistemology, one best theory and one best methodology within economics. Author explains complaints against such an approach through different kinds of mutually interrelated and dependent pluralisms in a new complementarity view. Ontological pluralism rejects the idea one world, one truth principle and accepts reality as an open system with a number of parallel worlds. Epistemological pluralism logically follows from ontological by allowing a relatively separate systems of paradigms to co-exist as necessary counterparts to the plurality of the social world. Understanding economy as an open system as a conscious choice leads to theoretical pluralism with meaningful methodological standards in assessing. Author emphasizes that a limited range of methodological and theoretical approaches, each underlying the particular understanding of the world and the nature of the economy, should be presented through education process in order to obtain more anthropocentric and less dogmatic view of</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pStyle w:val="Heading2"/>
      </w:pPr>
      <w:r>
        <w:t>1007.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2025:</w:t>
      </w:r>
      <w:r>
        <w:t xml:space="preserve"> Forest Accessibility and Road Network Density: A Global Overview with a Special Focus on Europe — https://doi.org/10.1007/s40725-025-00259-3</w:t>
      </w:r>
    </w:p>
    <w:p>
      <w:pPr/>
      <w:r>
        <w:rPr>
          <w:b/>
        </w:rPr>
        <w:t>Shared claim-specific concepts:</w:t>
      </w:r>
      <w:r>
        <w:t xml:space="preserve"> purpose, describe, use, managers; EU scope visible. This is a provisional connection, not an outcome finding.</w:t>
      </w:r>
    </w:p>
    <w:p>
      <w:pPr>
        <w:pStyle w:val="SourceNote"/>
      </w:pPr>
      <w:r>
        <w:rPr>
          <w:b/>
        </w:rPr>
        <w:t>Available abstract (not full text):</w:t>
      </w:r>
      <w:r>
        <w:t xml:space="preserve"> Abstract Purpose of the Review Forest accessibility and road network density are important concerns not only for forest managers, but also for everyone who benefits from forests, whether for professional or personal use. A well-planned forest road network, integrated with the forest ecosystem, is a fundamental element of rational and efficient forest management. This review aims to describe the current state of forest road density and overall forest accessibility in Europe, as well as relevant global examples. Recent Findings When a forest road network is distributed adequately across an area, it can support many, if not all, tasks outlined in forest management plans, with high efficiency and minimal costs during construction and maintenance. Collecting data on forest accessibility and primary forest road density at the national level in many countries is a complex task. Diverse terrain conditions, economic factors, and forest management practices have led to variability in the data. A common thread, however, is the optimistic outlook on the use of modern technologies for road network planning and data acquisition. Summary Efficient forest management, especially harvesting operations, relies on a road network with appropriate density, load-bearing capacity, and alignment. Primary forest transport infrastructure helps reduce timber extraction costs by minimising extraction dista</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purpose, five, design, methodology, approach;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Trends and purposes of European river monitoring and restoration — https://doi.org/10.1016/j.envsci.2025.104130</w:t>
      </w:r>
    </w:p>
    <w:p>
      <w:pPr/>
      <w:r>
        <w:rPr>
          <w:b/>
        </w:rPr>
        <w:t>Shared claim-specific concepts:</w:t>
      </w:r>
      <w:r>
        <w:t xml:space="preserve"> purpose, design, first; EU scope visible. This is a provisional connection, not an outcome finding.</w:t>
      </w:r>
    </w:p>
    <w:p>
      <w:pPr>
        <w:pStyle w:val="SourceNote"/>
      </w:pPr>
      <w:r>
        <w:rPr>
          <w:b/>
        </w:rPr>
        <w:t>Available abstract (not full text):</w:t>
      </w:r>
      <w:r>
        <w:t xml:space="preserve"> This study provides the first geospatial analysis of the trends and uptake of European river monitoring and restoration. European monitoring targets rivers draining agricultural and urban land, which leads to geospatial biases due to the co-occurrence with soils, topography, and river orders. Most notably, intermittent rivers and ephemeral streams are underrepresented due to lower monitoring intensities in Southern Europe, headwaters, and catchments with steeper slopes or less arable soils. Improving monitoring efforts in these ecosystems can advance our scientific understanding of complex linkages between ecological quality outcomes and specific stressors. Large differences were found in the spatial coverage of river monitoring and chemical status reporting between European river regions, which highlights comparability issues with the outcomes of Water Framework Directive river quality status due to the ’one-out-all-out’ principle. Chemical status monitoring is also less frequent in agricultural catchments, which leads to a knowledge gap on the impacts of priority substances, such as pesticides, on agricultural rivers. These uncertainties around the actual quality of rivers are propagated to the prioritisation, design and purposes of river restoration. River restoration coverage is distinctively higher in Western Europe and larger urban rivers, compared to lower incidences in </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2023:</w:t>
      </w:r>
      <w:r>
        <w:t xml:space="preserve"> Responsible consumption in Europe: causes and habits — https://doi.org/10.29119/1641-3466.2022.166.37</w:t>
      </w:r>
    </w:p>
    <w:p>
      <w:pPr/>
      <w:r>
        <w:rPr>
          <w:b/>
        </w:rPr>
        <w:t>Shared claim-specific concepts:</w:t>
      </w:r>
      <w:r>
        <w:t xml:space="preserve"> purpose, aim, use, methods, managers, design; EU scope visible. This is a provisional connection, not an outcome finding.</w:t>
      </w:r>
    </w:p>
    <w:p>
      <w:pPr>
        <w:pStyle w:val="SourceNote"/>
      </w:pPr>
      <w:r>
        <w:rPr>
          <w:b/>
        </w:rPr>
        <w:t>Available abstract (not full text):</w:t>
      </w:r>
      <w:r>
        <w:t xml:space="preserve"> Purpose: The main reason to do the research of consumption of society in Europe is the ever- increasing consumption, not sorting enough, which leads to problems on a global scale. Responsible consumption can be described as the behaviors and attitudes of the consumers to consume or less consume products and services that have the potential to directly or indirectly harm to society, economy, the world, and all living and nonliving things. The aim of the paper is to investigate the habits and causes of responsible consumption in Europe. Design/methodology/approach: Analysis of research literature sources, systematization, synthesis, generalization, quantitative research and data processing methods was used. The collected empirical data were processed using the SPSS (Statistical Package for the Social Sciences) program. In the data processing, descriptive statistics was used, such as percentiles, mean, mode and standard deviation. Research was done using an online questionnaire. The questionnaire was compiled by the authors, based on the scientific literature. In the research, respondents participated from Lithuania (373 respondents) and other European countries (444 respondents from Latvia, Poland, Italy, United Kingdom, Germany, Bulgaria, France). Findings: Results showed that the main reason why people choose to consume responsibly are taking care of their own and their family'</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pStyle w:val="Heading2"/>
      </w:pPr>
      <w:r>
        <w:t>1008.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2025:</w:t>
      </w:r>
      <w:r>
        <w:t xml:space="preserve"> Quality of Life of Women During the Final Four Weeks of Pregnancy (Based on the Findings of a Sociological Study) — https://doi.org/10.25040/lkv2025.02.015</w:t>
      </w:r>
    </w:p>
    <w:p>
      <w:pPr/>
      <w:r>
        <w:rPr>
          <w:b/>
        </w:rPr>
        <w:t>Shared claim-specific concepts:</w:t>
      </w:r>
      <w:r>
        <w:t xml:space="preserve"> findings, four, developed, region; EU scope not established. This is a provisional connection, not an outcome finding.</w:t>
      </w:r>
    </w:p>
    <w:p>
      <w:pPr>
        <w:pStyle w:val="SourceNote"/>
      </w:pPr>
      <w:r>
        <w:rPr>
          <w:b/>
        </w:rPr>
        <w:t>Available abstract (not full text):</w:t>
      </w:r>
      <w:r>
        <w:t xml:space="preserve"> Introduction. The third trimester of pregnancy, particularly its final stage, is characterised by heightened physiological and psycho-emotional vulnerability in women, which significantly influences their subjective perception of quality of life. During this period, quality of life serves as a complex integrative indicator of the level of life functioning and a potential predictor of postpartum adaptation. The aim of the study. To determine the level of quality of life among women during the last four weeks of pregnancy through quantitative analysis of the results of a sociological survey, with the aim of further developing evidence-based multidisciplinary strategies for prevention and support in the field of maternal health. Materials and methods. A one-time epidemiological analytical-descriptive sociological study was conducted among n = 432 women aged 18-48 years old who received medical care in specialised healthcare facilities in Lviv Region in 2024. The research tool was an adapted version of the WHOQOL-BREF questionnaire. Statistical data processing was carried out using proprietary software developed in C# (.Net 9). Results. It was substantiated that P = 72.69 ± 0.33 % of respondents rated their quality of life during the last four weeks of pregnancy as unsatisfactory, while the calculated quality of life index was n = 0.218 (P = 21.76 %), which corresponds to a low lev</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pStyle w:val="Heading2"/>
      </w:pPr>
      <w:r>
        <w:t>1009.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2022:</w:t>
      </w:r>
      <w:r>
        <w:t xml:space="preserve"> Human Biomonitoring Guidance Values (HBM-GVs) for Bisphenol S and Assessment of the Risk Due to the Exposure to Bisphenols A and S, in Europe — https://doi.org/10.3390/toxics10050228</w:t>
      </w:r>
    </w:p>
    <w:p>
      <w:pPr/>
      <w:r>
        <w:rPr>
          <w:b/>
        </w:rPr>
        <w:t>Shared claim-specific concepts:</w:t>
      </w:r>
      <w:r>
        <w:t xml:space="preserve"> assuming, due, exposure; EU scope visible. This is a provisional connection, not an outcome finding.</w:t>
      </w:r>
    </w:p>
    <w:p>
      <w:pPr>
        <w:pStyle w:val="SourceNote"/>
      </w:pPr>
      <w:r>
        <w:rPr>
          <w:b/>
        </w:rPr>
        <w:t>Available abstract (not full text):</w:t>
      </w:r>
      <w:r>
        <w:t xml:space="preserve"> Within the European Joint Programme HBM4EU, Human Biomonitoring Guidance Values (HBM-GVs) were derived for several prioritised substances. In this paper, the derivation of HBM-GVs for the general population (HBM-GVGenPop) and workers (HBM-GVworker) referring to bisphenol S (BPS) is presented. For the general population, this resulted in an estimation of the total urinary concentration of BPS of 1.0 µg/L assuming a 24 h continuous exposure to BPS. For workers, the modelling was refined in order to reflect continuous exposure during the working day, leading to a total urinary concentration of BPS of 3.0 µg/L. The usefulness for risk assessment of the HBM-GVs derived for BPS and bisphenol A (BPA) is illustrated. Risk Characterisation Ratios (RCRs) were calculated leading to a clear difference between risk assessments performed for both bisphenols, with a very low RCR regarding exposure to BPA., contrary to that obtained for BPS. This may be due to the endocrine mediated endpoints selected to derive the HBM-GVs for BPS, whereas the values calculated for BPA are based on the temporary Tolerable Daily Intake (t-TDI) from EFSA set in 2015. A comparison with the revised TDI recently opened for comments by EFSA is also discussed. Regarding the occupational field, results indicate that the risk from occupational exposure to both bisphenols cannot be disregarded.</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pStyle w:val="Heading2"/>
      </w:pPr>
      <w:r>
        <w:t>1010.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2024:</w:t>
      </w:r>
      <w:r>
        <w:t xml:space="preserve"> Findings and methodologies in oral phageome research: a systematic review — https://doi.org/10.1080/20002297.2024.2417099</w:t>
      </w:r>
    </w:p>
    <w:p>
      <w:pPr/>
      <w:r>
        <w:rPr>
          <w:b/>
        </w:rPr>
        <w:t>Shared claim-specific concepts:</w:t>
      </w:r>
      <w:r>
        <w:t xml:space="preserve"> findings, methodologies, present; EU scope not established. This is a provisional connection, not an outcome finding.</w:t>
      </w:r>
    </w:p>
    <w:p>
      <w:pPr>
        <w:pStyle w:val="SourceNote"/>
      </w:pPr>
      <w:r>
        <w:rPr>
          <w:b/>
        </w:rPr>
        <w:t>Available abstract (not full text):</w:t>
      </w:r>
      <w:r>
        <w:t xml:space="preserve"> Background The oral microbiome serves as both an indicator and a mediator of oral health. Evidence indicates that bacteriophages (phages) are widely present in the oral microbiome and exhibit diverse classifications and interactions with human cells and other microbes. These phages constitute the oral phageome, which potentially exerts significant yet unexplored effects on the interplay between oral and general health.Methods Three databases (PubMed/MEDLINE, Embase and Scopus) were searched for metagenomic analyses that investigated the oral phageome. Eligible studies were synthesized based on their methodological approaches and findings.Results A total of 14 articles were included in this systematic review. Among the 14 articles included, there were six studies that discussed disease-related alterations, along with a discursive examination of additional variables such as sampling niches, external interventions and methodologies. The phages that infect Streptococcus Actinomyces Haemophilus, and Veillonella have been discovered to be associated with chronic periodontitis, caries, and pancreatic ductal carcinoma.Conclusions This systematic review focuses on findings and methodologies in oral phageome studies, which were conducted using highly heterogeneous methodologies that explored the oral phageome in multiple directions while placing constraints on quantitative statistics. Co</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r>
        <w:rPr>
          <w:b/>
        </w:rPr>
        <w:t>POSSIBLE 2023:</w:t>
      </w:r>
      <w:r>
        <w:t xml:space="preserve"> Genome-wide association study identifies several loci for HEV seropositivity — https://doi.org/10.1016/j.isci.2023.107586</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Hepatitis E viral (HEV) infection imposes a heavy global health burden. The variability in the prevalence of serological markers of HEV infection between different ethnic groups proposes a host genetic influence. Here, we report genetic polymorphisms associated with anti-HEV antibody positivity and level using binary- and quantitative-trait genome-wide association studies (GWAS) on a population from Qatar (n = 5829). We identified a region in 12p11.1 (lead SNP: rs559856097, allele: A, p = 2.3 × 10 −10 ) significantly associated with anti-HEV antibodies level. This intergenic variant is located near SNORD112, a small nucleolar RNA (snoRNA). Additional gene-set and pathway enrichment analyses highlighted a strong correlation with anti-viral response-related pathways, including IFNs (alpha/beta) and interleukin-21 (IL-21) signaling. This is the first GWAS on the response to HEV infection. Further replication and functional experimentation are warranted to validate these findings.</w:t>
      </w:r>
    </w:p>
    <w:p>
      <w:pPr/>
      <w:r>
        <w:rPr>
          <w:b/>
        </w:rPr>
        <w:t>POSSIBLE 2023:</w:t>
      </w:r>
      <w:r>
        <w:t xml:space="preserve"> New approach methodologies in human regulatory toxicology – Not if, but how and when! — https://doi.org/10.1016/j.envint.2023.108082</w:t>
      </w:r>
    </w:p>
    <w:p>
      <w:pPr/>
      <w:r>
        <w:rPr>
          <w:b/>
        </w:rPr>
        <w:t>Shared claim-specific concepts:</w:t>
      </w:r>
      <w:r>
        <w:t xml:space="preserve"> findings, several, methodologies, here; EU scope not established. This is a provisional connection, not an outcome finding.</w:t>
      </w:r>
    </w:p>
    <w:p>
      <w:pPr>
        <w:pStyle w:val="SourceNote"/>
      </w:pPr>
      <w:r>
        <w:rPr>
          <w:b/>
        </w:rPr>
        <w:t>Available abstract (not full text):</w:t>
      </w:r>
      <w:r>
        <w:t xml:space="preserve"> The predominantly animal-centric approach of chemical safety assessment has increasingly come under pressure. Society is questioning overall performance, sustainability, continued relevance for human health risk assessment and ethics of this system, demanding a change of paradigm. At the same time, the scientific toolbox used for risk assessment is continuously enriched by the development of "New Approach Methodologies" (NAMs). While this term does not define the age or the state of readiness of the innovation, it covers a wide range of methods, including quantitative structure-activity relationship (QSAR) predictions, high-throughput screening (HTS) bioassays, omics applications, cell cultures, organoids, microphysiological systems (MPS), machine learning models and artificial intelligence (AI). In addition to promising faster and more efficient toxicity testing, NAMs have the potential to fundamentally transform today's regulatory work by allowing more human-relevant decision-making in terms of both hazard and exposure assessment. Yet, several obstacles hamper a broader application of NAMs in current regulatory risk assessment. Constraints in addressing repeated-dose toxicity, with particular reference to the chronic toxicity, and hesitance from relevant stakeholders, are major challenges for the implementation of NAMs in a broader context. Moreover, issues regarding predicti</w:t>
      </w:r>
    </w:p>
    <w:p>
      <w:pPr>
        <w:pStyle w:val="Heading2"/>
      </w:pPr>
      <w:r>
        <w:t>1011.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2026:</w:t>
      </w:r>
      <w:r>
        <w:t xml:space="preserve"> Subject-verb agreement in Down Syndrome: morphosyntactic analysis and cross-linguistic predictions on universal defaults — https://doi.org/10.3765/plsa.v11i1.6133</w:t>
      </w:r>
    </w:p>
    <w:p>
      <w:pPr/>
      <w:r>
        <w:rPr>
          <w:b/>
        </w:rPr>
        <w:t>Shared claim-specific concepts:</w:t>
      </w:r>
      <w:r>
        <w:t xml:space="preserve"> predictions, same, predicted; EU scope not established. This is a provisional connection, not an outcome finding.</w:t>
      </w:r>
    </w:p>
    <w:p>
      <w:pPr>
        <w:pStyle w:val="SourceNote"/>
      </w:pPr>
      <w:r>
        <w:rPr>
          <w:b/>
        </w:rPr>
        <w:t>Available abstract (not full text):</w:t>
      </w:r>
      <w:r>
        <w:t xml:space="preserve"> While studies on English individuals with Down syndrome (DS) report impaired performance with the production of subject-verb (S/V) agreement, Schaner-Wolles (2004) shows close to ceiling performance with the production of S/V agreement for German indi­viduals with DS. This study reports on findings from the production of S/V agreement of Cypriot Greek adults diagnosed with DS and offers preliminary predictions with the purpose of disambiguating whether individuals with DS present a cross-linguistic impairment. The production of inflectional person and number marking was examined with sixteen Cypriot Greek individuals with DS and seventeen typically developing children, through nine sponta­neous and controlled elicitation tasks. The morphosyntactic analysis reveals close to ceiling performance with 98.5% accuracy for person and 99% accuracy for number. Results revealed a clear systematicity in selecting the default value for each inflectional feature: the 3rd value for person and the singular value for number. Considering results from seven languages, it is predicted that the underlying coping strategy, whether it surfaces as an optional infinitive or a default feature value, is the same; namely, the use of a default form.</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2023:</w:t>
      </w:r>
      <w:r>
        <w:t xml:space="preserve"> Prediction in ecology and evolution — https://doi.org/10.1093/biosci/biad083</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Abstract Prediction is frequently asserted to be the sine qua non of science, but prediction means different things to different people in different contexts. I organize and explain this diversity by addressing five questions. What does it mean to predict something? To answer this question, I describe concepts of prediction as prophecy, diagnosis, history, repeatability, and fate. What are we trying to predict? Here, I describe how predictions vary along several axes: general to specific, qualitative to quantitative, relative to absolute, point to range, and continuous to discontinuous. Where do predictions come from? In this case, I focus on deductive versus inductive reasoning. How do we test predictions? The answer here is not straightforward and I discuss various approaches and difficulties. How good are predictions? Not surprisingly, it depends on what is being predicted and how we judge success. Importantly, I do not espouse a “best” way to approach prediction but, rather, I outline its diverse manifestations so as to help organize practical thinking on the topic.</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2020:</w:t>
      </w:r>
      <w:r>
        <w:t xml:space="preserve"> Predictions of Anterior Cruciate Ligament Dynamics From Subject-Specific Musculoskeletal Models and Dynamic Biplane Radiography — https://doi.org/10.1115/1.4048710</w:t>
      </w:r>
    </w:p>
    <w:p>
      <w:pPr/>
      <w:r>
        <w:rPr>
          <w:b/>
        </w:rPr>
        <w:t>Shared claim-specific concepts:</w:t>
      </w:r>
      <w:r>
        <w:t xml:space="preserve"> predictions, range, predicted; EU scope not established. This is a provisional connection, not an outcome finding.</w:t>
      </w:r>
    </w:p>
    <w:p>
      <w:pPr>
        <w:pStyle w:val="SourceNote"/>
      </w:pPr>
      <w:r>
        <w:rPr>
          <w:b/>
        </w:rPr>
        <w:t>Available abstract (not full text):</w:t>
      </w:r>
      <w:r>
        <w:t xml:space="preserve"> In vivo knee ligament forces are important to consider for informing rehabilitation or clinical interventions. However, they are difficult to directly measure during functional activities. Musculoskeletal models and simulations have become the primary methods by which to estimate in vivo ligament loading. Previous estimates of anterior cruciate ligament (ACL) forces range widely, suggesting that individualized anatomy may have an impact on these predictions. Using ten subject-specific (SS) lower limb musculoskeletal models, which include individualized musculoskeletal geometry, muscle architecture, and six degree-of-freedom knee joint kinematics from dynamic biplane radiography (DBR), this study provides SS estimates of ACL force (anteromedial-aACL; and posterolateral-pACL bundles) during the full gait cycle of treadmill walking. These forces are compared to estimates from scaled-generic (SG) musculoskeletal models to assess the effect of musculoskeletal knee joint anatomy on predicted forces and the benefit of SS modeling in this context. On average, the SS models demonstrated a double force peak during stance (0.39-0.43 xBW per bundle), while only a single force peak during stance was observed in the SG aACL. No significant differences were observed between continuous SG and SS ACL forces; however, root mean-squared differences between SS and SG predictions ranged from 0.08 x</w:t>
      </w:r>
    </w:p>
    <w:p>
      <w:pPr/>
      <w:r>
        <w:rPr>
          <w:b/>
        </w:rPr>
        <w:t>POSSIBLE 2019:</w:t>
      </w:r>
      <w:r>
        <w:t xml:space="preserve"> Detailed subject-specific FE rib modeling for fracture prediction — https://doi.org/10.1080/15389588.2019.1665649</w:t>
      </w:r>
    </w:p>
    <w:p>
      <w:pPr/>
      <w:r>
        <w:rPr>
          <w:b/>
        </w:rPr>
        <w:t>Shared claim-specific concepts:</w:t>
      </w:r>
      <w:r>
        <w:t xml:space="preserve"> predictions, subject, predicted; EU scope not established. This is a provisional connection, not an outcome finding.</w:t>
      </w:r>
    </w:p>
    <w:p>
      <w:pPr>
        <w:pStyle w:val="SourceNote"/>
      </w:pPr>
      <w:r>
        <w:rPr>
          <w:b/>
        </w:rPr>
        <w:t>Available abstract (not full text):</w:t>
      </w:r>
      <w:r>
        <w:t xml:space="preserve"> Objective: The current state of the art human body models (HBMs) underpredict the number of fractured ribs. Also, it has not been shown that the models can predict the fracture locations. Efforts have been made to create subject specific rib models for fracture prediction, with mixed results. The aim of this study is to evaluate if subject-specific finite element (FE) rib models, based on state-of-the-art clinical CT data combined with subject-specific material data, can predict rib stiffness and fracture location in anterior-posterior rib bending.Method: High resolution clinical CT data was used to generate detailed subject-specific geometry for twelve FE models of the sixth rib. The cortical bone periosteal and endosteal surfaces were estimated based on a previously calibrated cortical bone mapping algorithm. The cortical and the trabecular bone were modeled using a hexa-block algorithm. The isotropic material model for the cortical bone in each rib model was assigned subject-specific material data based on tension coupon tests. Two different modeling strategies were used for the trabecular bone.The capability of the FE model to predict fracture location was carried out by modeling physical dynamic anterior-posterior rib bending tests. The rib model predictions were directly compared to the results from the tests. The predicted force-displacement time history, strain measurem</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2017:</w:t>
      </w:r>
      <w:r>
        <w:t xml:space="preserve"> Scaling range sizes to threats for robust predictions of risks to biodiversity — https://doi.org/10.1111/cobi.12988</w:t>
      </w:r>
    </w:p>
    <w:p>
      <w:pPr/>
      <w:r>
        <w:rPr>
          <w:b/>
        </w:rPr>
        <w:t>Shared claim-specific concepts:</w:t>
      </w:r>
      <w:r>
        <w:t xml:space="preserve"> predictions, subject, range, simulation; EU scope not established. This is a provisional connection, not an outcome finding.</w:t>
      </w:r>
    </w:p>
    <w:p>
      <w:pPr>
        <w:pStyle w:val="SourceNote"/>
      </w:pPr>
      <w:r>
        <w:rPr>
          <w:b/>
        </w:rPr>
        <w:t>Available abstract (not full text):</w:t>
      </w:r>
      <w:r>
        <w:t xml:space="preserve"> Assessments of risk to biodiversity often rely on spatial distributions of species and ecosystems. Range-size metrics used extensively in these assessments, such as area of occupancy (AOO), are sensitive to measurement scale, prompting proposals to measure them at finer scales or at different scales based on the shape of the distribution or ecological characteristics of the biota. Despite its dominant role in red-list assessments for decades, appropriate spatial scales of AOO for predicting risks of species' extinction or ecosystem collapse remain untested and contentious. There are no quantitative evaluations of the scale-sensitivity of AOO as a predictor of risks, the relationship between optimal AOO scale and threat scale, or the effect of grid uncertainty. We used stochastic simulation models to explore risks to ecosystems and species with clustered, dispersed, and linear distribution patterns subject to regimes of threat events with different frequency and spatial extent. Area of occupancy was an accurate predictor of risk (0.81&lt;|r|&lt;0.98) and performed optimally when measured with grid cells 0.1-1.0 times the largest plausible area threatened by an event. Contrary to previous assertions, estimates of AOO at these relatively coarse scales were better predictors of risk than finer-scale estimates of AOO (e.g., when measurement cells are &lt;1% of the area of the largest threat)</w:t>
      </w:r>
    </w:p>
    <w:p>
      <w:pPr>
        <w:pStyle w:val="Heading2"/>
      </w:pPr>
      <w:r>
        <w:t>1012.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Methodology of Threats Outlooks Development to EU Civil Security — https://doi.org/10.64211/oidaijsd190705</w:t>
      </w:r>
    </w:p>
    <w:p>
      <w:pPr/>
      <w:r>
        <w:rPr>
          <w:b/>
        </w:rPr>
        <w:t>Shared claim-specific concepts:</w:t>
      </w:r>
      <w:r>
        <w:t xml:space="preserve"> long-term, tools, civil; EU scope visible. This is a provisional connection, not an outcome finding.</w:t>
      </w:r>
    </w:p>
    <w:p>
      <w:pPr>
        <w:pStyle w:val="SourceNote"/>
      </w:pPr>
      <w:r>
        <w:rPr>
          <w:b/>
        </w:rPr>
        <w:t>Available abstract (not full text):</w:t>
      </w:r>
      <w:r>
        <w:t xml:space="preserve"> The growth of multidimensional natural, man-made, terrorist and cyber threats creates a new level of systemic complexity for the civil security of the European Union and necessitates the modernization of analytical approaches to their forecasting. The relevance of the study is enhanced by the fact that traditional risk assessment tools do not take into account hidden correlations, cascading effects and nonlinear interactions between different categories of threats. The purpose of the study is to develop and scientifically substantiate an integrated methodology for forecasting threats to EU civilian security based on international statistics and modern econometric methods. The methodological framework includes descriptive time series analysis, principal component analysis (PCA) to identify the latent structure of multidimensional threats, and ARIMA and VAR econometric models to quantify the dynamics and cross-sectoral interactions of risks. The results showed that natural and man-made threats demonstrate steady upward trends, terrorist activity is characterized by wave-like dynamics, and cyber threats are growing most intensively and least predictably. PCA allowed us to identify three integral latent components – digital instability, environmental and technological vulnerability, and socio-political turbulence – which together explain 72.6% of the total variance. ARIMA models re</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2025:</w:t>
      </w:r>
      <w:r>
        <w:t xml:space="preserve"> Research on the connection between long-term care insurance and the personality rights section of the Civil Code — https://doi.org/10.54254/2753-7102/2025.29996</w:t>
      </w:r>
    </w:p>
    <w:p>
      <w:pPr/>
      <w:r>
        <w:rPr>
          <w:b/>
        </w:rPr>
        <w:t>Shared claim-specific concepts:</w:t>
      </w:r>
      <w:r>
        <w:t xml:space="preserve"> long-term, civil, protection, provisions, design; EU scope not established. This is a provisional connection, not an outcome finding.</w:t>
      </w:r>
    </w:p>
    <w:p>
      <w:pPr>
        <w:pStyle w:val="SourceNote"/>
      </w:pPr>
      <w:r>
        <w:rPr>
          <w:b/>
        </w:rPr>
        <w:t>Available abstract (not full text):</w:t>
      </w:r>
      <w:r>
        <w:t xml:space="preserve"> With the aging trend in Chinese society, the protection of the personality rights of the elderly has become increasingly prominent in long-term care services. This article aims to analyze the issues related to personality rights such as privacy rights, personal dignity, and living freedom and, in combination with relevant provisions of the Civil Code, explore how future long-term care insurance legislation can incorporate content related to personality rights protection. This article suggests embedding special provisions for personality rights protection in the design of long-term care insurance legislation, clearly defining basic rights such as privacy protection, dignity maintenance, and living freedom in the care services, and proposing the establishment of a classification recognition mechanism for tort liability of nursing institutions. It also advocates formulating ethical norms for the application of artificial intelligence, and strengthening risk monitoring and personal information protection through technological means. In the future, the long-term care insurance system will pay more attention to the combination of personality rights protection and technological empowerment, promote the integration of intelligent guardianship and humanized services, and gradually form a multi-level protection system based on the Civil Code and supported by industry standards, in order </w:t>
      </w:r>
    </w:p>
    <w:p>
      <w:pPr/>
      <w:r>
        <w:rPr>
          <w:b/>
        </w:rPr>
        <w:t>POSSIBLE 2024:</w:t>
      </w:r>
      <w:r>
        <w:t xml:space="preserve"> Civil Society as the Arena of the New European Climate Hegemony — https://doi.org/10.62560/csz.2024.02.01</w:t>
      </w:r>
    </w:p>
    <w:p>
      <w:pPr/>
      <w:r>
        <w:rPr>
          <w:b/>
        </w:rPr>
        <w:t>Shared claim-specific concepts:</w:t>
      </w:r>
      <w:r>
        <w:t xml:space="preserve"> important, civil, against; EU scope visible. This is a provisional connection, not an outcome finding.</w:t>
      </w:r>
    </w:p>
    <w:p>
      <w:pPr>
        <w:pStyle w:val="SourceNote"/>
      </w:pPr>
      <w:r>
        <w:rPr>
          <w:b/>
        </w:rPr>
        <w:t>Available abstract (not full text):</w:t>
      </w:r>
      <w:r>
        <w:t xml:space="preserve"> Using a neo-Gramscian approach, this paper explores the concept of civil society as an arena where European climate hegemony is built. The EU’s green transition, which involves deep social and economic transformations, needs extensive popular support to avoid social instability and the rise of populist parties. To achieve this, the European Commission is trying to construct a counter-hegemonic discourse that challenges the traditional modes of a fossil fuel-based economy by creating an alliance of actors around the ideology of just transition. Therefore, the study addresses the following research question: who are the change agents within European civil society that have aligned with the alliance, and how is fostering a counter-hegemonic discourse against the traditional economic model? By employing a qualitative methodological approach, the study explores the crucial function of civil society in the European green transition, exposing the most important agents and how these agents facilitate the formation of a new climate hegemony.</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pStyle w:val="Heading2"/>
      </w:pPr>
      <w:r>
        <w:t>1013.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Mapping winter climate zoning variations in Europe under climate change scenarios — https://doi.org/10.1088/1742-6596/3140/2/022018</w:t>
      </w:r>
    </w:p>
    <w:p>
      <w:pPr/>
      <w:r>
        <w:rPr>
          <w:b/>
        </w:rPr>
        <w:t>Shared claim-specific concepts:</w:t>
      </w:r>
      <w:r>
        <w:t xml:space="preserve"> climate, temperature, understand; EU scope visible. This is a provisional connection, not an outcome finding.</w:t>
      </w:r>
    </w:p>
    <w:p>
      <w:pPr>
        <w:pStyle w:val="SourceNote"/>
      </w:pPr>
      <w:r>
        <w:rPr>
          <w:b/>
        </w:rPr>
        <w:t>Available abstract (not full text):</w:t>
      </w:r>
      <w:r>
        <w:t xml:space="preserve"> Abstract The attribution of a specific climate zone to a Municipality or a Local Administrative Unit (LAU) level in the European Member States is fundamental to support the definition of EPBD correlated decisions, e.g. activation periods of heating systems or minimal U-values. Climate change also impacts this specific attribute, requiring progressively upgrading this indicator. The paper computes local climate zones, adopting the Italian regulation approach, based on daily heating degree days with a base temperature set to 20°C. Zoning is applied to the whole European territory with a detail of about 10km, i.e. 0.1° in both latitude and longitude. This high precision allows to understand climate change variations better. The calculation is supported by integrating, inside our new dynamic simulation platform PREDYCE, this Key Performance Indicator (KPI) and by computing it via our server facility. Different climate databases are managed: ERA5-land re-analysis (1950–2023) database and four EUROCORDEX couples of global-regional climate models (historical 1970–2005, and future projections 2010–2100). A series of maps showing the progressive variations of the local climate zone, from A (less than 600 HDD) to F (more than 3000 HDD), is produced. The study shows substantial variations in climate zoning, with a growing progressive impact from Southern European regions to Northern Europ</w:t>
      </w:r>
    </w:p>
    <w:p>
      <w:pPr/>
      <w:r>
        <w:rPr>
          <w:b/>
        </w:rPr>
        <w:t>POSSIBLE 2025:</w:t>
      </w:r>
      <w:r>
        <w:t xml:space="preserve"> Land Use Interacts With Climate to Influence Microbial Diversity‐To‐Biomass Ratios Across Europe via Soil Organic Carbon and Nitrogen — https://doi.org/10.1111/mec.17806</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Ecosystem functioning is potentially dependent on the relationships between soil microbial diversity and biomass. Yet, it remains unclear how land use and climate influence these relationships. Here, we (i) analysed relationships and ratios between richness and biomass of bacteria and fungi in ~500 soils across Europe, including three land-use types (woodlands, grasslands and croplands) and climates (cold, temperate and arid) and (ii) identified the driving factors of changes in richness:biomass (R:B) ratios. Richness and biomass of soil bacteria and fungi followed a unimodal pattern, with a peak in mid-levels of biomass. This pattern was more evident in bacteria and more clearly exerted by land use than by climate. Bacterial R:B ratios decreased with land use in the following order: croplands &gt; woodlands &gt; grasslands. Fungal R:B ratios decreased as follows: grasslands &gt; croplands &gt; woodlands. Climate was found to interact with land use. In this way, arid climate tended to increase bacterial R:B ratios in the different land uses; however, the agricultural practices associated with croplands seem to buffer this effect. In fungi, the interactive effect of land use and climate was less straightforward than for bacteria. According to our models, soil organic carbon (SOC) and total nitrogen (N) in bacteria and SOC in fungi were identified as the primary predictors of R:B ratios. The</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precipitation;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1014.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2026:</w:t>
      </w:r>
      <w:r>
        <w:t xml:space="preserve"> Pharmacokinetics, subject satisfaction, and tolerability of a novel oral iron formulation based on naturally occurring microalgae Spirulina platensis — https://doi.org/10.64898/2026.09.15.26363044</w:t>
      </w:r>
    </w:p>
    <w:p>
      <w:pPr/>
      <w:r>
        <w:rPr>
          <w:b/>
        </w:rPr>
        <w:t>Shared claim-specific concepts:</w:t>
      </w:r>
      <w:r>
        <w:t xml:space="preserve"> exposure, not, subject, any, use, level; EU scope not established. This is a provisional connection, not an outcome finding.</w:t>
      </w:r>
    </w:p>
    <w:p>
      <w:pPr>
        <w:pStyle w:val="SourceNote"/>
      </w:pPr>
      <w:r>
        <w:rPr>
          <w:b/>
        </w:rPr>
        <w:t>Available abstract (not full text):</w:t>
      </w:r>
      <w:r>
        <w:t xml:space="preserve"> Abstract Introduction Study to evaluate the pharmacokinetics (PK), subject satisfaction, and gastrointestinal (GI) tolerability of single and multiple doses of a novel oral iron formulation based on iron enriched microalgae Spirulina platensis supplemented with inactivated yeast. Methods Twelve healthy women with baseline serum iron 4–12 µmol/L (22.3–67.0 µg/dL) were admitted to the study site for 3 days in this single centre, multiple-dose, open-label study. Subjects received an oral dose of Monurelle ® Ferro Naturale (MFN) on Days 1, 2, and 3. Blood for PK analysis was collected pre-dose (0) and at 1, 2, 3, 4, 5, 8 hours after dosing on Days 1 and 3, with assessment of subject satisfaction and GI tolerability performed 3 hours after each dose. Results Both single and multiple dosing with MFN led to a defined peak level (C max ) and increased systemic exposure (AUC 0-t ), with serum iron rising to almost double the circulating amount at 5 h post-dose (t max ). Mean (±SD) percent change from baseline at 5 h post-dose was 94.7% (±56.1) on Day 1 and 72.0% (±70.7) on Day 3. The majority of subjects reported being satisfied with the product and would use it again in the future. MFN was very well tolerated, with only one adverse event (AE) reported (episode of vomiting after the first dose, that lasted for one minute and did not recur after the two further doses of MFN). No other su</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2025:</w:t>
      </w:r>
      <w:r>
        <w:t xml:space="preserve"> Assessing radiofrequency electromagnetic field exposure in multiple microenvironments across ten European countries with a focus on 5G — https://doi.org/10.1016/j.envint.2025.109540</w:t>
      </w:r>
    </w:p>
    <w:p>
      <w:pPr/>
      <w:r>
        <w:rPr>
          <w:b/>
        </w:rPr>
        <w:t>Shared claim-specific concepts:</w:t>
      </w:r>
      <w:r>
        <w:t xml:space="preserve"> exposure, limits, levels, however; EU scope visible. This is a provisional connection, not an outcome finding.</w:t>
      </w:r>
    </w:p>
    <w:p>
      <w:pPr>
        <w:pStyle w:val="SourceNote"/>
      </w:pPr>
      <w:r>
        <w:rPr>
          <w:b/>
        </w:rPr>
        <w:t>Available abstract (not full text):</w:t>
      </w:r>
      <w:r>
        <w:t xml:space="preserve"> To evaluate the implementation of 5G in Europe, we have systematically measured environmental, auto-induced downlink (DL) and uplink (UL) radiofrequency electromagnetic field (RF-EMF) exposure in more than 800 microenvironments in ten European countries. Outdoor, indoor, and public transport microenvironments were measured in two cities and three villages in each country. Exposure was measured during three mobile-phone user scenarios: flight mode (non-user), inducing maximum DL traffic (max DL) or maximum UL traffic (max UL). The mobile phone was carried in a backpack, placed 30 cm from an ExpoM-RF 4 that continuously measured 35 frequency bands (87.5 MHz–6 GHz). For each user scenario, mean exposure levels were calculated. In the non-user scenario, mean exposure levels ranged from 0.33 to 1.72 mW/m 2 per country and were lower in Switzerland, Belgium and Italy. RF-EMF levels were, on average, 80 % lower in villages compared to cities, with DL bands contributing the most in this scenario. During max DL, exposure increased mainly due to the 5G band at 3.5 GHz (mean exposure per country 2.61–11.12 mW/m 2 ). However, the time-division nature of this band prevents distinguishing between DL and UL signals with the ExpoM-RF 4. Exposure levels were the highest during max UL, particularly in the Netherlands, Italy and Belgium, with 50 % of the mean levels per country above 16 mW/m 2 . </w:t>
      </w:r>
    </w:p>
    <w:p>
      <w:pPr/>
      <w:r>
        <w:rPr>
          <w:b/>
        </w:rPr>
        <w:t>POSSIBLE 2025:</w:t>
      </w:r>
      <w:r>
        <w:t xml:space="preserve"> Nanomaterials in food packaging: An overview of regulatory frameworks and migration assessment — https://doi.org/10.1016/j.foodcont.2025.111707</w:t>
      </w:r>
    </w:p>
    <w:p>
      <w:pPr/>
      <w:r>
        <w:rPr>
          <w:b/>
        </w:rPr>
        <w:t>Shared claim-specific concepts:</w:t>
      </w:r>
      <w:r>
        <w:t xml:space="preserve"> regulatory, not, however; EU scope not established. This is a provisional connection, not an outcome finding.</w:t>
      </w:r>
    </w:p>
    <w:p>
      <w:pPr>
        <w:pStyle w:val="SourceNote"/>
      </w:pPr>
      <w:r>
        <w:rPr>
          <w:b/>
        </w:rPr>
        <w:t>Available abstract (not full text):</w:t>
      </w:r>
      <w:r>
        <w:t xml:space="preserve"> Nanotechnologies hold significant promise for supporting the design of advanced food packaging materials with tunable properties. However, this potential is limited by an important knowledge gap about the migration of nanoparticles from the packaging material into food. So far, accurately measuring specific migration remains a major challenge. Current analytical methods mainly focus on inorganic systems such as metal and metal oxide nanomaterials. In contrast, the migration of organic nanomaterials is usually assessed through broad, non-specific overall migration measurements, which do not provide key data on the transfer of the nano-objects themselves. This review critically addresses this gap by: (1) systematically examining the migration behavior of inorganic, organic, and hybrid nanomaterials in food packaging; (2) evaluating the strengths and limitations of current analytical techniques for their detection and measurement; and (3) analyzing regulatory frameworks. The findings of this work highlight the existing analytical techniques as insufficient for tracking the specific migration of nanoscale organic materials from food contact materials (FCM). It also emphasizes the urgent need for unified analytical methods, reliable predictive models, and adaptable regulatory oversight to connect innovation with safety in nanotechnology-based food packaging materials.</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pStyle w:val="Heading2"/>
      </w:pPr>
      <w:r>
        <w:t>1015.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2026:</w:t>
      </w:r>
      <w:r>
        <w:t xml:space="preserve"> The UAE- European Union Strategic and Security Partnership — https://doi.org/10.47772/ijriss.2026.100800111</w:t>
      </w:r>
    </w:p>
    <w:p>
      <w:pPr/>
      <w:r>
        <w:rPr>
          <w:b/>
        </w:rPr>
        <w:t>Shared claim-specific concepts:</w:t>
      </w:r>
      <w:r>
        <w:t xml:space="preserve"> strategic, drivers, key; EU scope visible. This is a provisional connection, not an outcome finding.</w:t>
      </w:r>
    </w:p>
    <w:p>
      <w:pPr>
        <w:pStyle w:val="SourceNote"/>
      </w:pPr>
      <w:r>
        <w:rPr>
          <w:b/>
        </w:rPr>
        <w:t>Available abstract (not full text):</w:t>
      </w:r>
      <w:r>
        <w:t xml:space="preserve"> This paper examines the evolving security partnership between the United Arab Emirates (UAE) and the European Union (EU) in the context of contemporary geopolitical challenges. It aims to analyze the implications of this partnership for regional stability, security cooperation, and economic integration. The research questions guiding this study include: What are the key drivers of UAE-EU security cooperation? How do shared interests and strategic priorities shape the partnership? What challenges and opportunities arise from this collaboration? The findings indicate that the UAE-EU partnership is characterized by a multifaceted approach that encompasses military cooperation, counterterrorism efforts, and responses to non-traditional security threats. However, the partnership also faces challenges, including divergent political priorities and human rights concerns. Overall, the study highlights the importance of a structured and integrated approach to enhance the effectiveness of the UAE-EU security partnership while addressing regional complexities. 1. What are the key drivers of UAE-EU security cooperation? 2. How do shared interests and strategic priorities shape the partnership? The findings reveal that the UAE-EU partnership is driven by mutual interests in regional stability, energy security, and counterterrorism. The collaboration has led to enhanced military cooperation, </w:t>
      </w:r>
    </w:p>
    <w:p>
      <w:pPr>
        <w:pStyle w:val="Heading2"/>
      </w:pPr>
      <w:r>
        <w:t>1016.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2025:</w:t>
      </w:r>
      <w:r>
        <w:t xml:space="preserve"> Measures and estimators of predictive uncertainty in deep learning — https://openalex.org/W7111979649</w:t>
      </w:r>
    </w:p>
    <w:p>
      <w:pPr/>
      <w:r>
        <w:rPr>
          <w:b/>
        </w:rPr>
        <w:t>Shared claim-specific concepts:</w:t>
      </w:r>
      <w:r>
        <w:t xml:space="preserve"> so-called, critical, found; EU scope not established. This is a provisional connection, not an outcome finding.</w:t>
      </w:r>
    </w:p>
    <w:p>
      <w:pPr>
        <w:pStyle w:val="SourceNote"/>
      </w:pPr>
      <w:r>
        <w:rPr>
          <w:b/>
        </w:rPr>
        <w:t>Available abstract (not full text):</w:t>
      </w:r>
      <w:r>
        <w:t xml:space="preserve"> Machine learning systems, especially those based on deep learning, have achieved remarkable performance across a wide range of tasks over the past decade. However, the integration of these powerful systems into high-stakes domains, such as autonomous driving or critical healthcare systems, presents significant risks due to the severe consequences of incorrect or uncertain predictions. To mitigate these risks, it is essential to quantify predictive uncertainty and avoid potentially unsafe automated decisions in ambiguous or unknown situations. However, deep learning models often lack the ability to provide well-calibrated uncertainty estimates, limiting their reliability in critical applications. The aim of this thesis is to advance how to measure and estimate predictive uncertainty with an emphasis on deep learning models. Regarding how to measure predictive uncertainty, we introduce a flexible framework of predictive uncertainty measures, which is suitable for modern deep learning practices, such as using pre-trained models. To better estimate many of the resulting measures, more explicitly their epistemic components, we introduce a new sampling method. Contrary to previous methods, our method explicitly searches for models that disagree with a reference model for a new test point, yet explain the training data equally well. Furthermore, we investigate how to measure predictiv</w:t>
      </w:r>
    </w:p>
    <w:p>
      <w:pPr/>
      <w:r>
        <w:rPr>
          <w:b/>
        </w:rPr>
        <w:t>POSSIBLE 2025:</w:t>
      </w:r>
      <w:r>
        <w:t xml:space="preserve"> Management decisions under radical uncertainty — https://doi.org/10.1108/md-01-2025-0079</w:t>
      </w:r>
    </w:p>
    <w:p>
      <w:pPr/>
      <w:r>
        <w:rPr>
          <w:b/>
        </w:rPr>
        <w:t>Shared claim-specific concepts:</w:t>
      </w:r>
      <w:r>
        <w:t xml:space="preserve"> so-called, critical, related; EU scope not established. This is a provisional connection, not an outcome finding.</w:t>
      </w:r>
    </w:p>
    <w:p>
      <w:pPr>
        <w:pStyle w:val="SourceNote"/>
      </w:pPr>
      <w:r>
        <w:rPr>
          <w:b/>
        </w:rPr>
        <w:t>Available abstract (not full text):</w:t>
      </w:r>
      <w:r>
        <w:t xml:space="preserve"> Purpose Uncertainty is part and parcel of managerial decision-making processes, yet it poses challenges managers often prefer to avoid. Research has suggested that managers can recognize heuristic cues in uncertain environments to support their decisions. However, there are times when even these heuristics and cues are absent, leaving managers to confront radical uncertainty; a state characterized by a complete lack of probabilistic and qualitative information. This form of uncertainty is especially challenging as it involves grappling with unknown unknowns – unforeseen situations that are not anticipated and whose outcomes cannot be calculated. The purpose of this paper is to understand how managers and companies can navigate this. Design/methodology/approach In this In Motion paper, we partner up with two executive vice presidents to practically contribute to this understanding by examining a specific case: ASML – an innovation giant in the semiconductor industry that thrives under conditions of radical uncertainty. Specifically, we combine field observations and reflections to answer the research question: how do firms not just innovate but thrive amidst radical uncertainty? Findings We identify three critical approaches of ASML; managing foresight relationships, a dynamic and deliberate uncertainty approach and parallel team development and explain how these help managers u</w:t>
      </w:r>
    </w:p>
    <w:p>
      <w:pPr>
        <w:pStyle w:val="Heading2"/>
      </w:pPr>
      <w:r>
        <w:t>1017. Research update · 26 October 2026 — independently check before citing</w:t>
      </w:r>
    </w:p>
    <w:p>
      <w:pPr/>
      <w:r>
        <w:t>12 researched cases. External LLM checks are not editorial verification; these connections are not prediction scores.</w:t>
      </w:r>
    </w:p>
    <w:p>
      <w:pPr>
        <w:pStyle w:val="Heading2"/>
      </w:pPr>
      <w:r>
        <w:t>1018.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1019.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1020.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1021.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1022.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1023.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1024.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1025.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1026.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1027.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1028.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1029.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