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group-79aec264a8d4ad79bda1</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Urban cooperation for sustainable development in Europe: a co-designed methodology to foster multi-level governance — https://doi.org/10.1108/ijpsm-12-2025-0662</w:t>
      </w:r>
    </w:p>
    <w:p>
      <w:pPr/>
      <w:r>
        <w:rPr>
          <w:b/>
        </w:rPr>
        <w:t>Later source:</w:t>
      </w:r>
      <w:r>
        <w:t xml:space="preserve"> Methodologies for the design of positive energy districts: A scoping literature review and a proposal for a new approach (PlanPED) — https://doi.org/10.1016/j.buildenv.2024.111667</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group-00bdbb0525623c3e5583</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Current and projected regional economic impacts of heatwaves in Europe — https://doi.org/10.1038/s41467-021-26050-z</w:t>
      </w:r>
    </w:p>
    <w:p>
      <w:pPr/>
      <w:r>
        <w:rPr>
          <w:b/>
        </w:rPr>
        <w:t>Later source:</w:t>
      </w:r>
      <w:r>
        <w:t xml:space="preserve"> Economic Burden of Physical Inactivity in Europe — https://doi.org/10.71125/sporteconres.25</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group-e72d66e78b72ef6b75d7</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EU Railways: Contribution to Decarbonisation Solution — https://doi.org/10.31857/s0201708324020062</w:t>
      </w:r>
    </w:p>
    <w:p>
      <w:pPr/>
      <w:r>
        <w:rPr>
          <w:b/>
        </w:rPr>
        <w:t>Later source:</w:t>
      </w:r>
      <w:r>
        <w:t xml:space="preserve"> “The impact of energy efficiency and decarbonisation policies on the European road transport sector” — https://doi.org/10.1016/j.tra.2023.103623</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group-95a5afad95a686a30531</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Projections of streamflow intermittence under climate change in European drying river networks — https://doi.org/10.5194/hess-29-1615-2025</w:t>
      </w:r>
    </w:p>
    <w:p>
      <w:pPr/>
      <w:r>
        <w:rPr>
          <w:b/>
        </w:rPr>
        <w:t>Later source:</w:t>
      </w:r>
      <w:r>
        <w:t xml:space="preserve"> Changes in universal thermal climate index from regional climate model projections over European beaches — https://doi.org/10.1016/j.cliser.2024.100447</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group-b1d659edae3729afb891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Population exposure to multiple air pollutants and its compound episodes in Europe — https://doi.org/10.1038/s41467-024-46103-3</w:t>
      </w:r>
    </w:p>
    <w:p>
      <w:pPr/>
      <w:r>
        <w:rPr>
          <w:b/>
        </w:rPr>
        <w:t>Later source:</w:t>
      </w:r>
      <w:r>
        <w:t xml:space="preserve"> Population Genetics and Invasion History of the European Starling Across Aotearoa New Zealand — https://doi.org/10.1111/mec.17579</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group-7950399ceee1d2c18f86</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Background report of ex-ante LCAs for CBE JU application IRIS — https://openalex.org/W7112006283</w:t>
      </w:r>
    </w:p>
    <w:p>
      <w:pPr/>
      <w:r>
        <w:rPr>
          <w:b/>
        </w:rPr>
        <w:t>Later source:</w:t>
      </w:r>
      <w:r>
        <w:t xml:space="preserve"> Prospective Environmental Assessment of Citric Acid Production: An Integrated Framework of Ex-Ante LCA and Technological Learning — https://doi.org/10.3390/su18062848</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group-8009a25556f948a63788</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Format of emergency department electronic health records in Europe. The European initiative and the eCREAM proposal — https://doi.org/10.3389/femer.2025.1558208</w:t>
      </w:r>
    </w:p>
    <w:p>
      <w:pPr/>
      <w:r>
        <w:rPr>
          <w:b/>
        </w:rPr>
        <w:t>Later source:</w:t>
      </w:r>
      <w:r>
        <w:t xml:space="preserve"> A Monetary Hope for Europe — https://openalex.org/W7137600050</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group-5d19683ac9ca8ee44978</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Collaborative effort between fishers and scientists reveals first-time evidence of the smalltooth sandtiger shark (Odontaspis ferox) in Puerto Rico — https://doi.org/10.1017/s0025315425100246</w:t>
      </w:r>
    </w:p>
    <w:p>
      <w:pPr/>
      <w:r>
        <w:rPr>
          <w:b/>
        </w:rPr>
        <w:t>Later source:</w:t>
      </w:r>
      <w:r>
        <w:t xml:space="preserve"> Bioassay tests reveal for the first time pyrethroid resistance in — https://doi.org/10.1051/parasite/2025036/pdf</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group-a8984ac5e5fb7d31bc0b</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hotspots in the European Union: A city-level risk assessment — https://doi.org/10.18686/cest622</w:t>
      </w:r>
    </w:p>
    <w:p>
      <w:pPr/>
      <w:r>
        <w:rPr>
          <w:b/>
        </w:rPr>
        <w:t>Later source:</w:t>
      </w:r>
      <w:r>
        <w:t xml:space="preserve"> Air pollution inequalities in Europe: A deeper understating of challenges in Eastern Europe and pathways forward towards closing the gap between East and West — https://doi.org/10.1097/ee9.0000000000000383</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group-ff4fc662ebe00e0f0377</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CLIMATE CHANGE AND GLOBAL POLITICS IN CONTEMPORARY AGE — https://doi.org/10.56815/ijmrr.v5i7.2026.395-411</w:t>
      </w:r>
    </w:p>
    <w:p>
      <w:pPr/>
      <w:r>
        <w:rPr>
          <w:b/>
        </w:rPr>
        <w:t>Later source:</w:t>
      </w:r>
      <w:r>
        <w:t xml:space="preserve"> Bodily Autonomy and Identity Politics: Feminist Approaches in the Era of Global Political Changes : Editors’ Note — https://openalex.org/W7125467776</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group-9b270b1ea48f04fd1c55</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Significance of Anatomical Constraints in Virtual Try-On — https://doi.org/10.1109/tetci.2024.3353080</w:t>
      </w:r>
    </w:p>
    <w:p>
      <w:pPr/>
      <w:r>
        <w:rPr>
          <w:b/>
        </w:rPr>
        <w:t>Later source:</w:t>
      </w:r>
      <w:r>
        <w:t xml:space="preserve"> Hybrid Visual Predictive Control for Single and Multi-Agent Systems — https://doi.org/10.32920/25234732</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group-9e58680c2ebb121619e7</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Envisioning chemistry education in the anthropocene — https://doi.org/10.24834/isbn.9789178775132</w:t>
      </w:r>
    </w:p>
    <w:p>
      <w:pPr/>
      <w:r>
        <w:rPr>
          <w:b/>
        </w:rPr>
        <w:t>Later source:</w:t>
      </w:r>
      <w:r>
        <w:t xml:space="preserve"> Team Chemistry and COVID in European Football — https://doi.org/10.2174/1875399x-v16-e230510-2022-37</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group-a073486a1da6c33f2caa</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From Reaction to Foresight: EUPHA’s vision for health security in Europe — https://doi.org/10.1093/eurpub/ckaf071</w:t>
      </w:r>
    </w:p>
    <w:p>
      <w:pPr/>
      <w:r>
        <w:rPr>
          <w:b/>
        </w:rPr>
        <w:t>Later source:</w:t>
      </w:r>
      <w:r>
        <w:t xml:space="preserve"> Foresight in heritage: fostering future consciousness to proactively face change — https://doi.org/10.1108/jchmsd-12-2024-0298</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group-453932d9a9dfd977350d</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Foreign Aid — https://doi.org/10.4324/9781003265320</w:t>
      </w:r>
    </w:p>
    <w:p>
      <w:pPr/>
      <w:r>
        <w:rPr>
          <w:b/>
        </w:rPr>
        <w:t>Later source:</w:t>
      </w:r>
      <w:r>
        <w:t xml:space="preserve"> The Ethics of Food Aid and Famine Relief — https://doi.org/10.1093/oso/9780197744727.003.0004</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group-1c21a371edf3df4d6990</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European Language Grid: An Overview — https://doi.org/10.48550/arxiv.2003.13551</w:t>
      </w:r>
    </w:p>
    <w:p>
      <w:pPr/>
      <w:r>
        <w:rPr>
          <w:b/>
        </w:rPr>
        <w:t>Later source:</w:t>
      </w:r>
      <w:r>
        <w:t xml:space="preserve"> A graphical analysis of the intellectual structure of The Australian Journal of Indigenous Education — https://doi.org/10.55146/ajie.v54i2.2031</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group-5f45351bdea666869ce5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Kickstarting CCS Adoption: Tailoring Subsidies to Emitters' Needs — https://openalex.org/W4400372560</w:t>
      </w:r>
    </w:p>
    <w:p>
      <w:pPr/>
      <w:r>
        <w:rPr>
          <w:b/>
        </w:rPr>
        <w:t>Later source:</w:t>
      </w:r>
      <w:r>
        <w:t xml:space="preserve"> Cost estimation of CCS integration into thermal power plants in Japan — https://doi.org/10.1299/mej.22-00028</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group-f3331823567429fcbf18</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Nuclear Data Uncertainty Analysis to Meet the Target Accuracy Requirements on the MYRRHAkeff — https://doi.org/10.1051/epjconf/202328408012</w:t>
      </w:r>
    </w:p>
    <w:p>
      <w:pPr/>
      <w:r>
        <w:rPr>
          <w:b/>
        </w:rPr>
        <w:t>Later source:</w:t>
      </w:r>
      <w:r>
        <w:t xml:space="preserve"> Growing Double Materiality into Corporate Sustainability Reporting in Order to Meet Green Deal Targets — https://doi.org/10.2478/9788367405546-034</w:t>
      </w:r>
    </w:p>
    <w:p>
      <w:pPr>
        <w:pStyle w:val="SourceNote"/>
      </w:pPr>
      <w:r>
        <w:rPr>
          <w:b/>
        </w:rPr>
        <w:t>Review status:</w:t>
      </w:r>
      <w:r>
        <w:t xml:space="preserve"> unchecked — possible relationship only</w:t>
      </w:r>
    </w:p>
    <w:p>
      <w:pPr>
        <w:pStyle w:val="Heading2"/>
      </w:pPr>
      <w:r>
        <w:t>20. Claim + two later sources: Reform of experimental structures in animal science in France: From exploratory foresight to operational set-up</w:t>
      </w:r>
    </w:p>
    <w:p>
      <w:pPr>
        <w:pStyle w:val="SourceNote"/>
      </w:pPr>
      <w:r>
        <w:rPr>
          <w:b/>
        </w:rPr>
        <w:t>Group ID:</w:t>
      </w:r>
      <w:r>
        <w:t xml:space="preserve"> group-c79db56034b7d9c4220d</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Eye of Europe Foresight Training Manual — https://openalex.org/W7220785974</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21. Claim + two later sources: First-mover advantages of the European Union's climate change mitigation strategy</w:t>
      </w:r>
    </w:p>
    <w:p>
      <w:pPr>
        <w:pStyle w:val="SourceNote"/>
      </w:pPr>
      <w:r>
        <w:rPr>
          <w:b/>
        </w:rPr>
        <w:t>Group ID:</w:t>
      </w:r>
      <w:r>
        <w:t xml:space="preserve"> group-a52812ae21430934dbed</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Famines in medieval and early modern Europe—Connecting climate and society — https://doi.org/10.1002/wcc.859</w:t>
      </w:r>
    </w:p>
    <w:p>
      <w:pPr/>
      <w:r>
        <w:rPr>
          <w:b/>
        </w:rPr>
        <w:t>Later source:</w:t>
      </w:r>
      <w:r>
        <w:t xml:space="preserve"> Emergent vulnerability to climate-driven disturbances in European forests — https://doi.org/10.1038/s41467-021-21399-7</w:t>
      </w:r>
    </w:p>
    <w:p>
      <w:pPr>
        <w:pStyle w:val="SourceNote"/>
      </w:pPr>
      <w:r>
        <w:rPr>
          <w:b/>
        </w:rPr>
        <w:t>Review status:</w:t>
      </w:r>
      <w:r>
        <w:t xml:space="preserve"> unchecked — possible relationship only</w:t>
      </w:r>
    </w:p>
    <w:p>
      <w:pPr>
        <w:pStyle w:val="Heading2"/>
      </w:pPr>
      <w:r>
        <w:t>22. Claim + two later sources: Decarbonizing Sweden’s energy and transportation system by 2050</w:t>
      </w:r>
    </w:p>
    <w:p>
      <w:pPr>
        <w:pStyle w:val="SourceNote"/>
      </w:pPr>
      <w:r>
        <w:rPr>
          <w:b/>
        </w:rPr>
        <w:t>Group ID:</w:t>
      </w:r>
      <w:r>
        <w:t xml:space="preserve"> group-90cc6ed5382d9ae26824</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with induced technical change: Exploring the niche potential of hydrogen in heavy transportation — https://doi.org/10.1016/j.jclepro.2024.140743</w:t>
      </w:r>
    </w:p>
    <w:p>
      <w:pPr/>
      <w:r>
        <w:rPr>
          <w:b/>
        </w:rPr>
        <w:t>Later source:</w:t>
      </w:r>
      <w:r>
        <w:t xml:space="preserve"> The Impact of Deep Decarbonization Policy on the Level of Greenhouse Gas Emissions in the European Union — https://doi.org/10.3390/en17051245</w:t>
      </w:r>
    </w:p>
    <w:p>
      <w:pPr>
        <w:pStyle w:val="SourceNote"/>
      </w:pPr>
      <w:r>
        <w:rPr>
          <w:b/>
        </w:rPr>
        <w:t>Review status:</w:t>
      </w:r>
      <w:r>
        <w:t xml:space="preserve"> unchecked — possible relationship only</w:t>
      </w:r>
    </w:p>
    <w:p>
      <w:pPr>
        <w:pStyle w:val="Heading2"/>
      </w:pPr>
      <w:r>
        <w:t>23. Claim + two later sources: Boosting the EU forest-based bioeconomy: Market, climate, and employment impacts</w:t>
      </w:r>
    </w:p>
    <w:p>
      <w:pPr>
        <w:pStyle w:val="SourceNote"/>
      </w:pPr>
      <w:r>
        <w:rPr>
          <w:b/>
        </w:rPr>
        <w:t>Group ID:</w:t>
      </w:r>
      <w:r>
        <w:t xml:space="preserve"> group-a3eb909648688e9e359c</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CHANGES IN FRUIT PRODUCTION AND IMPORTS FROM TURKEY TO EUROPEAN UNION COUNTRIES — https://doi.org/10.5604/01.3001.0055.6187</w:t>
      </w:r>
    </w:p>
    <w:p>
      <w:pPr/>
      <w:r>
        <w:rPr>
          <w:b/>
        </w:rPr>
        <w:t>Later source:</w:t>
      </w:r>
      <w:r>
        <w:t xml:space="preserve"> THE IMPORT OF THE NATURAL GAS FROM THE REPUBLIC OF AZERBAIJAN IN THE CONTEXT OF THE ENERGY POLICY OF THE EUROPEAN UNION — https://doi.org/10.48137/26870703_2026_35_3_61</w:t>
      </w:r>
    </w:p>
    <w:p>
      <w:pPr>
        <w:pStyle w:val="SourceNote"/>
      </w:pPr>
      <w:r>
        <w:rPr>
          <w:b/>
        </w:rPr>
        <w:t>Review status:</w:t>
      </w:r>
      <w:r>
        <w:t xml:space="preserve"> unchecked — possible relationship only</w:t>
      </w:r>
    </w:p>
    <w:p>
      <w:pPr>
        <w:pStyle w:val="Heading2"/>
      </w:pPr>
      <w:r>
        <w:t>24. Claim + two later sources: The Great Future Debate and the Struggle for the World</w:t>
      </w:r>
    </w:p>
    <w:p>
      <w:pPr>
        <w:pStyle w:val="SourceNote"/>
      </w:pPr>
      <w:r>
        <w:rPr>
          <w:b/>
        </w:rPr>
        <w:t>Group ID:</w:t>
      </w:r>
      <w:r>
        <w:t xml:space="preserve"> group-fc4cb92561b6f03cad00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ANTI-THEATER OF FUTURISTS AND DADAISTS AS A REFUTATION OF ARISTOTLE’S CONCEPT OF MIMETIC THEATER — https://doi.org/10.30970/vas.26.2025.206-216</w:t>
      </w:r>
    </w:p>
    <w:p>
      <w:pPr/>
      <w:r>
        <w:rPr>
          <w:b/>
        </w:rPr>
        <w:t>Later source:</w:t>
      </w:r>
      <w:r>
        <w:t xml:space="preserve"> The Digital Divide and Futurist Imaginings of Zelle‐ous Resistors — https://doi.org/10.17645/si.v11i3.6867</w:t>
      </w:r>
    </w:p>
    <w:p>
      <w:pPr>
        <w:pStyle w:val="SourceNote"/>
      </w:pPr>
      <w:r>
        <w:rPr>
          <w:b/>
        </w:rPr>
        <w:t>Review status:</w:t>
      </w:r>
      <w:r>
        <w:t xml:space="preserve"> unchecked — possible relationship only</w:t>
      </w:r>
    </w:p>
    <w:p>
      <w:pPr>
        <w:pStyle w:val="Heading2"/>
      </w:pPr>
      <w:r>
        <w:t>25. Claim + two later sources: Clean Disruption for Abundant Futures - Neo-Carbon Energy Futures Clinique III</w:t>
      </w:r>
    </w:p>
    <w:p>
      <w:pPr>
        <w:pStyle w:val="SourceNote"/>
      </w:pPr>
      <w:r>
        <w:rPr>
          <w:b/>
        </w:rPr>
        <w:t>Group ID:</w:t>
      </w:r>
      <w:r>
        <w:t xml:space="preserve"> group-3eae01917711a415b239</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SURPRISING ENERGY FUTURES : Neo-Carbon Energy Futures Clinique V — https://openalex.org/W2944828902</w:t>
      </w:r>
    </w:p>
    <w:p>
      <w:pPr/>
      <w:r>
        <w:rPr>
          <w:b/>
        </w:rPr>
        <w:t>Later source:</w:t>
      </w:r>
      <w:r>
        <w:t xml:space="preserve"> Continuous Transformation and Neo-Carbon Energy Scenarios — https://openalex.org/W2946377064</w:t>
      </w:r>
    </w:p>
    <w:p>
      <w:pPr>
        <w:pStyle w:val="SourceNote"/>
      </w:pPr>
      <w:r>
        <w:rPr>
          <w:b/>
        </w:rPr>
        <w:t>Review status:</w:t>
      </w:r>
      <w:r>
        <w:t xml:space="preserve"> unchecked — possible relationship only</w:t>
      </w:r>
    </w:p>
    <w:p>
      <w:pPr>
        <w:pStyle w:val="Heading2"/>
      </w:pPr>
      <w:r>
        <w:t>26. Claim + two later sources: Pressures on soil functions from soil management in Germany. A foresight review</w:t>
      </w:r>
    </w:p>
    <w:p>
      <w:pPr>
        <w:pStyle w:val="SourceNote"/>
      </w:pPr>
      <w:r>
        <w:rPr>
          <w:b/>
        </w:rPr>
        <w:t>Group ID:</w:t>
      </w:r>
      <w:r>
        <w:t xml:space="preserve"> group-fe1dd6975a1449514440</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Integration matters: Combining socio-cultural and biophysical methods for mapping ecosystem service bundles — https://doi.org/10.1007/s13280-023-01830-7</w:t>
      </w:r>
    </w:p>
    <w:p>
      <w:pPr/>
      <w:r>
        <w:rPr>
          <w:b/>
        </w:rPr>
        <w:t>Later source:</w:t>
      </w:r>
      <w:r>
        <w:t xml:space="preserve"> Working in (Slow) Progress: Socio-Environmental and Economic Dynamics in the Forestry Sector and the Contribution to Sustainable Development in Europe — https://doi.org/10.3390/su151310271</w:t>
      </w:r>
    </w:p>
    <w:p>
      <w:pPr>
        <w:pStyle w:val="SourceNote"/>
      </w:pPr>
      <w:r>
        <w:rPr>
          <w:b/>
        </w:rPr>
        <w:t>Review status:</w:t>
      </w:r>
      <w:r>
        <w:t xml:space="preserve"> unchecked — possible relationship only</w:t>
      </w:r>
    </w:p>
    <w:p>
      <w:pPr>
        <w:pStyle w:val="Heading2"/>
      </w:pPr>
      <w:r>
        <w:t>27. Claim + two later sources: Energy Vision Strategies for the EU Green New Deal: A Case Study of European Cities</w:t>
      </w:r>
    </w:p>
    <w:p>
      <w:pPr>
        <w:pStyle w:val="SourceNote"/>
      </w:pPr>
      <w:r>
        <w:rPr>
          <w:b/>
        </w:rPr>
        <w:t>Group ID:</w:t>
      </w:r>
      <w:r>
        <w:t xml:space="preserve"> group-81d26f7918e4394b5c8a</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Reassessing the benefits of European integration and the European Union's ability to achieve strategic autonomy — https://openalex.org/W7130901115</w:t>
      </w:r>
    </w:p>
    <w:p>
      <w:pPr/>
      <w:r>
        <w:rPr>
          <w:b/>
        </w:rPr>
        <w:t>Later source:</w:t>
      </w:r>
      <w:r>
        <w:t xml:space="preserve"> France's Strategic Gamble for Europe — https://doi.org/10.17613/cdevw-3gx51</w:t>
      </w:r>
    </w:p>
    <w:p>
      <w:pPr>
        <w:pStyle w:val="SourceNote"/>
      </w:pPr>
      <w:r>
        <w:rPr>
          <w:b/>
        </w:rPr>
        <w:t>Review status:</w:t>
      </w:r>
      <w:r>
        <w:t xml:space="preserve"> unchecked — possible relationship only</w:t>
      </w:r>
    </w:p>
    <w:p>
      <w:pPr>
        <w:pStyle w:val="Heading2"/>
      </w:pPr>
      <w:r>
        <w:t>28. Claim + two later sources: Developed Foresight for Borders Model Predicts the Amount of Borders Traffic in Finland</w:t>
      </w:r>
    </w:p>
    <w:p>
      <w:pPr>
        <w:pStyle w:val="SourceNote"/>
      </w:pPr>
      <w:r>
        <w:rPr>
          <w:b/>
        </w:rPr>
        <w:t>Group ID:</w:t>
      </w:r>
      <w:r>
        <w:t xml:space="preserve"> group-1755c94c9ce574ed15b6</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Factors influencing antimicrobial resistance in the European food system and potential leverage points for intervention: A participatory, One Health study — https://doi.org/10.1371/journal.pone.0263914</w:t>
      </w:r>
    </w:p>
    <w:p>
      <w:pPr/>
      <w:r>
        <w:rPr>
          <w:b/>
        </w:rPr>
        <w:t>Later source:</w:t>
      </w:r>
      <w:r>
        <w:t xml:space="preserve"> INFLUENCE OF THE EUROPEAN INTEGRATION ON LINGUISTIC ASPECTS — https://doi.org/10.52058/2786-6165-2022-4(4)-8-21</w:t>
      </w:r>
    </w:p>
    <w:p>
      <w:pPr>
        <w:pStyle w:val="SourceNote"/>
      </w:pPr>
      <w:r>
        <w:rPr>
          <w:b/>
        </w:rPr>
        <w:t>Review status:</w:t>
      </w:r>
      <w:r>
        <w:t xml:space="preserve"> unchecked — possible relationship only</w:t>
      </w:r>
    </w:p>
    <w:p>
      <w:pPr>
        <w:pStyle w:val="Heading2"/>
      </w:pPr>
      <w:r>
        <w:t>29. Claim + two later sources: Integrated energy planning to meet 2050 European targets: A Southern Italian region case study</w:t>
      </w:r>
    </w:p>
    <w:p>
      <w:pPr>
        <w:pStyle w:val="SourceNote"/>
      </w:pPr>
      <w:r>
        <w:rPr>
          <w:b/>
        </w:rPr>
        <w:t>Group ID:</w:t>
      </w:r>
      <w:r>
        <w:t xml:space="preserve"> group-4db101c63d7881c4a516</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Spatial Analysis of the Progress of Energy Transition in Europe — https://doi.org/10.3390/en19020353</w:t>
      </w:r>
    </w:p>
    <w:p>
      <w:pPr/>
      <w:r>
        <w:rPr>
          <w:b/>
        </w:rPr>
        <w:t>Later source:</w:t>
      </w:r>
      <w:r>
        <w:t xml:space="preserve"> UKRAINE’S TRANSITION TO THE EUROPEAN VERTICAL REFERENCE SYSTEM (EVRS): GEODETIC PRECONDITIONS AND SPATIAL IMPLICATIONS — https://doi.org/10.25128/2519-4577.26.1.13</w:t>
      </w:r>
    </w:p>
    <w:p>
      <w:pPr>
        <w:pStyle w:val="SourceNote"/>
      </w:pPr>
      <w:r>
        <w:rPr>
          <w:b/>
        </w:rPr>
        <w:t>Review status:</w:t>
      </w:r>
      <w:r>
        <w:t xml:space="preserve"> unchecked — possible relationship only</w:t>
      </w:r>
    </w:p>
    <w:p>
      <w:pPr>
        <w:pStyle w:val="Heading2"/>
      </w:pPr>
      <w:r>
        <w:t>30.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31. Claim + two later sources: Assessing the impact of the 2011 EU Transport White Paper - a rail freight demand forecast up to 2050 for the EU27</w:t>
      </w:r>
    </w:p>
    <w:p>
      <w:pPr>
        <w:pStyle w:val="SourceNote"/>
      </w:pPr>
      <w:r>
        <w:rPr>
          <w:b/>
        </w:rPr>
        <w:t>Group ID:</w:t>
      </w:r>
      <w:r>
        <w:t xml:space="preserve"> group-95293cf7e5dcd2111a9f</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Right-Wing Extremism and Terrorism in Europe: Current Developments and Issues for the Future — https://openalex.org/W2994049625</w:t>
      </w:r>
    </w:p>
    <w:p>
      <w:pPr/>
      <w:r>
        <w:rPr>
          <w:b/>
        </w:rPr>
        <w:t>Later source:</w:t>
      </w:r>
      <w:r>
        <w:t xml:space="preserve"> Vibrational Stark Effects: Ionic Influence on Local Fields — https://doi.org/10.1021/acs.jpclett.2c01048</w:t>
      </w:r>
    </w:p>
    <w:p>
      <w:pPr>
        <w:pStyle w:val="SourceNote"/>
      </w:pPr>
      <w:r>
        <w:rPr>
          <w:b/>
        </w:rPr>
        <w:t>Review status:</w:t>
      </w:r>
      <w:r>
        <w:t xml:space="preserve"> unchecked — possible relationship only</w:t>
      </w:r>
    </w:p>
    <w:p>
      <w:pPr>
        <w:pStyle w:val="Heading2"/>
      </w:pPr>
      <w:r>
        <w:t>32. Claim + two later sources: Investigating syndromes of agricultural land degradation through past trajectories and future scenarios</w:t>
      </w:r>
    </w:p>
    <w:p>
      <w:pPr>
        <w:pStyle w:val="SourceNote"/>
      </w:pPr>
      <w:r>
        <w:rPr>
          <w:b/>
        </w:rPr>
        <w:t>Group ID:</w:t>
      </w:r>
      <w:r>
        <w:t xml:space="preserve"> group-f9578bf6d7a979931406</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Impact resistance of concrete and fibre-reinforced concrete: A review — https://doi.org/10.1016/j.ijimpeng.2023.104722</w:t>
      </w:r>
    </w:p>
    <w:p>
      <w:pPr/>
      <w:r>
        <w:rPr>
          <w:b/>
        </w:rPr>
        <w:t>Later source:</w:t>
      </w:r>
      <w:r>
        <w:t xml:space="preserve"> Influence of Graphene oxide on abrasion resistance and strength of concrete — https://doi.org/10.1016/j.conbuildmat.2023.133280</w:t>
      </w:r>
    </w:p>
    <w:p>
      <w:pPr>
        <w:pStyle w:val="SourceNote"/>
      </w:pPr>
      <w:r>
        <w:rPr>
          <w:b/>
        </w:rPr>
        <w:t>Review status:</w:t>
      </w:r>
      <w:r>
        <w:t xml:space="preserve"> unchecked — possible relationship only</w:t>
      </w:r>
    </w:p>
    <w:p>
      <w:pPr>
        <w:pStyle w:val="Heading2"/>
      </w:pPr>
      <w:r>
        <w:t>33. Claim + two later sources: After crisis scenarios for Europe: alternative evolutions of structural adjustments</w:t>
      </w:r>
    </w:p>
    <w:p>
      <w:pPr>
        <w:pStyle w:val="SourceNote"/>
      </w:pPr>
      <w:r>
        <w:rPr>
          <w:b/>
        </w:rPr>
        <w:t>Group ID:</w:t>
      </w:r>
      <w:r>
        <w:t xml:space="preserve"> group-29c3dc4823a4000b9900</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Enabling 1.5 °C lifestyles in Europe: lifestyle options and structural change for transformation — https://doi.org/10.1080/15487733.2026.2657131</w:t>
      </w:r>
    </w:p>
    <w:p>
      <w:pPr>
        <w:pStyle w:val="SourceNote"/>
      </w:pPr>
      <w:r>
        <w:rPr>
          <w:b/>
        </w:rPr>
        <w:t>Review status:</w:t>
      </w:r>
      <w:r>
        <w:t xml:space="preserve"> unchecked — possible relationship only</w:t>
      </w:r>
    </w:p>
    <w:p>
      <w:pPr>
        <w:pStyle w:val="Heading2"/>
      </w:pPr>
      <w:r>
        <w:t>34. Claim + two later sources: Post-normal times: re-thinking the futures of the EU-Africa relationship</w:t>
      </w:r>
    </w:p>
    <w:p>
      <w:pPr>
        <w:pStyle w:val="SourceNote"/>
      </w:pPr>
      <w:r>
        <w:rPr>
          <w:b/>
        </w:rPr>
        <w:t>Group ID:</w:t>
      </w:r>
      <w:r>
        <w:t xml:space="preserve"> group-ffb6baedbec1cecd4120</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The separation of powers and the administrative branch in the European Union — https://doi.org/10.1093/icon/moaf048</w:t>
      </w:r>
    </w:p>
    <w:p>
      <w:pPr/>
      <w:r>
        <w:rPr>
          <w:b/>
        </w:rPr>
        <w:t>Later source:</w:t>
      </w:r>
      <w:r>
        <w:t xml:space="preserve"> THE EUROPEAN UNION: THE HISTORY OF ESTABLISHMENT AND SIGNIFICANCE FOR UKRAINE — https://doi.org/10.30970/vla.2023.76.015</w:t>
      </w:r>
    </w:p>
    <w:p>
      <w:pPr>
        <w:pStyle w:val="SourceNote"/>
      </w:pPr>
      <w:r>
        <w:rPr>
          <w:b/>
        </w:rPr>
        <w:t>Review status:</w:t>
      </w:r>
      <w:r>
        <w:t xml:space="preserve"> unchecked — possible relationship only</w:t>
      </w:r>
    </w:p>
    <w:p>
      <w:pPr>
        <w:pStyle w:val="Heading2"/>
      </w:pPr>
      <w:r>
        <w:t>35. Claim + two later sources: Problem of “Dinosauring” of European Union and Mapping of Its Future</w:t>
      </w:r>
    </w:p>
    <w:p>
      <w:pPr>
        <w:pStyle w:val="SourceNote"/>
      </w:pPr>
      <w:r>
        <w:rPr>
          <w:b/>
        </w:rPr>
        <w:t>Group ID:</w:t>
      </w:r>
      <w:r>
        <w:t xml:space="preserve"> group-29cf17fd7478af09fa0e</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Conan Fischer. A Vision of Europe: Franco-German Relations during the Great Depression, 1929–1932. — https://doi.org/10.1093/ahr/rhz1012</w:t>
      </w:r>
    </w:p>
    <w:p>
      <w:pPr/>
      <w:r>
        <w:rPr>
          <w:b/>
        </w:rPr>
        <w:t>Later source:</w:t>
      </w:r>
      <w:r>
        <w:t xml:space="preserve"> The European Rural Development Vision in Romanian Context — https://doi.org/10.15835/buasvmcn-hort:2022.0034</w:t>
      </w:r>
    </w:p>
    <w:p>
      <w:pPr>
        <w:pStyle w:val="SourceNote"/>
      </w:pPr>
      <w:r>
        <w:rPr>
          <w:b/>
        </w:rPr>
        <w:t>Review status:</w:t>
      </w:r>
      <w:r>
        <w:t xml:space="preserve"> unchecked — possible relationship only</w:t>
      </w:r>
    </w:p>
    <w:p>
      <w:pPr>
        <w:pStyle w:val="Heading2"/>
      </w:pPr>
      <w:r>
        <w:t>36. Claim + two later sources: Comparison of temperature indices for three IPCC SRES scenarios based on RegCM simulations for Poland in 2011–2030 period</w:t>
      </w:r>
    </w:p>
    <w:p>
      <w:pPr>
        <w:pStyle w:val="SourceNote"/>
      </w:pPr>
      <w:r>
        <w:rPr>
          <w:b/>
        </w:rPr>
        <w:t>Group ID:</w:t>
      </w:r>
      <w:r>
        <w:t xml:space="preserve"> group-232d2bd01e80f3eb71ac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The impact of lakes on the European climate as simulated by a regional climate model — https://doi.org/10.60910/3pj6-v2hf</w:t>
      </w:r>
    </w:p>
    <w:p>
      <w:pPr/>
      <w:r>
        <w:rPr>
          <w:b/>
        </w:rPr>
        <w:t>Later source:</w:t>
      </w:r>
      <w:r>
        <w:t xml:space="preserve"> Short-term temperature variability in regional climate models in Europe — https://doi.org/10.5194/egusphere-egu23-9447</w:t>
      </w:r>
    </w:p>
    <w:p>
      <w:pPr>
        <w:pStyle w:val="SourceNote"/>
      </w:pPr>
      <w:r>
        <w:rPr>
          <w:b/>
        </w:rPr>
        <w:t>Review status:</w:t>
      </w:r>
      <w:r>
        <w:t xml:space="preserve"> unchecked — possible relationship only</w:t>
      </w:r>
    </w:p>
    <w:p>
      <w:pPr>
        <w:pStyle w:val="Heading2"/>
      </w:pPr>
      <w:r>
        <w:t>37. Claim + two later sources: Use and perception of weather forecast information across Europe</w:t>
      </w:r>
    </w:p>
    <w:p>
      <w:pPr>
        <w:pStyle w:val="SourceNote"/>
      </w:pPr>
      <w:r>
        <w:rPr>
          <w:b/>
        </w:rPr>
        <w:t>Group ID:</w:t>
      </w:r>
      <w:r>
        <w:t xml:space="preserve"> group-49094787e96f4eda8c2b</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Management Measures and Trends of Biological Invasions in Europe: A Survey‐Based Assessment of Local Managers — https://doi.org/10.1111/gcb.70028</w:t>
      </w:r>
    </w:p>
    <w:p>
      <w:pPr/>
      <w:r>
        <w:rPr>
          <w:b/>
        </w:rPr>
        <w:t>Later source:</w:t>
      </w:r>
      <w:r>
        <w:t xml:space="preserve"> Bridging the gap between research and decision making: A European survey to enhance cooperation in wastewater-based epidemiology (WBE) for illicit drugs — https://doi.org/10.1016/j.puhe.2025.02.009</w:t>
      </w:r>
    </w:p>
    <w:p>
      <w:pPr>
        <w:pStyle w:val="SourceNote"/>
      </w:pPr>
      <w:r>
        <w:rPr>
          <w:b/>
        </w:rPr>
        <w:t>Review status:</w:t>
      </w:r>
      <w:r>
        <w:t xml:space="preserve"> unchecked — possible relationship only</w:t>
      </w:r>
    </w:p>
    <w:p>
      <w:pPr>
        <w:pStyle w:val="Heading2"/>
      </w:pPr>
      <w:r>
        <w:t>38. Claim + two later sources: Douglas‐fir plantations in Europe: a retrospective test of assisted migration to address climate change</w:t>
      </w:r>
    </w:p>
    <w:p>
      <w:pPr>
        <w:pStyle w:val="SourceNote"/>
      </w:pPr>
      <w:r>
        <w:rPr>
          <w:b/>
        </w:rPr>
        <w:t>Group ID:</w:t>
      </w:r>
      <w:r>
        <w:t xml:space="preserve"> group-873fe26d37854b63c510</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Differing Trends in United States and European Severe Thunderstorm Environments in a Warming Climate — https://doi.org/10.1175/bams-d-20-0004.1</w:t>
      </w:r>
    </w:p>
    <w:p>
      <w:pPr/>
      <w:r>
        <w:rPr>
          <w:b/>
        </w:rPr>
        <w:t>Later source:</w:t>
      </w:r>
      <w:r>
        <w:t xml:space="preserve"> Social Innovation in Community Energy in Europe: A Review of the Evidence — https://doi.org/10.3389/fenrg.2019.00031</w:t>
      </w:r>
    </w:p>
    <w:p>
      <w:pPr>
        <w:pStyle w:val="SourceNote"/>
      </w:pPr>
      <w:r>
        <w:rPr>
          <w:b/>
        </w:rPr>
        <w:t>Review status:</w:t>
      </w:r>
      <w:r>
        <w:t xml:space="preserve"> unchecked — possible relationship only</w:t>
      </w:r>
    </w:p>
    <w:p>
      <w:pPr>
        <w:pStyle w:val="Heading2"/>
      </w:pPr>
      <w:r>
        <w:t>39. Claim + two later sources: Alternative futures for shared mobility systems: impacts on transport planning tools and techniques</w:t>
      </w:r>
    </w:p>
    <w:p>
      <w:pPr>
        <w:pStyle w:val="SourceNote"/>
      </w:pPr>
      <w:r>
        <w:rPr>
          <w:b/>
        </w:rPr>
        <w:t>Group ID:</w:t>
      </w:r>
      <w:r>
        <w:t xml:space="preserve"> group-ee9129f4102e6feb221b</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The Heritagemonitor: Exploring projects, works and institutions in cultural heritage across Europe — https://doi.org/10.5281/zenodo.20642926</w:t>
      </w:r>
    </w:p>
    <w:p>
      <w:pPr/>
      <w:r>
        <w:rPr>
          <w:b/>
        </w:rPr>
        <w:t>Later source:</w:t>
      </w:r>
      <w:r>
        <w:t xml:space="preserve"> The Heritagemonitor: Exploring projects, works and institutions in cultural heritage across Europe — https://doi.org/10.5281/zenodo.20643287</w:t>
      </w:r>
    </w:p>
    <w:p>
      <w:pPr>
        <w:pStyle w:val="SourceNote"/>
      </w:pPr>
      <w:r>
        <w:rPr>
          <w:b/>
        </w:rPr>
        <w:t>Review status:</w:t>
      </w:r>
      <w:r>
        <w:t xml:space="preserve"> unchecked — possible relationship only</w:t>
      </w:r>
    </w:p>
    <w:p>
      <w:pPr>
        <w:pStyle w:val="Heading2"/>
      </w:pPr>
      <w:r>
        <w:t>40. Claim + two later sources: Integrated assessment of the role of bioenergy within the EU energy transition targets to 2050</w:t>
      </w:r>
    </w:p>
    <w:p>
      <w:pPr>
        <w:pStyle w:val="SourceNote"/>
      </w:pPr>
      <w:r>
        <w:rPr>
          <w:b/>
        </w:rPr>
        <w:t>Group ID:</w:t>
      </w:r>
      <w:r>
        <w:t xml:space="preserve"> group-2f56eff4c183098122ad</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Expert insights into future trajectories: assessing cost reductions and scalability of carbon dioxide removal technologies — https://doi.org/10.3389/fclim.2024.1331901</w:t>
      </w:r>
    </w:p>
    <w:p>
      <w:pPr/>
      <w:r>
        <w:rPr>
          <w:b/>
        </w:rPr>
        <w:t>Later source:</w:t>
      </w:r>
      <w:r>
        <w:t xml:space="preserve"> Capacity gaps in land-based mitigation technologies and practices: A first stock take — https://doi.org/10.1016/j.landusepol.2023.106888</w:t>
      </w:r>
    </w:p>
    <w:p>
      <w:pPr>
        <w:pStyle w:val="SourceNote"/>
      </w:pPr>
      <w:r>
        <w:rPr>
          <w:b/>
        </w:rPr>
        <w:t>Review status:</w:t>
      </w:r>
      <w:r>
        <w:t xml:space="preserve"> unchecked — possible relationship only</w:t>
      </w:r>
    </w:p>
    <w:p>
      <w:pPr>
        <w:pStyle w:val="Heading2"/>
      </w:pPr>
      <w:r>
        <w:t>41. Claim + two later sources: GHG emissions, trade balance, and carbon leakage: Insights from modeling thirty-one European decarbonization pathways towards 2050</w:t>
      </w:r>
    </w:p>
    <w:p>
      <w:pPr>
        <w:pStyle w:val="SourceNote"/>
      </w:pPr>
      <w:r>
        <w:rPr>
          <w:b/>
        </w:rPr>
        <w:t>Group ID:</w:t>
      </w:r>
      <w:r>
        <w:t xml:space="preserve"> group-54be2934a7596a68d810</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Linguistic diversity of new minorities in Europe: A crossroads of rights and duties — https://doi.org/10.5281/zenodo.18845601</w:t>
      </w:r>
    </w:p>
    <w:p>
      <w:pPr/>
      <w:r>
        <w:rPr>
          <w:b/>
        </w:rPr>
        <w:t>Later source:</w:t>
      </w:r>
      <w:r>
        <w:t xml:space="preserve"> Antibiotic Use in Livestock Production and Progress Made with Regulations in Europe and Africa: Implications for Illness Prevention and Health Promotion — https://doi.org/10.1007/978-981-97-0821-5_104-1</w:t>
      </w:r>
    </w:p>
    <w:p>
      <w:pPr>
        <w:pStyle w:val="SourceNote"/>
      </w:pPr>
      <w:r>
        <w:rPr>
          <w:b/>
        </w:rPr>
        <w:t>Review status:</w:t>
      </w:r>
      <w:r>
        <w:t xml:space="preserve"> unchecked — possible relationship only</w:t>
      </w:r>
    </w:p>
    <w:p>
      <w:pPr>
        <w:pStyle w:val="Heading2"/>
      </w:pPr>
      <w:r>
        <w:t>42. Claim + two later sources: Low-carbon energy scenarios 2050 in north-west European countries: Towards a more harmonised approach to achieve the EU targets</w:t>
      </w:r>
    </w:p>
    <w:p>
      <w:pPr>
        <w:pStyle w:val="SourceNote"/>
      </w:pPr>
      <w:r>
        <w:rPr>
          <w:b/>
        </w:rPr>
        <w:t>Group ID:</w:t>
      </w:r>
      <w:r>
        <w:t xml:space="preserve"> group-f764801de0c8e2787930</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Flood trends in Europe: are changes in small and big floods different? — https://doi.org/10.5194/hess-24-1805-2020</w:t>
      </w:r>
    </w:p>
    <w:p>
      <w:pPr/>
      <w:r>
        <w:rPr>
          <w:b/>
        </w:rPr>
        <w:t>Later source:</w:t>
      </w:r>
      <w:r>
        <w:t xml:space="preserve"> Regional climate downscaling over Europe: perspectives from the EURO-CORDEX community — https://doi.org/10.1007/s10113-020-01606-9</w:t>
      </w:r>
    </w:p>
    <w:p>
      <w:pPr>
        <w:pStyle w:val="SourceNote"/>
      </w:pPr>
      <w:r>
        <w:rPr>
          <w:b/>
        </w:rPr>
        <w:t>Review status:</w:t>
      </w:r>
      <w:r>
        <w:t xml:space="preserve"> unchecked — possible relationship only</w:t>
      </w:r>
    </w:p>
    <w:p>
      <w:pPr>
        <w:pStyle w:val="Heading2"/>
      </w:pPr>
      <w:r>
        <w:t>43. Claim + two later sources: Drivers, trends and scenarios for the future of health in Europe. Impressions from the FRESHER project</w:t>
      </w:r>
    </w:p>
    <w:p>
      <w:pPr>
        <w:pStyle w:val="SourceNote"/>
      </w:pPr>
      <w:r>
        <w:rPr>
          <w:b/>
        </w:rPr>
        <w:t>Group ID:</w:t>
      </w:r>
      <w:r>
        <w:t xml:space="preserve"> group-779fcede7df8641ec800</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Shaping the Future of Health Data: A Scenario-Based Approach — https://doi.org/10.3233/shti220355</w:t>
      </w:r>
    </w:p>
    <w:p>
      <w:pPr/>
      <w:r>
        <w:rPr>
          <w:b/>
        </w:rPr>
        <w:t>Later source:</w:t>
      </w:r>
      <w:r>
        <w:t xml:space="preserve"> FRESHER: Challenges and opportunities for building Health/Healthy futures — https://doi.org/10.1093/eurpub/ckac129.121</w:t>
      </w:r>
    </w:p>
    <w:p>
      <w:pPr>
        <w:pStyle w:val="SourceNote"/>
      </w:pPr>
      <w:r>
        <w:rPr>
          <w:b/>
        </w:rPr>
        <w:t>Review status:</w:t>
      </w:r>
      <w:r>
        <w:t xml:space="preserve"> unchecked — possible relationship only</w:t>
      </w:r>
    </w:p>
    <w:p>
      <w:pPr>
        <w:pStyle w:val="Heading2"/>
      </w:pPr>
      <w:r>
        <w:t>44. Claim + two later sources: Health impact assessment of waste management facilities in three European countries</w:t>
      </w:r>
    </w:p>
    <w:p>
      <w:pPr>
        <w:pStyle w:val="SourceNote"/>
      </w:pPr>
      <w:r>
        <w:rPr>
          <w:b/>
        </w:rPr>
        <w:t>Group ID:</w:t>
      </w:r>
      <w:r>
        <w:t xml:space="preserve"> group-7623b15e0d6b995d09d5</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Location choice for large‐scale battery manufacturing plants: Exploring the role of clean energy, costs, and knowledge on location decisions in Europe — https://doi.org/10.1111/jiec.13292</w:t>
      </w:r>
    </w:p>
    <w:p>
      <w:pPr/>
      <w:r>
        <w:rPr>
          <w:b/>
        </w:rPr>
        <w:t>Later source:</w:t>
      </w:r>
      <w:r>
        <w:t xml:space="preserve"> Polychlorinated dibenzo-p-dioxins (PCDDs) and dibenzofurans (PCDFs) soil contamination in Lausanne, Switzerland: Combining pollution mapping and human exposure assessment for targeted risk management — https://doi.org/10.1016/j.envpol.2022.120441</w:t>
      </w:r>
    </w:p>
    <w:p>
      <w:pPr>
        <w:pStyle w:val="SourceNote"/>
      </w:pPr>
      <w:r>
        <w:rPr>
          <w:b/>
        </w:rPr>
        <w:t>Review status:</w:t>
      </w:r>
      <w:r>
        <w:t xml:space="preserve"> unchecked — possible relationship only</w:t>
      </w:r>
    </w:p>
    <w:p>
      <w:pPr>
        <w:pStyle w:val="Heading2"/>
      </w:pPr>
      <w:r>
        <w:t>45. Claim + two later sources: Linking Local Food Systems and the Social Economy? Future Roles for Farmers' Markets in Alberta and British Columbia*</w:t>
      </w:r>
    </w:p>
    <w:p>
      <w:pPr>
        <w:pStyle w:val="SourceNote"/>
      </w:pPr>
      <w:r>
        <w:rPr>
          <w:b/>
        </w:rPr>
        <w:t>Group ID:</w:t>
      </w:r>
      <w:r>
        <w:t xml:space="preserve"> group-2c337e1e430f665efcd4</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Development of an evidence‐based nursing practice program for preventing unplanned endotracheal extubations in the intensive care unit: A Delphi method study — https://doi.org/10.1111/jocn.17340</w:t>
      </w:r>
    </w:p>
    <w:p>
      <w:pPr/>
      <w:r>
        <w:rPr>
          <w:b/>
        </w:rPr>
        <w:t>Later source:</w:t>
      </w:r>
      <w:r>
        <w:t xml:space="preserve"> Exploring the factors of employee turnover intentions in private education institutions in China: a Delphi study — https://doi.org/10.1080/23311975.2024.2413915</w:t>
      </w:r>
    </w:p>
    <w:p>
      <w:pPr>
        <w:pStyle w:val="SourceNote"/>
      </w:pPr>
      <w:r>
        <w:rPr>
          <w:b/>
        </w:rPr>
        <w:t>Review status:</w:t>
      </w:r>
      <w:r>
        <w:t xml:space="preserve"> unchecked — possible relationship only</w:t>
      </w:r>
    </w:p>
    <w:p>
      <w:pPr>
        <w:pStyle w:val="Heading2"/>
      </w:pPr>
      <w:r>
        <w:t>46. Claim + two later sources: Legume dreams: The contested futures of sustainable plant-based food systems in Europe</w:t>
      </w:r>
    </w:p>
    <w:p>
      <w:pPr>
        <w:pStyle w:val="SourceNote"/>
      </w:pPr>
      <w:r>
        <w:rPr>
          <w:b/>
        </w:rPr>
        <w:t>Group ID:</w:t>
      </w:r>
      <w:r>
        <w:t xml:space="preserve"> group-01ffa0daa1d321529d22</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European consumers' involvement with date labels and implications for household food waste — https://doi.org/10.1016/j.foodqual.2025.105522</w:t>
      </w:r>
    </w:p>
    <w:p>
      <w:pPr/>
      <w:r>
        <w:rPr>
          <w:b/>
        </w:rPr>
        <w:t>Later source:</w:t>
      </w:r>
      <w:r>
        <w:t xml:space="preserve"> Food allergy outside the eight big foods in Europe: A systematic review and meta‐analysis — https://doi.org/10.1002/clt2.12338</w:t>
      </w:r>
    </w:p>
    <w:p>
      <w:pPr>
        <w:pStyle w:val="SourceNote"/>
      </w:pPr>
      <w:r>
        <w:rPr>
          <w:b/>
        </w:rPr>
        <w:t>Review status:</w:t>
      </w:r>
      <w:r>
        <w:t xml:space="preserve"> unchecked — possible relationship only</w:t>
      </w:r>
    </w:p>
    <w:p>
      <w:pPr>
        <w:pStyle w:val="Heading2"/>
      </w:pPr>
      <w:r>
        <w:t>47. Claim + two later sources: Energy and Climate Change Scenarios in the Mediterranean: An opportunity for cooperation</w:t>
      </w:r>
    </w:p>
    <w:p>
      <w:pPr>
        <w:pStyle w:val="SourceNote"/>
      </w:pPr>
      <w:r>
        <w:rPr>
          <w:b/>
        </w:rPr>
        <w:t>Group ID:</w:t>
      </w:r>
      <w:r>
        <w:t xml:space="preserve"> group-0726058966beee040b4e</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Endangered Languages and Environmental Degradation Among Minority Communities in Europe: An Ecological Perspective — https://doi.org/10.18485/vlings_vele.2025.ch3</w:t>
      </w:r>
    </w:p>
    <w:p>
      <w:pPr/>
      <w:r>
        <w:rPr>
          <w:b/>
        </w:rPr>
        <w:t>Later source:</w:t>
      </w:r>
      <w:r>
        <w:t xml:space="preserve"> The Impact of Environmental Degradation on Children’s Rights in Central Europe — https://doi.org/10.21029/jael.2025.39.365</w:t>
      </w:r>
    </w:p>
    <w:p>
      <w:pPr>
        <w:pStyle w:val="SourceNote"/>
      </w:pPr>
      <w:r>
        <w:rPr>
          <w:b/>
        </w:rPr>
        <w:t>Review status:</w:t>
      </w:r>
      <w:r>
        <w:t xml:space="preserve"> unchecked — possible relationship only</w:t>
      </w:r>
    </w:p>
    <w:p>
      <w:pPr>
        <w:pStyle w:val="Heading2"/>
      </w:pPr>
      <w:r>
        <w:t>48. Claim + two later sources: Abandonment landscapes: user attitudes, alternative futures and land management in Castro Laboreiro, Portugal</w:t>
      </w:r>
    </w:p>
    <w:p>
      <w:pPr>
        <w:pStyle w:val="SourceNote"/>
      </w:pPr>
      <w:r>
        <w:rPr>
          <w:b/>
        </w:rPr>
        <w:t>Group ID:</w:t>
      </w:r>
      <w:r>
        <w:t xml:space="preserve"> group-b6d6347f10055dc69444</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The Influence of Wildfire Climate on Wildfire Incidence: The Case of Portugal — https://doi.org/10.3390/fire7070234</w:t>
      </w:r>
    </w:p>
    <w:p>
      <w:pPr>
        <w:pStyle w:val="SourceNote"/>
      </w:pPr>
      <w:r>
        <w:rPr>
          <w:b/>
        </w:rPr>
        <w:t>Review status:</w:t>
      </w:r>
      <w:r>
        <w:t xml:space="preserve"> unchecked — possible relationship only</w:t>
      </w:r>
    </w:p>
    <w:p>
      <w:pPr>
        <w:pStyle w:val="Heading2"/>
      </w:pPr>
      <w:r>
        <w:t>49. Claim + two later sources: Scenarios of the organic food market in Europe</w:t>
      </w:r>
    </w:p>
    <w:p>
      <w:pPr>
        <w:pStyle w:val="SourceNote"/>
      </w:pPr>
      <w:r>
        <w:rPr>
          <w:b/>
        </w:rPr>
        <w:t>Group ID:</w:t>
      </w:r>
      <w:r>
        <w:t xml:space="preserve"> group-69f01aaa1289552c5cf0</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VIRTUAL REALITY AS A STRATEGIC SPORT MARKETING TOOL IN PROFESSIONAL FOOTBALL: EVIDENCE FROM EUROPE AND GREECE — https://doi.org/10.46827/ejmms.v11i2.2215</w:t>
      </w:r>
    </w:p>
    <w:p>
      <w:pPr>
        <w:pStyle w:val="SourceNote"/>
      </w:pPr>
      <w:r>
        <w:rPr>
          <w:b/>
        </w:rPr>
        <w:t>Review status:</w:t>
      </w:r>
      <w:r>
        <w:t xml:space="preserve"> unchecked — possible relationship only</w:t>
      </w:r>
    </w:p>
    <w:p>
      <w:pPr>
        <w:pStyle w:val="Heading2"/>
      </w:pPr>
      <w:r>
        <w:t>50. Claim + two later sources: The Conference on the Future of Europe: possible scenarios of the forthcoming European Perestroika</w:t>
      </w:r>
    </w:p>
    <w:p>
      <w:pPr>
        <w:pStyle w:val="SourceNote"/>
      </w:pPr>
      <w:r>
        <w:rPr>
          <w:b/>
        </w:rPr>
        <w:t>Group ID:</w:t>
      </w:r>
      <w:r>
        <w:t xml:space="preserve"> group-54d1bd4ebc942acbbd90</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PROBATION WORK DEVELOPMENT DIRECTIONS IN THE LIGHT OF THE EUROPEAN PROBATION RULES — https://doi.org/10.5604/01.3001.0055.0535</w:t>
      </w:r>
    </w:p>
    <w:p>
      <w:pPr/>
      <w:r>
        <w:rPr>
          <w:b/>
        </w:rPr>
        <w:t>Later source:</w:t>
      </w:r>
      <w:r>
        <w:t xml:space="preserve"> Investigating the heterogeneity within Wild bird indices in Europe — https://doi.org/10.1016/j.biocon.2024.110452</w:t>
      </w:r>
    </w:p>
    <w:p>
      <w:pPr>
        <w:pStyle w:val="SourceNote"/>
      </w:pPr>
      <w:r>
        <w:rPr>
          <w:b/>
        </w:rPr>
        <w:t>Review status:</w:t>
      </w:r>
      <w:r>
        <w:t xml:space="preserve"> unchecked — possible relationship only</w:t>
      </w:r>
    </w:p>
    <w:p>
      <w:pPr>
        <w:pStyle w:val="Heading2"/>
      </w:pPr>
      <w:r>
        <w:t>51. Claim + two later sources: The convergence or divergence of labour resources in Poland?</w:t>
      </w:r>
    </w:p>
    <w:p>
      <w:pPr>
        <w:pStyle w:val="SourceNote"/>
      </w:pPr>
      <w:r>
        <w:rPr>
          <w:b/>
        </w:rPr>
        <w:t>Group ID:</w:t>
      </w:r>
      <w:r>
        <w:t xml:space="preserve"> group-1813242ce0b70b0e96a0</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Convergence of Population Structures of the European Union Member States—The Past and the Future — https://doi.org/10.3390/su14021024</w:t>
      </w:r>
    </w:p>
    <w:p>
      <w:pPr>
        <w:pStyle w:val="SourceNote"/>
      </w:pPr>
      <w:r>
        <w:rPr>
          <w:b/>
        </w:rPr>
        <w:t>Review status:</w:t>
      </w:r>
      <w:r>
        <w:t xml:space="preserve"> unchecked — possible relationship only</w:t>
      </w:r>
    </w:p>
    <w:p>
      <w:pPr>
        <w:pStyle w:val="Heading2"/>
      </w:pPr>
      <w:r>
        <w:t>52. Claim + two later sources: Current situation and future prospects for beef production in Europe — A review</w:t>
      </w:r>
    </w:p>
    <w:p>
      <w:pPr>
        <w:pStyle w:val="SourceNote"/>
      </w:pPr>
      <w:r>
        <w:rPr>
          <w:b/>
        </w:rPr>
        <w:t>Group ID:</w:t>
      </w:r>
      <w:r>
        <w:t xml:space="preserve"> group-cbacdd88ce9eb3116b32</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Industry 5.0 in the European Union — https://doi.org/10.1201/9781003785590</w:t>
      </w:r>
    </w:p>
    <w:p>
      <w:pPr/>
      <w:r>
        <w:rPr>
          <w:b/>
        </w:rPr>
        <w:t>Later source:</w:t>
      </w:r>
      <w:r>
        <w:t xml:space="preserve"> AGGLOMERATION, NETWORKS &amp; INSTITUTIONAL SUPPORT IN THE INNOVATIVE EUROPEAN AEROSPACE INDUSTRY — https://doi.org/10.31732/2663-2209-2025-80-225-234</w:t>
      </w:r>
    </w:p>
    <w:p>
      <w:pPr>
        <w:pStyle w:val="SourceNote"/>
      </w:pPr>
      <w:r>
        <w:rPr>
          <w:b/>
        </w:rPr>
        <w:t>Review status:</w:t>
      </w:r>
      <w:r>
        <w:t xml:space="preserve"> unchecked — possible relationship only</w:t>
      </w:r>
    </w:p>
    <w:p>
      <w:pPr>
        <w:pStyle w:val="Heading2"/>
      </w:pPr>
      <w:r>
        <w:t>53. Claim + two later sources: EU land use futures: modelling food, bioenergy and carbon dynamics</w:t>
      </w:r>
    </w:p>
    <w:p>
      <w:pPr>
        <w:pStyle w:val="SourceNote"/>
      </w:pPr>
      <w:r>
        <w:rPr>
          <w:b/>
        </w:rPr>
        <w:t>Group ID:</w:t>
      </w:r>
      <w:r>
        <w:t xml:space="preserve"> group-a503251dd36ae16c11dd</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Sowing the seeds of change: unveiling farmer types to promote climate-smart agriculture adoption in Europe — https://doi.org/10.1016/j.jrurstud.2026.104043</w:t>
      </w:r>
    </w:p>
    <w:p>
      <w:pPr/>
      <w:r>
        <w:rPr>
          <w:b/>
        </w:rPr>
        <w:t>Later source:</w:t>
      </w:r>
      <w:r>
        <w:t xml:space="preserve"> European runoff drought event types: From historical classification to projected future changes — https://doi.org/10.5194/egusphere-2026-973</w:t>
      </w:r>
    </w:p>
    <w:p>
      <w:pPr>
        <w:pStyle w:val="SourceNote"/>
      </w:pPr>
      <w:r>
        <w:rPr>
          <w:b/>
        </w:rPr>
        <w:t>Review status:</w:t>
      </w:r>
      <w:r>
        <w:t xml:space="preserve"> unchecked — possible relationship only</w:t>
      </w:r>
    </w:p>
    <w:p>
      <w:pPr>
        <w:pStyle w:val="Heading2"/>
      </w:pPr>
      <w:r>
        <w:t>54. Claim + two later sources: Forecasting the Diffusion of Gigabit Home Networking In Europe</w:t>
      </w:r>
    </w:p>
    <w:p>
      <w:pPr>
        <w:pStyle w:val="SourceNote"/>
      </w:pPr>
      <w:r>
        <w:rPr>
          <w:b/>
        </w:rPr>
        <w:t>Group ID:</w:t>
      </w:r>
      <w:r>
        <w:t xml:space="preserve"> group-229f60e770b3742548fd</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Stakeholder perspectives to improve risk management in European farming systems — https://doi.org/10.1016/j.jrurstud.2021.04.004</w:t>
      </w:r>
    </w:p>
    <w:p>
      <w:pPr>
        <w:pStyle w:val="SourceNote"/>
      </w:pPr>
      <w:r>
        <w:rPr>
          <w:b/>
        </w:rPr>
        <w:t>Review status:</w:t>
      </w:r>
      <w:r>
        <w:t xml:space="preserve"> unchecked — possible relationship only</w:t>
      </w:r>
    </w:p>
    <w:p>
      <w:pPr>
        <w:pStyle w:val="Heading2"/>
      </w:pPr>
      <w:r>
        <w:t>55. Claim + two later sources: Using scenarios to assess the future supply of NHS nursing staff in England</w:t>
      </w:r>
    </w:p>
    <w:p>
      <w:pPr>
        <w:pStyle w:val="SourceNote"/>
      </w:pPr>
      <w:r>
        <w:rPr>
          <w:b/>
        </w:rPr>
        <w:t>Group ID:</w:t>
      </w:r>
      <w:r>
        <w:t xml:space="preserve"> group-bbb5de2394ceae1322ce</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Of Important — https://doi.org/10.67224/ioasdjbms.2024.v01i02.001</w:t>
      </w:r>
    </w:p>
    <w:p>
      <w:pPr/>
      <w:r>
        <w:rPr>
          <w:b/>
        </w:rPr>
        <w:t>Later source:</w:t>
      </w:r>
      <w:r>
        <w:t xml:space="preserve"> Ground Based-cloud Classification Based on Comparing Different Classification Models — https://doi.org/10.54254/2755-2721/2/20220541</w:t>
      </w:r>
    </w:p>
    <w:p>
      <w:pPr>
        <w:pStyle w:val="SourceNote"/>
      </w:pPr>
      <w:r>
        <w:rPr>
          <w:b/>
        </w:rPr>
        <w:t>Review status:</w:t>
      </w:r>
      <w:r>
        <w:t xml:space="preserve"> unchecked — possible relationship only</w:t>
      </w:r>
    </w:p>
    <w:p>
      <w:pPr>
        <w:pStyle w:val="Heading2"/>
      </w:pPr>
      <w:r>
        <w:t>56. Claim + two later sources: New system of employment forecasting in Poland</w:t>
      </w:r>
    </w:p>
    <w:p>
      <w:pPr>
        <w:pStyle w:val="SourceNote"/>
      </w:pPr>
      <w:r>
        <w:rPr>
          <w:b/>
        </w:rPr>
        <w:t>Group ID:</w:t>
      </w:r>
      <w:r>
        <w:t xml:space="preserve"> group-2d0f65c1b4b1686aa16f</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Medical Brain Drain From Southeastern Europe: Using Digital Demography to Forecast Health Worker Emigration — https://doi.org/10.2196/30831</w:t>
      </w:r>
    </w:p>
    <w:p>
      <w:pPr/>
      <w:r>
        <w:rPr>
          <w:b/>
        </w:rPr>
        <w:t>Later source:</w:t>
      </w:r>
      <w:r>
        <w:t xml:space="preserve"> Summer drought predictability over Europe: empirical versus dynamical forecasts — https://doi.org/10.1088/1748-9326/aa7859</w:t>
      </w:r>
    </w:p>
    <w:p>
      <w:pPr>
        <w:pStyle w:val="SourceNote"/>
      </w:pPr>
      <w:r>
        <w:rPr>
          <w:b/>
        </w:rPr>
        <w:t>Review status:</w:t>
      </w:r>
      <w:r>
        <w:t xml:space="preserve"> unchecked — possible relationship only</w:t>
      </w:r>
    </w:p>
    <w:p>
      <w:pPr>
        <w:pStyle w:val="Heading2"/>
      </w:pPr>
      <w:r>
        <w:t>57.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58. Claim + two later sources: Modeling the climatic suitability of leishmaniasis vector species in Europe</w:t>
      </w:r>
    </w:p>
    <w:p>
      <w:pPr>
        <w:pStyle w:val="SourceNote"/>
      </w:pPr>
      <w:r>
        <w:rPr>
          <w:b/>
        </w:rPr>
        <w:t>Group ID:</w:t>
      </w:r>
      <w:r>
        <w:t xml:space="preserve"> group-53fba9ef8484608b8468</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Ash dieback and hydrology affect tree growth patterns under climate change in European floodplain forests — https://doi.org/10.1038/s41598-025-92079-5</w:t>
      </w:r>
    </w:p>
    <w:p>
      <w:pPr/>
      <w:r>
        <w:rPr>
          <w:b/>
        </w:rPr>
        <w:t>Later source:</w:t>
      </w:r>
      <w:r>
        <w:t xml:space="preserve"> How will climate change affect future European forest productivity by year 2100?: analysis of European species — https://openalex.org/W7138825369</w:t>
      </w:r>
    </w:p>
    <w:p>
      <w:pPr>
        <w:pStyle w:val="SourceNote"/>
      </w:pPr>
      <w:r>
        <w:rPr>
          <w:b/>
        </w:rPr>
        <w:t>Review status:</w:t>
      </w:r>
      <w:r>
        <w:t xml:space="preserve"> unchecked — possible relationship only</w:t>
      </w:r>
    </w:p>
    <w:p>
      <w:pPr>
        <w:pStyle w:val="Heading2"/>
      </w:pPr>
      <w:r>
        <w:t>59. Claim + two later sources: Baltic herring for food: Shades of grey in how backcasting recommendations work across exploratory scenarios</w:t>
      </w:r>
    </w:p>
    <w:p>
      <w:pPr>
        <w:pStyle w:val="SourceNote"/>
      </w:pPr>
      <w:r>
        <w:rPr>
          <w:b/>
        </w:rPr>
        <w:t>Group ID:</w:t>
      </w:r>
      <w:r>
        <w:t xml:space="preserve"> group-0e3247853a5dbc1ea984</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Adherence to dietary recommendations and the risk of developing giant cell arteritis: A nested Case-Control study — https://doi.org/10.1016/j.semarthrit.2026.153003</w:t>
      </w:r>
    </w:p>
    <w:p>
      <w:pPr/>
      <w:r>
        <w:rPr>
          <w:b/>
        </w:rPr>
        <w:t>Later source:</w:t>
      </w:r>
      <w:r>
        <w:t xml:space="preserve"> Emission factors for motorcycles in developing countries: insights and recommendations from a Colombian case study — https://doi.org/10.3389/frsc.2026.1730395</w:t>
      </w:r>
    </w:p>
    <w:p>
      <w:pPr>
        <w:pStyle w:val="SourceNote"/>
      </w:pPr>
      <w:r>
        <w:rPr>
          <w:b/>
        </w:rPr>
        <w:t>Review status:</w:t>
      </w:r>
      <w:r>
        <w:t xml:space="preserve"> unchecked — possible relationship only</w:t>
      </w:r>
    </w:p>
    <w:p>
      <w:pPr>
        <w:pStyle w:val="Heading2"/>
      </w:pPr>
      <w:r>
        <w:t>60. Claim + two later sources: The EU climate and energy policy: what about the new targets for 2030?</w:t>
      </w:r>
    </w:p>
    <w:p>
      <w:pPr>
        <w:pStyle w:val="SourceNote"/>
      </w:pPr>
      <w:r>
        <w:rPr>
          <w:b/>
        </w:rPr>
        <w:t>Group ID:</w:t>
      </w:r>
      <w:r>
        <w:t xml:space="preserve"> group-fb0bece387c9942302c2</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European energy vision 2050 and beyond: Designing scenarios for Europe’s energy transition — https://doi.org/10.1016/j.rser.2025.116074</w:t>
      </w:r>
    </w:p>
    <w:p>
      <w:pPr/>
      <w:r>
        <w:rPr>
          <w:b/>
        </w:rPr>
        <w:t>Later source:</w:t>
      </w:r>
      <w:r>
        <w:t xml:space="preserve"> Primary Energy Factors for Electricity Production in Europe — https://doi.org/10.3390/en16010093</w:t>
      </w:r>
    </w:p>
    <w:p>
      <w:pPr>
        <w:pStyle w:val="SourceNote"/>
      </w:pPr>
      <w:r>
        <w:rPr>
          <w:b/>
        </w:rPr>
        <w:t>Review status:</w:t>
      </w:r>
      <w:r>
        <w:t xml:space="preserve"> unchecked — possible relationship only</w:t>
      </w:r>
    </w:p>
    <w:p>
      <w:pPr>
        <w:pStyle w:val="Heading2"/>
      </w:pPr>
      <w:r>
        <w:t>61.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62.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group-1f61b5d6f4f7012d3240</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r>
        <w:rPr>
          <w:b/>
        </w:rPr>
        <w:t>Later source:</w:t>
      </w:r>
      <w:r>
        <w:t xml:space="preserve"> Servitising rural heritage: Social innovation and the social economy in peripheral Europe — https://doi.org/10.24136/eq.4292</w:t>
      </w:r>
    </w:p>
    <w:p>
      <w:pPr>
        <w:pStyle w:val="SourceNote"/>
      </w:pPr>
      <w:r>
        <w:rPr>
          <w:b/>
        </w:rPr>
        <w:t>Review status:</w:t>
      </w:r>
      <w:r>
        <w:t xml:space="preserve"> unchecked — possible relationship only</w:t>
      </w:r>
    </w:p>
    <w:p>
      <w:pPr>
        <w:pStyle w:val="Heading2"/>
      </w:pPr>
      <w:r>
        <w:t>63. Claim + two later sources: Ensemble flood risk assessment in Europe under high end climate scenarios</w:t>
      </w:r>
    </w:p>
    <w:p>
      <w:pPr>
        <w:pStyle w:val="SourceNote"/>
      </w:pPr>
      <w:r>
        <w:rPr>
          <w:b/>
        </w:rPr>
        <w:t>Group ID:</w:t>
      </w:r>
      <w:r>
        <w:t xml:space="preserve"> group-1d719814bf38c72d97ca</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Working in (Slow) Progress: Socio-Environmental and Economic Dynamics in the Forestry Sector and the Contribution to Sustainable Development in Europe — https://doi.org/10.3390/su151310271</w:t>
      </w:r>
    </w:p>
    <w:p>
      <w:pPr/>
      <w:r>
        <w:rPr>
          <w:b/>
        </w:rPr>
        <w:t>Later source:</w:t>
      </w:r>
      <w:r>
        <w:t xml:space="preserve"> Harnessing on the potential of migrants in the socio-economic development of the Republic of Moldova — https://doi.org/10.53486/2537-6179.9-1.01</w:t>
      </w:r>
    </w:p>
    <w:p>
      <w:pPr>
        <w:pStyle w:val="SourceNote"/>
      </w:pPr>
      <w:r>
        <w:rPr>
          <w:b/>
        </w:rPr>
        <w:t>Review status:</w:t>
      </w:r>
      <w:r>
        <w:t xml:space="preserve"> unchecked — possible relationship only</w:t>
      </w:r>
    </w:p>
    <w:p>
      <w:pPr>
        <w:pStyle w:val="Heading2"/>
      </w:pPr>
      <w:r>
        <w:t>64. Claim + two later sources: Environmental impacts of household appliances in Europe and scenarios for their impact reduction</w:t>
      </w:r>
    </w:p>
    <w:p>
      <w:pPr>
        <w:pStyle w:val="SourceNote"/>
      </w:pPr>
      <w:r>
        <w:rPr>
          <w:b/>
        </w:rPr>
        <w:t>Group ID:</w:t>
      </w:r>
      <w:r>
        <w:t xml:space="preserve"> group-31014abf017df2a25ab1</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Eco-innovation performance in the European Union economies: Perspective on outcomes — https://doi.org/10.15678/ier.2024.1003.02</w:t>
      </w:r>
    </w:p>
    <w:p>
      <w:pPr/>
      <w:r>
        <w:rPr>
          <w:b/>
        </w:rPr>
        <w:t>Later source:</w:t>
      </w:r>
      <w:r>
        <w:t xml:space="preserve"> Nature-Based Solutions in Coastal and Estuarine Areas of Europe — https://doi.org/10.3389/fenvs.2022.829526</w:t>
      </w:r>
    </w:p>
    <w:p>
      <w:pPr>
        <w:pStyle w:val="SourceNote"/>
      </w:pPr>
      <w:r>
        <w:rPr>
          <w:b/>
        </w:rPr>
        <w:t>Review status:</w:t>
      </w:r>
      <w:r>
        <w:t xml:space="preserve"> unchecked — possible relationship only</w:t>
      </w:r>
    </w:p>
    <w:p>
      <w:pPr>
        <w:pStyle w:val="Heading2"/>
      </w:pPr>
      <w:r>
        <w:t>65. Claim + two later sources: Future export markets of industrial wood construction – A qualitative backcasting study</w:t>
      </w:r>
    </w:p>
    <w:p>
      <w:pPr>
        <w:pStyle w:val="SourceNote"/>
      </w:pPr>
      <w:r>
        <w:rPr>
          <w:b/>
        </w:rPr>
        <w:t>Group ID:</w:t>
      </w:r>
      <w:r>
        <w:t xml:space="preserve"> group-9cf643db67921134f9af</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Identifying directions for improving the regulation of the circulation of high-technology innovations in the European Union — https://doi.org/10.15587/1729-4061.2026.362257</w:t>
      </w:r>
    </w:p>
    <w:p>
      <w:pPr>
        <w:pStyle w:val="SourceNote"/>
      </w:pPr>
      <w:r>
        <w:rPr>
          <w:b/>
        </w:rPr>
        <w:t>Review status:</w:t>
      </w:r>
      <w:r>
        <w:t xml:space="preserve"> unchecked — possible relationship only</w:t>
      </w:r>
    </w:p>
    <w:p>
      <w:pPr>
        <w:pStyle w:val="Heading2"/>
      </w:pPr>
      <w:r>
        <w:t>66. Claim + two later sources: The implications of demographic and economic projections on public pension spending in the European Union</w:t>
      </w:r>
    </w:p>
    <w:p>
      <w:pPr>
        <w:pStyle w:val="SourceNote"/>
      </w:pPr>
      <w:r>
        <w:rPr>
          <w:b/>
        </w:rPr>
        <w:t>Group ID:</w:t>
      </w:r>
      <w:r>
        <w:t xml:space="preserve"> group-12d744b3ed8f9e50732a</w:t>
      </w:r>
    </w:p>
    <w:p>
      <w:pPr>
        <w:pStyle w:val="SourceNote"/>
      </w:pPr>
      <w:r>
        <w:rPr>
          <w:b/>
        </w:rPr>
        <w:t>Original source:</w:t>
      </w:r>
      <w:r>
        <w:t xml:space="preserve"> https://doi.org/10.1080/21699763.2017.1411288</w:t>
      </w:r>
    </w:p>
    <w:p>
      <w:pPr/>
      <w:r>
        <w:rPr>
          <w:b/>
        </w:rPr>
        <w:t>Original future claim:</w:t>
      </w:r>
      <w:r>
        <w:t xml:space="preserve"> Abstract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Australia-European Union Free Trade Agreement negotiations conclude: implications for Australian and EU geographical indications — https://doi.org/10.1093/jiplp/jpag079</w:t>
      </w:r>
    </w:p>
    <w:p>
      <w:pPr/>
      <w:r>
        <w:rPr>
          <w:b/>
        </w:rPr>
        <w:t>Later source:</w:t>
      </w:r>
      <w:r>
        <w:t xml:space="preserve"> Deprivations Rarely Come Alone. Multidimensional Poverty Dynamics in Europe — https://doi.org/10.1111/roiw.70031</w:t>
      </w:r>
    </w:p>
    <w:p>
      <w:pPr>
        <w:pStyle w:val="SourceNote"/>
      </w:pPr>
      <w:r>
        <w:rPr>
          <w:b/>
        </w:rPr>
        <w:t>Review status:</w:t>
      </w:r>
      <w:r>
        <w:t xml:space="preserve"> unchecked — possible relationship only</w:t>
      </w:r>
    </w:p>
    <w:p>
      <w:pPr>
        <w:pStyle w:val="Heading2"/>
      </w:pPr>
      <w:r>
        <w:t>67. Claim + two later sources: Actual and potential development of consumer demand on the organic food market in Europe</w:t>
      </w:r>
    </w:p>
    <w:p>
      <w:pPr>
        <w:pStyle w:val="SourceNote"/>
      </w:pPr>
      <w:r>
        <w:rPr>
          <w:b/>
        </w:rPr>
        <w:t>Group ID:</w:t>
      </w:r>
      <w:r>
        <w:t xml:space="preserve"> group-cf1a724cef2bbecd4a87</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Future area expansion outweighs increasing drought risk for soybean in Europe — https://doi.org/10.1111/gcb.16562</w:t>
      </w:r>
    </w:p>
    <w:p>
      <w:pPr/>
      <w:r>
        <w:rPr>
          <w:b/>
        </w:rPr>
        <w:t>Later source:</w:t>
      </w:r>
      <w:r>
        <w:t xml:space="preserve"> Stam Portugal and its expansion through Europe — https://openalex.org/W2971433702</w:t>
      </w:r>
    </w:p>
    <w:p>
      <w:pPr>
        <w:pStyle w:val="SourceNote"/>
      </w:pPr>
      <w:r>
        <w:rPr>
          <w:b/>
        </w:rPr>
        <w:t>Review status:</w:t>
      </w:r>
      <w:r>
        <w:t xml:space="preserve"> unchecked — possible relationship only</w:t>
      </w:r>
    </w:p>
    <w:p>
      <w:pPr>
        <w:pStyle w:val="Heading2"/>
      </w:pPr>
      <w:r>
        <w:t>68. Claim + two later sources: Advancing tools to promote health equity across European Union regions: the EURO-HEALTHY project</w:t>
      </w:r>
    </w:p>
    <w:p>
      <w:pPr>
        <w:pStyle w:val="SourceNote"/>
      </w:pPr>
      <w:r>
        <w:rPr>
          <w:b/>
        </w:rPr>
        <w:t>Group ID:</w:t>
      </w:r>
      <w:r>
        <w:t xml:space="preserve"> group-3a8d42448ca9aa223c7a</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European cloud computing policy: failing in Europe to succeed nationally? — https://doi.org/10.1080/01402382.2025.2491962</w:t>
      </w:r>
    </w:p>
    <w:p>
      <w:pPr>
        <w:pStyle w:val="SourceNote"/>
      </w:pPr>
      <w:r>
        <w:rPr>
          <w:b/>
        </w:rPr>
        <w:t>Review status:</w:t>
      </w:r>
      <w:r>
        <w:t xml:space="preserve"> unchecked — possible relationship only</w:t>
      </w:r>
    </w:p>
    <w:p>
      <w:pPr>
        <w:pStyle w:val="Heading2"/>
      </w:pPr>
      <w:r>
        <w:t>69. Claim + two later sources: The Current Picture of the Transition to a Green Economy in the EU—Trends in Climate and Energy Policy versus State Security</w:t>
      </w:r>
    </w:p>
    <w:p>
      <w:pPr>
        <w:pStyle w:val="SourceNote"/>
      </w:pPr>
      <w:r>
        <w:rPr>
          <w:b/>
        </w:rPr>
        <w:t>Group ID:</w:t>
      </w:r>
      <w:r>
        <w:t xml:space="preserve"> group-af3cec9c327a34583098</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The Communion of Protestant Churches in Europe and European integration — https://doi.org/10.31261/ssht.2025.58.1.05</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possible relationship only</w:t>
      </w:r>
    </w:p>
    <w:p>
      <w:pPr>
        <w:pStyle w:val="Heading2"/>
      </w:pPr>
      <w:r>
        <w:t>70. Claim + two later sources: The European Union and Africa towards 2030: perspectives from transnational civil society organisations</w:t>
      </w:r>
    </w:p>
    <w:p>
      <w:pPr>
        <w:pStyle w:val="SourceNote"/>
      </w:pPr>
      <w:r>
        <w:rPr>
          <w:b/>
        </w:rPr>
        <w:t>Group ID:</w:t>
      </w:r>
      <w:r>
        <w:t xml:space="preserve"> group-7186f9abcb27a5c48c7d</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Map and Track the Performance in Education for Sustainable Development across the European Union — https://doi.org/10.3390/su132313185</w:t>
      </w:r>
    </w:p>
    <w:p>
      <w:pPr/>
      <w:r>
        <w:rPr>
          <w:b/>
        </w:rPr>
        <w:t>Later source:</w:t>
      </w:r>
      <w:r>
        <w:t xml:space="preserve"> In Search of a Global Approach to Air Pollution: Some Legal Reflections on the Role of the SDGs — https://doi.org/10.1177/18785395261435146</w:t>
      </w:r>
    </w:p>
    <w:p>
      <w:pPr>
        <w:pStyle w:val="SourceNote"/>
      </w:pPr>
      <w:r>
        <w:rPr>
          <w:b/>
        </w:rPr>
        <w:t>Review status:</w:t>
      </w:r>
      <w:r>
        <w:t xml:space="preserve"> unchecked — possible relationship only</w:t>
      </w:r>
    </w:p>
    <w:p>
      <w:pPr>
        <w:pStyle w:val="Heading2"/>
      </w:pPr>
      <w:r>
        <w:t>71. Claim + two later sources: European cephalopods distribution under climate-change scenarios</w:t>
      </w:r>
    </w:p>
    <w:p>
      <w:pPr>
        <w:pStyle w:val="SourceNote"/>
      </w:pPr>
      <w:r>
        <w:rPr>
          <w:b/>
        </w:rPr>
        <w:t>Group ID:</w:t>
      </w:r>
      <w:r>
        <w:t xml:space="preserve"> group-9ab1ad1243f8e3380145</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Arterial hypertension–attributable mortality in Europe: implications for the Americas — https://doi.org/10.1097/hjh.0000000000004190</w:t>
      </w:r>
    </w:p>
    <w:p>
      <w:pPr/>
      <w:r>
        <w:rPr>
          <w:b/>
        </w:rPr>
        <w:t>Later source:</w:t>
      </w:r>
      <w:r>
        <w:t xml:space="preserve"> Understanding and addressing shortfalls in European wild bee data — https://doi.org/10.1016/j.biocon.2024.110455</w:t>
      </w:r>
    </w:p>
    <w:p>
      <w:pPr>
        <w:pStyle w:val="SourceNote"/>
      </w:pPr>
      <w:r>
        <w:rPr>
          <w:b/>
        </w:rPr>
        <w:t>Review status:</w:t>
      </w:r>
      <w:r>
        <w:t xml:space="preserve"> unchecked — possible relationship only</w:t>
      </w:r>
    </w:p>
    <w:p>
      <w:pPr>
        <w:pStyle w:val="Heading2"/>
      </w:pPr>
      <w:r>
        <w:t>72. Claim + two later sources: A forecast of international migration flows into EU countries until 2050</w:t>
      </w:r>
    </w:p>
    <w:p>
      <w:pPr>
        <w:pStyle w:val="SourceNote"/>
      </w:pPr>
      <w:r>
        <w:rPr>
          <w:b/>
        </w:rPr>
        <w:t>Group ID:</w:t>
      </w:r>
      <w:r>
        <w:t xml:space="preserve"> group-29d3e3574dc2dd9997cd</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Data Sources for International Migration in Europe: Categories, Definitions and Policy Uses — https://openalex.org/W7123388283</w:t>
      </w:r>
    </w:p>
    <w:p>
      <w:pPr/>
      <w:r>
        <w:rPr>
          <w:b/>
        </w:rPr>
        <w:t>Later source:</w:t>
      </w:r>
      <w:r>
        <w:t xml:space="preserve"> Estimating migration and mortality rates for European sea bass ( Dicentrarchus labrax ) using electronic tagging data — https://doi.org/10.1093/icesjms/fsag043</w:t>
      </w:r>
    </w:p>
    <w:p>
      <w:pPr>
        <w:pStyle w:val="SourceNote"/>
      </w:pPr>
      <w:r>
        <w:rPr>
          <w:b/>
        </w:rPr>
        <w:t>Review status:</w:t>
      </w:r>
      <w:r>
        <w:t xml:space="preserve"> unchecked — possible relationship only</w:t>
      </w:r>
    </w:p>
    <w:p>
      <w:pPr>
        <w:pStyle w:val="Heading2"/>
      </w:pPr>
      <w:r>
        <w:t>73. Claim + two later sources: How much can societal turning points affect forecasts’ accuracy in Europe? Case of post-communistic transformation in Slovakia and the Czech Republic</w:t>
      </w:r>
    </w:p>
    <w:p>
      <w:pPr>
        <w:pStyle w:val="SourceNote"/>
      </w:pPr>
      <w:r>
        <w:rPr>
          <w:b/>
        </w:rPr>
        <w:t>Group ID:</w:t>
      </w:r>
      <w:r>
        <w:t xml:space="preserve"> group-676c879cc7b0b929c888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Ecospirituality in French-Speaking Europe: Linking Ecological Thought with Alternative Spirituality — https://doi.org/10.3390/rel14040510</w:t>
      </w:r>
    </w:p>
    <w:p>
      <w:pPr/>
      <w:r>
        <w:rPr>
          <w:b/>
        </w:rPr>
        <w:t>Later source:</w:t>
      </w:r>
      <w:r>
        <w:t xml:space="preserve"> Temporal PROMETHEE II — New multi-criteria approach to sustainable management of alternative fuels consumption — https://doi.org/10.1016/j.jclepro.2023.137445</w:t>
      </w:r>
    </w:p>
    <w:p>
      <w:pPr>
        <w:pStyle w:val="SourceNote"/>
      </w:pPr>
      <w:r>
        <w:rPr>
          <w:b/>
        </w:rPr>
        <w:t>Review status:</w:t>
      </w:r>
      <w:r>
        <w:t xml:space="preserve"> unchecked — possible relationship only</w:t>
      </w:r>
    </w:p>
    <w:p>
      <w:pPr>
        <w:pStyle w:val="Heading2"/>
      </w:pPr>
      <w:r>
        <w:t>74. Claim + two later sources: Macro Study of Global Electric Vehicle Expansion</w:t>
      </w:r>
    </w:p>
    <w:p>
      <w:pPr>
        <w:pStyle w:val="SourceNote"/>
      </w:pPr>
      <w:r>
        <w:rPr>
          <w:b/>
        </w:rPr>
        <w:t>Group ID:</w:t>
      </w:r>
      <w:r>
        <w:t xml:space="preserve"> group-a1f7a08080f4c507d7df</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Global trends in electric vehicle adoption and the impact of environmental awareness, user attributes, and barriers — https://doi.org/10.1016/j.egyr.2024.12.054</w:t>
      </w:r>
    </w:p>
    <w:p>
      <w:pPr/>
      <w:r>
        <w:rPr>
          <w:b/>
        </w:rPr>
        <w:t>Later source:</w:t>
      </w:r>
      <w:r>
        <w:t xml:space="preserve"> What has driven the adoption of BEV and PHEV in the EU? — https://doi.org/10.1016/j.rtbm.2025.101331</w:t>
      </w:r>
    </w:p>
    <w:p>
      <w:pPr>
        <w:pStyle w:val="SourceNote"/>
      </w:pPr>
      <w:r>
        <w:rPr>
          <w:b/>
        </w:rPr>
        <w:t>Review status:</w:t>
      </w:r>
      <w:r>
        <w:t xml:space="preserve"> unchecked — possible relationship only</w:t>
      </w:r>
    </w:p>
    <w:p>
      <w:pPr>
        <w:pStyle w:val="Heading2"/>
      </w:pPr>
      <w:r>
        <w:t>75. Claim + two later sources: The future of direct payments system in the EU agriculture; European Commission scenarios</w:t>
      </w:r>
    </w:p>
    <w:p>
      <w:pPr>
        <w:pStyle w:val="SourceNote"/>
      </w:pPr>
      <w:r>
        <w:rPr>
          <w:b/>
        </w:rPr>
        <w:t>Group ID:</w:t>
      </w:r>
      <w:r>
        <w:t xml:space="preserve"> group-9bb69da1d2f35ecd40bd</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Disinformation regarding COVID-19 in light of the priorities of the European Commission and the legal regulations binding and currently drafted in Poland — https://doi.org/10.31743/recl.13539</w:t>
      </w:r>
    </w:p>
    <w:p>
      <w:pPr/>
      <w:r>
        <w:rPr>
          <w:b/>
        </w:rPr>
        <w:t>Later source:</w:t>
      </w:r>
      <w:r>
        <w:t xml:space="preserve"> Judicial coherence in the current European patent system — https://doi.org/10.4337/9781800880078.00009</w:t>
      </w:r>
    </w:p>
    <w:p>
      <w:pPr>
        <w:pStyle w:val="SourceNote"/>
      </w:pPr>
      <w:r>
        <w:rPr>
          <w:b/>
        </w:rPr>
        <w:t>Review status:</w:t>
      </w:r>
      <w:r>
        <w:t xml:space="preserve"> unchecked — possible relationship only</w:t>
      </w:r>
    </w:p>
    <w:p>
      <w:pPr>
        <w:pStyle w:val="Heading2"/>
      </w:pPr>
      <w:r>
        <w:t>76. Claim + two later sources: Impacts of Scaling up Agroecology on the Sustainability of European Agriculture in 2050</w:t>
      </w:r>
    </w:p>
    <w:p>
      <w:pPr>
        <w:pStyle w:val="SourceNote"/>
      </w:pPr>
      <w:r>
        <w:rPr>
          <w:b/>
        </w:rPr>
        <w:t>Group ID:</w:t>
      </w:r>
      <w:r>
        <w:t xml:space="preserve"> group-72b7215725bf7e53176c</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Environmental and socio-economic effects of construction and demolition waste recycling in the European Union — https://doi.org/10.1016/j.scitotenv.2023.168295</w:t>
      </w:r>
    </w:p>
    <w:p>
      <w:pPr>
        <w:pStyle w:val="SourceNote"/>
      </w:pPr>
      <w:r>
        <w:rPr>
          <w:b/>
        </w:rPr>
        <w:t>Review status:</w:t>
      </w:r>
      <w:r>
        <w:t xml:space="preserve"> unchecked — possible relationship only</w:t>
      </w:r>
    </w:p>
    <w:p>
      <w:pPr>
        <w:pStyle w:val="Heading2"/>
      </w:pPr>
      <w:r>
        <w:t>77. Claim + two later sources: How to Achieve a Healthier and More Sustainable Europe by 2040 According to the Public? Results of a Five-Country Questionnaire Survey</w:t>
      </w:r>
    </w:p>
    <w:p>
      <w:pPr>
        <w:pStyle w:val="SourceNote"/>
      </w:pPr>
      <w:r>
        <w:rPr>
          <w:b/>
        </w:rPr>
        <w:t>Group ID:</w:t>
      </w:r>
      <w:r>
        <w:t xml:space="preserve"> group-2f5c77fae25c9ca47505</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Power, inclusion and the role of SMEs in European public procurement — https://doi.org/10.1108/jpbafm-06-2025-0169</w:t>
      </w:r>
    </w:p>
    <w:p>
      <w:pPr/>
      <w:r>
        <w:rPr>
          <w:b/>
        </w:rPr>
        <w:t>Later source:</w:t>
      </w:r>
      <w:r>
        <w:t xml:space="preserve"> CONTEMPORARY EUROPEAN CONCEPTS OF PUBLIC ADMINISTRATION IN THE CONTEXT OF DIGITAL TRANSFORMATION AND THEIR LEGAL FRAMEWORK — https://doi.org/10.36690/2674-5216-2025-1-99-109</w:t>
      </w:r>
    </w:p>
    <w:p>
      <w:pPr>
        <w:pStyle w:val="SourceNote"/>
      </w:pPr>
      <w:r>
        <w:rPr>
          <w:b/>
        </w:rPr>
        <w:t>Review status:</w:t>
      </w:r>
      <w:r>
        <w:t xml:space="preserve"> unchecked — possible relationship only</w:t>
      </w:r>
    </w:p>
    <w:p>
      <w:pPr>
        <w:pStyle w:val="Heading2"/>
      </w:pPr>
      <w:r>
        <w:t>78. Claim + two later sources: Environmental water quantity projections under market-driven and sustainability-driven future scenarios in the Narew basin, Poland</w:t>
      </w:r>
    </w:p>
    <w:p>
      <w:pPr>
        <w:pStyle w:val="SourceNote"/>
      </w:pPr>
      <w:r>
        <w:rPr>
          <w:b/>
        </w:rPr>
        <w:t>Group ID:</w:t>
      </w:r>
      <w:r>
        <w:t xml:space="preserve"> group-8cd101ebe203541bc49f</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Assessing Current Coastal Subsidence at Continental Scale: Insights From Europe Using the European Ground Motion Service — https://doi.org/10.1029/2024ef004523</w:t>
      </w:r>
    </w:p>
    <w:p>
      <w:pPr>
        <w:pStyle w:val="SourceNote"/>
      </w:pPr>
      <w:r>
        <w:rPr>
          <w:b/>
        </w:rPr>
        <w:t>Review status:</w:t>
      </w:r>
      <w:r>
        <w:t xml:space="preserve"> unchecked — possible relationship only</w:t>
      </w:r>
    </w:p>
    <w:p>
      <w:pPr>
        <w:pStyle w:val="Heading2"/>
      </w:pPr>
      <w:r>
        <w:t>79.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possible relationship only</w:t>
      </w:r>
    </w:p>
    <w:p>
      <w:pPr>
        <w:pStyle w:val="Heading2"/>
      </w:pPr>
      <w:r>
        <w:t>80. Claim + two later sources: Towards a sustainable European energy system: Linking optimization models with multi-regional input-output analysis</w:t>
      </w:r>
    </w:p>
    <w:p>
      <w:pPr>
        <w:pStyle w:val="SourceNote"/>
      </w:pPr>
      <w:r>
        <w:rPr>
          <w:b/>
        </w:rPr>
        <w:t>Group ID:</w:t>
      </w:r>
      <w:r>
        <w:t xml:space="preserve"> group-4ab0fad9592172abd058</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Analysis of Two-Side Wood Joints Using the European Yield Model (EYM) Method Referring to SNI 7973:2013 — https://doi.org/10.38124/ijisrt/25dec821</w:t>
      </w:r>
    </w:p>
    <w:p>
      <w:pPr/>
      <w:r>
        <w:rPr>
          <w:b/>
        </w:rPr>
        <w:t>Later source:</w:t>
      </w:r>
      <w:r>
        <w:t xml:space="preserve"> Modeling and forecasting the spread of COVID-19 with stochastic and deterministic approaches: Africa and Europe — https://doi.org/10.1186/s13662-021-03213-2</w:t>
      </w:r>
    </w:p>
    <w:p>
      <w:pPr>
        <w:pStyle w:val="SourceNote"/>
      </w:pPr>
      <w:r>
        <w:rPr>
          <w:b/>
        </w:rPr>
        <w:t>Review status:</w:t>
      </w:r>
      <w:r>
        <w:t xml:space="preserve"> unchecked — possible relationship only</w:t>
      </w:r>
    </w:p>
    <w:p>
      <w:pPr>
        <w:pStyle w:val="Heading2"/>
      </w:pPr>
      <w:r>
        <w:t>81.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82. Claim + two later sources: The feasibility of a European‐wide integrated CO 2 transport network</w:t>
      </w:r>
    </w:p>
    <w:p>
      <w:pPr>
        <w:pStyle w:val="SourceNote"/>
      </w:pPr>
      <w:r>
        <w:rPr>
          <w:b/>
        </w:rPr>
        <w:t>Group ID:</w:t>
      </w:r>
      <w:r>
        <w:t xml:space="preserve"> group-ba9f26ab7c223700417a</w:t>
      </w:r>
    </w:p>
    <w:p>
      <w:pPr>
        <w:pStyle w:val="SourceNote"/>
      </w:pPr>
      <w:r>
        <w:rPr>
          <w:b/>
        </w:rPr>
        <w:t>Original source:</w:t>
      </w:r>
      <w:r>
        <w:t xml:space="preserve"> https://doi.org/10.1002/ghg.1410</w:t>
      </w:r>
    </w:p>
    <w:p>
      <w:pPr/>
      <w:r>
        <w:rPr>
          <w:b/>
        </w:rPr>
        <w:t>Original future claim:</w:t>
      </w:r>
      <w:r>
        <w:t xml:space="preserve"> Abstract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Wanted Refugees: The Forming of an Instrument Constituency for Refugee Resettlement in the European Union — https://doi.org/10.1093/rsq/hdae006</w:t>
      </w:r>
    </w:p>
    <w:p>
      <w:pPr/>
      <w:r>
        <w:rPr>
          <w:b/>
        </w:rPr>
        <w:t>Later source:</w:t>
      </w:r>
      <w:r>
        <w:t xml:space="preserve"> Climate Obstruction in the European Union — https://doi.org/10.1093/oso/9780197762042.003.0013</w:t>
      </w:r>
    </w:p>
    <w:p>
      <w:pPr>
        <w:pStyle w:val="SourceNote"/>
      </w:pPr>
      <w:r>
        <w:rPr>
          <w:b/>
        </w:rPr>
        <w:t>Review status:</w:t>
      </w:r>
      <w:r>
        <w:t xml:space="preserve"> unchecked — possible relationship only</w:t>
      </w:r>
    </w:p>
    <w:p>
      <w:pPr>
        <w:pStyle w:val="Heading2"/>
      </w:pPr>
      <w:r>
        <w:t>83. Claim + two later sources: The future of financial markets and regulation: what strategy for Europe?</w:t>
      </w:r>
    </w:p>
    <w:p>
      <w:pPr>
        <w:pStyle w:val="SourceNote"/>
      </w:pPr>
      <w:r>
        <w:rPr>
          <w:b/>
        </w:rPr>
        <w:t>Group ID:</w:t>
      </w:r>
      <w:r>
        <w:t xml:space="preserve"> group-5bb8c763fe14bb3a7f71</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On the Interplay of Ownership Patterns, Biodiversity, and Conservation in Past and Present Temperate Forest Landscapes of Europe and North America — https://doi.org/10.1007/s40725-021-00143-w</w:t>
      </w:r>
    </w:p>
    <w:p>
      <w:pPr/>
      <w:r>
        <w:rPr>
          <w:b/>
        </w:rPr>
        <w:t>Later source:</w:t>
      </w:r>
      <w:r>
        <w:t xml:space="preserve"> Building ‘implicit partnerships’? Financial long-term care entitlements in Europe — https://doi.org/10.1007/s11077-020-09403-1</w:t>
      </w:r>
    </w:p>
    <w:p>
      <w:pPr>
        <w:pStyle w:val="SourceNote"/>
      </w:pPr>
      <w:r>
        <w:rPr>
          <w:b/>
        </w:rPr>
        <w:t>Review status:</w:t>
      </w:r>
      <w:r>
        <w:t xml:space="preserve"> unchecked — possible relationship only</w:t>
      </w:r>
    </w:p>
    <w:p>
      <w:pPr>
        <w:pStyle w:val="Heading2"/>
      </w:pPr>
      <w:r>
        <w:t>84. Claim + two later sources: Will the real security foresight expert please stand up?</w:t>
      </w:r>
    </w:p>
    <w:p>
      <w:pPr>
        <w:pStyle w:val="SourceNote"/>
      </w:pPr>
      <w:r>
        <w:rPr>
          <w:b/>
        </w:rPr>
        <w:t>Group ID:</w:t>
      </w:r>
      <w:r>
        <w:t xml:space="preserve"> group-be5dde5653b6baa7e2e6</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Language teaching in Europe: A comparative overview of pedagogical, theoretical and decolonial approaches from the region — https://openalex.org/W7208794743</w:t>
      </w:r>
    </w:p>
    <w:p>
      <w:pPr/>
      <w:r>
        <w:rPr>
          <w:b/>
        </w:rPr>
        <w:t>Later source:</w:t>
      </w:r>
      <w:r>
        <w:t xml:space="preserve"> Emergency Regimes in the European Constitutions – A Comparative Overview — https://doi.org/10.1017/err.2025.22</w:t>
      </w:r>
    </w:p>
    <w:p>
      <w:pPr>
        <w:pStyle w:val="SourceNote"/>
      </w:pPr>
      <w:r>
        <w:rPr>
          <w:b/>
        </w:rPr>
        <w:t>Review status:</w:t>
      </w:r>
      <w:r>
        <w:t xml:space="preserve"> unchecked — possible relationship only</w:t>
      </w:r>
    </w:p>
    <w:p>
      <w:pPr>
        <w:pStyle w:val="Heading2"/>
      </w:pPr>
      <w:r>
        <w:t>85. Claim + two later sources: The state of democracy in the European Union in scenarios: federation, empire and Europe à la carte</w:t>
      </w:r>
    </w:p>
    <w:p>
      <w:pPr>
        <w:pStyle w:val="SourceNote"/>
      </w:pPr>
      <w:r>
        <w:rPr>
          <w:b/>
        </w:rPr>
        <w:t>Group ID:</w:t>
      </w:r>
      <w:r>
        <w:t xml:space="preserve"> group-f83b34d60b8417f14b9a</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The Communion of Protestant Churches in Europe and European integration — https://doi.org/10.31261/ssht.2025.58.1.05</w:t>
      </w:r>
    </w:p>
    <w:p>
      <w:pPr/>
      <w:r>
        <w:rPr>
          <w:b/>
        </w:rPr>
        <w:t>Later source:</w:t>
      </w:r>
      <w:r>
        <w:t xml:space="preserve"> A Mapping of Textile Waste Recycling Technologies in Europe and Spain — https://doi.org/10.3390/textiles4030022</w:t>
      </w:r>
    </w:p>
    <w:p>
      <w:pPr>
        <w:pStyle w:val="SourceNote"/>
      </w:pPr>
      <w:r>
        <w:rPr>
          <w:b/>
        </w:rPr>
        <w:t>Review status:</w:t>
      </w:r>
      <w:r>
        <w:t xml:space="preserve"> unchecked — possible relationship only</w:t>
      </w:r>
    </w:p>
    <w:p>
      <w:pPr>
        <w:pStyle w:val="Heading2"/>
      </w:pPr>
      <w:r>
        <w:t>86. Claim + two later sources: Diverging hydrological drought traits over Europe with global warming</w:t>
      </w:r>
    </w:p>
    <w:p>
      <w:pPr>
        <w:pStyle w:val="SourceNote"/>
      </w:pPr>
      <w:r>
        <w:rPr>
          <w:b/>
        </w:rPr>
        <w:t>Group ID:</w:t>
      </w:r>
      <w:r>
        <w:t xml:space="preserve"> group-2bd5af1c28496cffa6ef</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Future changes in frequency and intensity of meteorological and hydrological droughts in Denmark — https://doi.org/10.5194/egusphere-egu26-5003</w:t>
      </w:r>
    </w:p>
    <w:p>
      <w:pPr/>
      <w:r>
        <w:rPr>
          <w:b/>
        </w:rPr>
        <w:t>Later source:</w:t>
      </w:r>
      <w:r>
        <w:t xml:space="preserve"> Hydrological drought but not flood synchronicity increases over Europe — https://doi.org/10.5194/egusphere-egu26-4770</w:t>
      </w:r>
    </w:p>
    <w:p>
      <w:pPr>
        <w:pStyle w:val="SourceNote"/>
      </w:pPr>
      <w:r>
        <w:rPr>
          <w:b/>
        </w:rPr>
        <w:t>Review status:</w:t>
      </w:r>
      <w:r>
        <w:t xml:space="preserve"> unchecked — possible relationship only</w:t>
      </w:r>
    </w:p>
    <w:p>
      <w:pPr>
        <w:pStyle w:val="Heading2"/>
      </w:pPr>
      <w:r>
        <w:t>87. Claim + two later sources: Climate, Energy – and Environment? Reconciliation of EU Environmental Law with the Implementation Realities of EU Climate Law</w:t>
      </w:r>
    </w:p>
    <w:p>
      <w:pPr>
        <w:pStyle w:val="SourceNote"/>
      </w:pPr>
      <w:r>
        <w:rPr>
          <w:b/>
        </w:rPr>
        <w:t>Group ID:</w:t>
      </w:r>
      <w:r>
        <w:t xml:space="preserve"> group-4585bdd3411c67ffa421</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Urban Planning and Environmental Protection in the Mirror of the Case Law of the European Court of Human Rights — https://doi.org/10.14207/ejsd.2026.v15n1p903</w:t>
      </w:r>
    </w:p>
    <w:p>
      <w:pPr/>
      <w:r>
        <w:rPr>
          <w:b/>
        </w:rPr>
        <w:t>Later source:</w:t>
      </w:r>
      <w:r>
        <w:t xml:space="preserve"> Analysis of the institutional arrangement for environmental protection in Georgia — https://doi.org/10.36962/nec21012026-118</w:t>
      </w:r>
    </w:p>
    <w:p>
      <w:pPr>
        <w:pStyle w:val="SourceNote"/>
      </w:pPr>
      <w:r>
        <w:rPr>
          <w:b/>
        </w:rPr>
        <w:t>Review status:</w:t>
      </w:r>
      <w:r>
        <w:t xml:space="preserve"> unchecked — possible relationship only</w:t>
      </w:r>
    </w:p>
    <w:p>
      <w:pPr>
        <w:pStyle w:val="Heading2"/>
      </w:pPr>
      <w:r>
        <w:t>88. Claim + two later sources: Population aging, migration, and productivity in Europe</w:t>
      </w:r>
    </w:p>
    <w:p>
      <w:pPr>
        <w:pStyle w:val="SourceNote"/>
      </w:pPr>
      <w:r>
        <w:rPr>
          <w:b/>
        </w:rPr>
        <w:t>Group ID:</w:t>
      </w:r>
      <w:r>
        <w:t xml:space="preserve"> group-8fc22b974ddb9e1f1064</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Policies of Plastic Use in European Countries — https://doi.org/10.1201/9781003387862-3</w:t>
      </w:r>
    </w:p>
    <w:p>
      <w:pPr/>
      <w:r>
        <w:rPr>
          <w:b/>
        </w:rPr>
        <w:t>Later source:</w:t>
      </w:r>
      <w:r>
        <w:t xml:space="preserve"> The value of national defense: Assessing public preferences for defense policy options — https://doi.org/10.1016/j.ejpoleco.2024.102595</w:t>
      </w:r>
    </w:p>
    <w:p>
      <w:pPr>
        <w:pStyle w:val="SourceNote"/>
      </w:pPr>
      <w:r>
        <w:rPr>
          <w:b/>
        </w:rPr>
        <w:t>Review status:</w:t>
      </w:r>
      <w:r>
        <w:t xml:space="preserve"> unchecked — possible relationship only</w:t>
      </w:r>
    </w:p>
    <w:p>
      <w:pPr>
        <w:pStyle w:val="Heading2"/>
      </w:pPr>
      <w:r>
        <w:t>89. Claim + two later sources: Future Scenarios of European Forests</w:t>
      </w:r>
    </w:p>
    <w:p>
      <w:pPr>
        <w:pStyle w:val="SourceNote"/>
      </w:pPr>
      <w:r>
        <w:rPr>
          <w:b/>
        </w:rPr>
        <w:t>Group ID:</w:t>
      </w:r>
      <w:r>
        <w:t xml:space="preserve"> group-c8f3fa111c945fdb9201</w:t>
      </w:r>
    </w:p>
    <w:p>
      <w:pPr>
        <w:pStyle w:val="SourceNote"/>
      </w:pPr>
      <w:r>
        <w:rPr>
          <w:b/>
        </w:rPr>
        <w:t>Original source:</w:t>
      </w:r>
      <w:r>
        <w:t xml:space="preserve"> https://doi.org/10.2478/jlecol-2018-0020</w:t>
      </w:r>
    </w:p>
    <w:p>
      <w:pPr/>
      <w:r>
        <w:rPr>
          <w:b/>
        </w:rPr>
        <w:t>Original future claim:</w:t>
      </w:r>
      <w:r>
        <w:t xml:space="preserve">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Contrasting mechanisms driving the northward expansion of African raptors in Europe — https://doi.org/10.1111/jzo.70124</w:t>
      </w:r>
    </w:p>
    <w:p>
      <w:pPr/>
      <w:r>
        <w:rPr>
          <w:b/>
        </w:rPr>
        <w:t>Later source:</w:t>
      </w:r>
      <w:r>
        <w:t xml:space="preserve"> A Climatology of Convective Precipitation over Europe — https://doi.org/10.1175/mwr-d-23-0156.1</w:t>
      </w:r>
    </w:p>
    <w:p>
      <w:pPr>
        <w:pStyle w:val="SourceNote"/>
      </w:pPr>
      <w:r>
        <w:rPr>
          <w:b/>
        </w:rPr>
        <w:t>Review status:</w:t>
      </w:r>
      <w:r>
        <w:t xml:space="preserve"> unchecked — possible relationship only</w:t>
      </w:r>
    </w:p>
    <w:p>
      <w:pPr>
        <w:pStyle w:val="Heading2"/>
      </w:pPr>
      <w:r>
        <w:t>90. Claim + two later sources: The development of a system of «green» skills in the strategizing of labor resources of industrial enterprises</w:t>
      </w:r>
    </w:p>
    <w:p>
      <w:pPr>
        <w:pStyle w:val="SourceNote"/>
      </w:pPr>
      <w:r>
        <w:rPr>
          <w:b/>
        </w:rPr>
        <w:t>Group ID:</w:t>
      </w:r>
      <w:r>
        <w:t xml:space="preserve"> group-62566c3df3ae55e099fc</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Theory and Practice of Gas Consumption Forecasting in Planning the Development of Regional Gas Supply Systems — https://doi.org/10.1134/s1075700725700935</w:t>
      </w:r>
    </w:p>
    <w:p>
      <w:pPr/>
      <w:r>
        <w:rPr>
          <w:b/>
        </w:rPr>
        <w:t>Later source:</w:t>
      </w:r>
      <w:r>
        <w:t xml:space="preserve"> FORECASTS OF THE NUMBER OF CATTLE GRAZED ON PASTURES IN THE REPUBLIC OF KARAKALPAKSTAN — https://doi.org/10.5281/zenodo.21772231</w:t>
      </w:r>
    </w:p>
    <w:p>
      <w:pPr>
        <w:pStyle w:val="SourceNote"/>
      </w:pPr>
      <w:r>
        <w:rPr>
          <w:b/>
        </w:rPr>
        <w:t>Review status:</w:t>
      </w:r>
      <w:r>
        <w:t xml:space="preserve"> unchecked — possible relationship only</w:t>
      </w:r>
    </w:p>
    <w:p>
      <w:pPr>
        <w:pStyle w:val="Heading2"/>
      </w:pPr>
      <w:r>
        <w:t>91. Claim + two later sources: Carbon intensity of the Ukrainian industry: current state and foresight</w:t>
      </w:r>
    </w:p>
    <w:p>
      <w:pPr>
        <w:pStyle w:val="SourceNote"/>
      </w:pPr>
      <w:r>
        <w:rPr>
          <w:b/>
        </w:rPr>
        <w:t>Group ID:</w:t>
      </w:r>
      <w:r>
        <w:t xml:space="preserve"> group-ca33465429d1e4fca39f</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Towards the Necessary Decarbonization of Historic Buildings: A Review — https://doi.org/10.3390/en18030502</w:t>
      </w:r>
    </w:p>
    <w:p>
      <w:pPr/>
      <w:r>
        <w:rPr>
          <w:b/>
        </w:rPr>
        <w:t>Later source:</w:t>
      </w:r>
      <w:r>
        <w:t xml:space="preserve"> The US dollar and decarbonization: Exploring constraints — https://doi.org/10.1017/fas.2025.10</w:t>
      </w:r>
    </w:p>
    <w:p>
      <w:pPr>
        <w:pStyle w:val="SourceNote"/>
      </w:pPr>
      <w:r>
        <w:rPr>
          <w:b/>
        </w:rPr>
        <w:t>Review status:</w:t>
      </w:r>
      <w:r>
        <w:t xml:space="preserve"> unchecked — possible relationship only</w:t>
      </w:r>
    </w:p>
    <w:p>
      <w:pPr>
        <w:pStyle w:val="Heading2"/>
      </w:pPr>
      <w:r>
        <w:t>92. Claim + two later sources: Future Trajectories of Renewable Energy Consumption in the European Union</w:t>
      </w:r>
    </w:p>
    <w:p>
      <w:pPr>
        <w:pStyle w:val="SourceNote"/>
      </w:pPr>
      <w:r>
        <w:rPr>
          <w:b/>
        </w:rPr>
        <w:t>Group ID:</w:t>
      </w:r>
      <w:r>
        <w:t xml:space="preserve"> group-f3c1d7b959850276ac9d</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The Afro-European Energy Diplomacy, a Historical Reconstruction from 1973 to 2007 — https://doi.org/10.59569/jceeas.2023.3.1.137</w:t>
      </w:r>
    </w:p>
    <w:p>
      <w:pPr>
        <w:pStyle w:val="SourceNote"/>
      </w:pPr>
      <w:r>
        <w:rPr>
          <w:b/>
        </w:rPr>
        <w:t>Review status:</w:t>
      </w:r>
      <w:r>
        <w:t xml:space="preserve"> unchecked — possible relationship only</w:t>
      </w:r>
    </w:p>
    <w:p>
      <w:pPr>
        <w:pStyle w:val="Heading2"/>
      </w:pPr>
      <w:r>
        <w:t>93. Claim + two later sources: Polish and Ukrainian foresight into the directions for the innovation of power plants</w:t>
      </w:r>
    </w:p>
    <w:p>
      <w:pPr>
        <w:pStyle w:val="SourceNote"/>
      </w:pPr>
      <w:r>
        <w:rPr>
          <w:b/>
        </w:rPr>
        <w:t>Group ID:</w:t>
      </w:r>
      <w:r>
        <w:t xml:space="preserve"> group-630133c9983606e0fcf6</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Feasibility Model for Establishing and Implementing Smart Insurance Using a Hybrid Approach — https://openalex.org/W7217145713</w:t>
      </w:r>
    </w:p>
    <w:p>
      <w:pPr/>
      <w:r>
        <w:rPr>
          <w:b/>
        </w:rPr>
        <w:t>Later source:</w:t>
      </w:r>
      <w:r>
        <w:t xml:space="preserve"> A comprehensive review of planting approaches used to establish willow for environmental applications — https://doi.org/10.1016/j.ecoleng.2024.107288</w:t>
      </w:r>
    </w:p>
    <w:p>
      <w:pPr>
        <w:pStyle w:val="SourceNote"/>
      </w:pPr>
      <w:r>
        <w:rPr>
          <w:b/>
        </w:rPr>
        <w:t>Review status:</w:t>
      </w:r>
      <w:r>
        <w:t xml:space="preserve"> unchecked — possible relationship only</w:t>
      </w:r>
    </w:p>
    <w:p>
      <w:pPr>
        <w:pStyle w:val="Heading2"/>
      </w:pPr>
      <w:r>
        <w:t>94. Claim + two later sources: European Water Footprint Scenarios for 2050</w:t>
      </w:r>
    </w:p>
    <w:p>
      <w:pPr>
        <w:pStyle w:val="SourceNote"/>
      </w:pPr>
      <w:r>
        <w:rPr>
          <w:b/>
        </w:rPr>
        <w:t>Group ID:</w:t>
      </w:r>
      <w:r>
        <w:t xml:space="preserve"> group-a66e1d9182e2e5a52555</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Blue and Green Water Footprint disparities of European households: A spatial structural decomposition analysis approach — https://doi.org/10.5194/egusphere-egu25-18436</w:t>
      </w:r>
    </w:p>
    <w:p>
      <w:pPr/>
      <w:r>
        <w:rPr>
          <w:b/>
        </w:rPr>
        <w:t>Later source:</w:t>
      </w:r>
      <w:r>
        <w:t xml:space="preserve"> Advancing water footprint assessments: Combining the impacts of water pollution and scarcity — https://doi.org/10.1016/j.scitotenv.2023.161910</w:t>
      </w:r>
    </w:p>
    <w:p>
      <w:pPr>
        <w:pStyle w:val="SourceNote"/>
      </w:pPr>
      <w:r>
        <w:rPr>
          <w:b/>
        </w:rPr>
        <w:t>Review status:</w:t>
      </w:r>
      <w:r>
        <w:t xml:space="preserve"> unchecked — possible relationship only</w:t>
      </w:r>
    </w:p>
    <w:p>
      <w:pPr>
        <w:pStyle w:val="Heading2"/>
      </w:pPr>
      <w:r>
        <w:t>95. Claim + two later sources: Nutrient criteria for surface waters under the European Water Framework Directive: Current state-of-the-art, challenges and future outlook</w:t>
      </w:r>
    </w:p>
    <w:p>
      <w:pPr>
        <w:pStyle w:val="SourceNote"/>
      </w:pPr>
      <w:r>
        <w:rPr>
          <w:b/>
        </w:rPr>
        <w:t>Group ID:</w:t>
      </w:r>
      <w:r>
        <w:t xml:space="preserve"> group-2e381e0450e359d57db2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Agriculture Contributions to Water Pollution and Sustainable Policy Solutions in Europe — https://doi.org/10.3390/earth7040115</w:t>
      </w:r>
    </w:p>
    <w:p>
      <w:pPr/>
      <w:r>
        <w:rPr>
          <w:b/>
        </w:rPr>
        <w:t>Later source:</w:t>
      </w:r>
      <w:r>
        <w:t xml:space="preserve"> A conceptual model for enabling sustainable management of soil-sediment-water ecosystems in support of European policy — https://doi.org/10.14321/aehm.026.02.063</w:t>
      </w:r>
    </w:p>
    <w:p>
      <w:pPr>
        <w:pStyle w:val="SourceNote"/>
      </w:pPr>
      <w:r>
        <w:rPr>
          <w:b/>
        </w:rPr>
        <w:t>Review status:</w:t>
      </w:r>
      <w:r>
        <w:t xml:space="preserve"> unchecked — possible relationship only</w:t>
      </w:r>
    </w:p>
    <w:p>
      <w:pPr>
        <w:pStyle w:val="Heading2"/>
      </w:pPr>
      <w:r>
        <w:t>96. Claim + two later sources: Burden of Stroke in Europe</w:t>
      </w:r>
    </w:p>
    <w:p>
      <w:pPr>
        <w:pStyle w:val="SourceNote"/>
      </w:pPr>
      <w:r>
        <w:rPr>
          <w:b/>
        </w:rPr>
        <w:t>Group ID:</w:t>
      </w:r>
      <w:r>
        <w:t xml:space="preserve"> group-a7351308f4980eaa66ed</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Estimating the burden of vitiligo: a systematic review and modelling study — https://doi.org/10.1016/s2468-2667(24)00026-4</w:t>
      </w:r>
    </w:p>
    <w:p>
      <w:pPr/>
      <w:r>
        <w:rPr>
          <w:b/>
        </w:rPr>
        <w:t>Later source:</w:t>
      </w:r>
      <w:r>
        <w:t xml:space="preserve"> The incidence and prevalence of IgA nephropathy in Europe — https://doi.org/10.1093/ndt/gfad082</w:t>
      </w:r>
    </w:p>
    <w:p>
      <w:pPr>
        <w:pStyle w:val="SourceNote"/>
      </w:pPr>
      <w:r>
        <w:rPr>
          <w:b/>
        </w:rPr>
        <w:t>Review status:</w:t>
      </w:r>
      <w:r>
        <w:t xml:space="preserve"> unchecked — possible relationship only</w:t>
      </w:r>
    </w:p>
    <w:p>
      <w:pPr>
        <w:pStyle w:val="Heading2"/>
      </w:pPr>
      <w:r>
        <w:t>97. Claim + two later sources: Ukrainian Migration Aspirations towards Germany: Analysis and Development Scenarios</w:t>
      </w:r>
    </w:p>
    <w:p>
      <w:pPr>
        <w:pStyle w:val="SourceNote"/>
      </w:pPr>
      <w:r>
        <w:rPr>
          <w:b/>
        </w:rPr>
        <w:t>Group ID:</w:t>
      </w:r>
      <w:r>
        <w:t xml:space="preserve"> group-99b92cc8468381e1ee49</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Signal-Based Trading Strategy for SPY ETF: A Multiple Linear Regression Approach — https://doi.org/10.70693/rwsk.v1i2.552</w:t>
      </w:r>
    </w:p>
    <w:p>
      <w:pPr/>
      <w:r>
        <w:rPr>
          <w:b/>
        </w:rPr>
        <w:t>Later source:</w:t>
      </w:r>
      <w:r>
        <w:t xml:space="preserve"> Development of Multiple Linear Regression Models for Predicting Chronic Iron Toxicity to Aquatic Organisms — https://doi.org/10.1002/etc.5623</w:t>
      </w:r>
    </w:p>
    <w:p>
      <w:pPr>
        <w:pStyle w:val="SourceNote"/>
      </w:pPr>
      <w:r>
        <w:rPr>
          <w:b/>
        </w:rPr>
        <w:t>Review status:</w:t>
      </w:r>
      <w:r>
        <w:t xml:space="preserve"> unchecked — possible relationship only</w:t>
      </w:r>
    </w:p>
    <w:p>
      <w:pPr>
        <w:pStyle w:val="Heading2"/>
      </w:pPr>
      <w:r>
        <w:t>98. Claim + two later sources: Forecasting the Volatility of European Union Allowance Futures with Climate Policy Uncertainty Using the EGARCH-MIDAS Model</w:t>
      </w:r>
    </w:p>
    <w:p>
      <w:pPr>
        <w:pStyle w:val="SourceNote"/>
      </w:pPr>
      <w:r>
        <w:rPr>
          <w:b/>
        </w:rPr>
        <w:t>Group ID:</w:t>
      </w:r>
      <w:r>
        <w:t xml:space="preserve"> group-eca74b0b05d2c8db96f0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Stuck in the waiting room: citizen experiences of administrative limbo in three European crises — https://doi.org/10.1093/jopart/muaf017</w:t>
      </w:r>
    </w:p>
    <w:p>
      <w:pPr/>
      <w:r>
        <w:rPr>
          <w:b/>
        </w:rPr>
        <w:t>Later source:</w:t>
      </w:r>
      <w:r>
        <w:t xml:space="preserve"> Evaluation of an automated decision aid for the further referral of emergency room patients — https://doi.org/10.3238/arztebl.m2024.0191</w:t>
      </w:r>
    </w:p>
    <w:p>
      <w:pPr>
        <w:pStyle w:val="SourceNote"/>
      </w:pPr>
      <w:r>
        <w:rPr>
          <w:b/>
        </w:rPr>
        <w:t>Review status:</w:t>
      </w:r>
      <w:r>
        <w:t xml:space="preserve"> unchecked — possible relationship only</w:t>
      </w:r>
    </w:p>
    <w:p>
      <w:pPr>
        <w:pStyle w:val="Heading2"/>
      </w:pPr>
      <w:r>
        <w:t>99. Claim + two later sources: From flood science to flood policy: the Foresight Future Flooding project seven years on</w:t>
      </w:r>
    </w:p>
    <w:p>
      <w:pPr>
        <w:pStyle w:val="SourceNote"/>
      </w:pPr>
      <w:r>
        <w:rPr>
          <w:b/>
        </w:rPr>
        <w:t>Group ID:</w:t>
      </w:r>
      <w:r>
        <w:t xml:space="preserve"> group-e1c37d445bc27122b5cc</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(Re)envisioning inclusive futures: Applying narrative foresight to deconstruct the problem of urban flooding in the slums of Bengaluru, India — https://doi.org/10.1111/dpr.12786</w:t>
      </w:r>
    </w:p>
    <w:p>
      <w:pPr>
        <w:pStyle w:val="SourceNote"/>
      </w:pPr>
      <w:r>
        <w:rPr>
          <w:b/>
        </w:rPr>
        <w:t>Review status:</w:t>
      </w:r>
      <w:r>
        <w:t xml:space="preserve"> unchecked — possible relationship only</w:t>
      </w:r>
    </w:p>
    <w:p>
      <w:pPr>
        <w:pStyle w:val="Heading2"/>
      </w:pPr>
      <w:r>
        <w:t>100. Claim + two later sources: Materials for Sustainable Nuclear Energy: A European Strategic Research and Innovation Agenda for All Reactor Generations</w:t>
      </w:r>
    </w:p>
    <w:p>
      <w:pPr>
        <w:pStyle w:val="SourceNote"/>
      </w:pPr>
      <w:r>
        <w:rPr>
          <w:b/>
        </w:rPr>
        <w:t>Group ID:</w:t>
      </w:r>
      <w:r>
        <w:t xml:space="preserve"> group-222d6439ee5bbcdb9e0d</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Can the European nuclear power industry compete with the Chinese nuclear power industry? — https://doi.org/10.24294/jipd.v8i11.8715</w:t>
      </w:r>
    </w:p>
    <w:p>
      <w:pPr/>
      <w:r>
        <w:rPr>
          <w:b/>
        </w:rPr>
        <w:t>Later source:</w:t>
      </w:r>
      <w:r>
        <w:t xml:space="preserve"> Implications of Innovative Nuclear Technologies on Ghana’s Nuclear Future — https://doi.org/10.1155/stni/7161397</w:t>
      </w:r>
    </w:p>
    <w:p>
      <w:pPr>
        <w:pStyle w:val="SourceNote"/>
      </w:pPr>
      <w:r>
        <w:rPr>
          <w:b/>
        </w:rPr>
        <w:t>Review status:</w:t>
      </w:r>
      <w:r>
        <w:t xml:space="preserve"> unchecked — possible relationship only</w:t>
      </w:r>
    </w:p>
    <w:p>
      <w:pPr>
        <w:pStyle w:val="Heading2"/>
      </w:pPr>
      <w:r>
        <w:t>101. Claim + two later sources: Microgrids: Enhancing the Resilience of the European Megagrid</w:t>
      </w:r>
    </w:p>
    <w:p>
      <w:pPr>
        <w:pStyle w:val="SourceNote"/>
      </w:pPr>
      <w:r>
        <w:rPr>
          <w:b/>
        </w:rPr>
        <w:t>Group ID:</w:t>
      </w:r>
      <w:r>
        <w:t xml:space="preserve"> group-0a0ac78cee439c8d49d1</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Future electricity demand for Europe: Unraveling the dynamics of the Temperature Response Function — https://doi.org/10.1016/j.apenergy.2024.123387</w:t>
      </w:r>
    </w:p>
    <w:p>
      <w:pPr/>
      <w:r>
        <w:rPr>
          <w:b/>
        </w:rPr>
        <w:t>Later source:</w:t>
      </w:r>
      <w:r>
        <w:t xml:space="preserve"> Interaction between electrified steel production and the north European electricity system — https://doi.org/10.1016/j.apenergy.2022.118584</w:t>
      </w:r>
    </w:p>
    <w:p>
      <w:pPr>
        <w:pStyle w:val="SourceNote"/>
      </w:pPr>
      <w:r>
        <w:rPr>
          <w:b/>
        </w:rPr>
        <w:t>Review status:</w:t>
      </w:r>
      <w:r>
        <w:t xml:space="preserve"> unchecked — possible relationship only</w:t>
      </w:r>
    </w:p>
    <w:p>
      <w:pPr>
        <w:pStyle w:val="Heading2"/>
      </w:pPr>
      <w:r>
        <w:t>102. Claim + two later sources: Argentinian Energy Landscapes - Case Study of the Neo-Carbon Energy Project</w:t>
      </w:r>
    </w:p>
    <w:p>
      <w:pPr>
        <w:pStyle w:val="SourceNote"/>
      </w:pPr>
      <w:r>
        <w:rPr>
          <w:b/>
        </w:rPr>
        <w:t>Group ID:</w:t>
      </w:r>
      <w:r>
        <w:t xml:space="preserve"> group-25172e1f992eca516554</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Does Value Lead to Loyalty? Exploring the Important Role of the Tourist–Destination Relationship — https://doi.org/10.3390/bs12050136</w:t>
      </w:r>
    </w:p>
    <w:p>
      <w:pPr>
        <w:pStyle w:val="SourceNote"/>
      </w:pPr>
      <w:r>
        <w:rPr>
          <w:b/>
        </w:rPr>
        <w:t>Review status:</w:t>
      </w:r>
      <w:r>
        <w:t xml:space="preserve"> unchecked — possible relationship only</w:t>
      </w:r>
    </w:p>
    <w:p>
      <w:pPr>
        <w:pStyle w:val="Heading2"/>
      </w:pPr>
      <w:r>
        <w:t>103. Claim + two later sources: Scenario analysis for nutrient emission reduction in the European inland waters</w:t>
      </w:r>
    </w:p>
    <w:p>
      <w:pPr>
        <w:pStyle w:val="SourceNote"/>
      </w:pPr>
      <w:r>
        <w:rPr>
          <w:b/>
        </w:rPr>
        <w:t>Group ID:</w:t>
      </w:r>
      <w:r>
        <w:t xml:space="preserve"> group-de106c58a2f7701ffa97</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Towards an “Evaluation Dilemmas Model” – designing an evaluation scheme for a European capital of culture — https://doi.org/10.1108/aam-09-2021-0046</w:t>
      </w:r>
    </w:p>
    <w:p>
      <w:pPr/>
      <w:r>
        <w:rPr>
          <w:b/>
        </w:rPr>
        <w:t>Later source:</w:t>
      </w:r>
      <w:r>
        <w:t xml:space="preserve"> Pollen-Based Maps of Past Regional Vegetation Cover in Europe Over 12 Millennia—Evaluation and Potential — https://doi.org/10.3389/fevo.2022.795794</w:t>
      </w:r>
    </w:p>
    <w:p>
      <w:pPr>
        <w:pStyle w:val="SourceNote"/>
      </w:pPr>
      <w:r>
        <w:rPr>
          <w:b/>
        </w:rPr>
        <w:t>Review status:</w:t>
      </w:r>
      <w:r>
        <w:t xml:space="preserve"> unchecked — possible relationship only</w:t>
      </w:r>
    </w:p>
    <w:p>
      <w:pPr>
        <w:pStyle w:val="Heading2"/>
      </w:pPr>
      <w:r>
        <w:t>104.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group-f08c3ab8ea71557c9f12</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Spatio-Temporal Diagnostics Reveal Early Signals of Sand Fly Range Shift in Europe — https://doi.org/10.5194/egusphere-egu26-18432</w:t>
      </w:r>
    </w:p>
    <w:p>
      <w:pPr>
        <w:pStyle w:val="SourceNote"/>
      </w:pPr>
      <w:r>
        <w:rPr>
          <w:b/>
        </w:rPr>
        <w:t>Review status:</w:t>
      </w:r>
      <w:r>
        <w:t xml:space="preserve"> unchecked — possible relationship only</w:t>
      </w:r>
    </w:p>
    <w:p>
      <w:pPr>
        <w:pStyle w:val="Heading2"/>
      </w:pPr>
      <w:r>
        <w:t>105. Claim + two later sources: A Foresight Study of European East-West Agrifood Trade Options</w:t>
      </w:r>
    </w:p>
    <w:p>
      <w:pPr>
        <w:pStyle w:val="SourceNote"/>
      </w:pPr>
      <w:r>
        <w:rPr>
          <w:b/>
        </w:rPr>
        <w:t>Group ID:</w:t>
      </w:r>
      <w:r>
        <w:t xml:space="preserve"> group-f72348bbee3e632300ec</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Technical Barriers to Trade and China's Agricultural Products Export - Taking Garlic Export as an Example — https://doi.org/10.38007/ijbmet.2023.040105</w:t>
      </w:r>
    </w:p>
    <w:p>
      <w:pPr>
        <w:pStyle w:val="SourceNote"/>
      </w:pPr>
      <w:r>
        <w:rPr>
          <w:b/>
        </w:rPr>
        <w:t>Review status:</w:t>
      </w:r>
      <w:r>
        <w:t xml:space="preserve"> unchecked — possible relationship only</w:t>
      </w:r>
    </w:p>
    <w:p>
      <w:pPr>
        <w:pStyle w:val="Heading2"/>
      </w:pPr>
      <w:r>
        <w:t>106. Claim + two later sources: Alpine Tundra Contraction under Future Warming Scenarios in Europe</w:t>
      </w:r>
    </w:p>
    <w:p>
      <w:pPr>
        <w:pStyle w:val="SourceNote"/>
      </w:pPr>
      <w:r>
        <w:rPr>
          <w:b/>
        </w:rPr>
        <w:t>Group ID:</w:t>
      </w:r>
      <w:r>
        <w:t xml:space="preserve"> group-bb4c74fe62ea02d88bf8</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Investigating the future urban climates of European cities using an ensemble of convection permitting regional climate models — https://doi.org/10.5194/egusphere-egu25-1307</w:t>
      </w:r>
    </w:p>
    <w:p>
      <w:pPr/>
      <w:r>
        <w:rPr>
          <w:b/>
        </w:rPr>
        <w:t>Later source:</w:t>
      </w:r>
      <w:r>
        <w:t xml:space="preserve"> Local Climate Risks in sight of realistic climate targets: Projecting Co-occurrence of Heat Extremes in Central Europe Using Downscaled CMIP6 and Regional Scenarios — https://doi.org/10.5194/ems2025-241</w:t>
      </w:r>
    </w:p>
    <w:p>
      <w:pPr>
        <w:pStyle w:val="SourceNote"/>
      </w:pPr>
      <w:r>
        <w:rPr>
          <w:b/>
        </w:rPr>
        <w:t>Review status:</w:t>
      </w:r>
      <w:r>
        <w:t xml:space="preserve"> unchecked — possible relationship only</w:t>
      </w:r>
    </w:p>
    <w:p>
      <w:pPr>
        <w:pStyle w:val="Heading2"/>
      </w:pPr>
      <w:r>
        <w:t>107. Claim + two later sources: Ocean energy development in Europe: Current status and future perspectives</w:t>
      </w:r>
    </w:p>
    <w:p>
      <w:pPr>
        <w:pStyle w:val="SourceNote"/>
      </w:pPr>
      <w:r>
        <w:rPr>
          <w:b/>
        </w:rPr>
        <w:t>Group ID:</w:t>
      </w:r>
      <w:r>
        <w:t xml:space="preserve"> group-c694619b53970742f975</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Perspective on the hydrogen economy as a pathway to reach net-zero CO 2 emissions in Europe — https://doi.org/10.1039/d1ee02118d</w:t>
      </w:r>
    </w:p>
    <w:p>
      <w:pPr/>
      <w:r>
        <w:rPr>
          <w:b/>
        </w:rPr>
        <w:t>Later source:</w:t>
      </w:r>
      <w:r>
        <w:t xml:space="preserve"> Review of Works Combining GNSS and InSAR in Europe — https://doi.org/10.3390/rs13091684</w:t>
      </w:r>
    </w:p>
    <w:p>
      <w:pPr>
        <w:pStyle w:val="SourceNote"/>
      </w:pPr>
      <w:r>
        <w:rPr>
          <w:b/>
        </w:rPr>
        <w:t>Review status:</w:t>
      </w:r>
      <w:r>
        <w:t xml:space="preserve"> unchecked — possible relationship only</w:t>
      </w:r>
    </w:p>
    <w:p>
      <w:pPr>
        <w:pStyle w:val="Heading2"/>
      </w:pPr>
      <w:r>
        <w:t>108. Claim + two later sources: Connected and Automated Transport: Research and Innovation Capacity in Europe</w:t>
      </w:r>
    </w:p>
    <w:p>
      <w:pPr>
        <w:pStyle w:val="SourceNote"/>
      </w:pPr>
      <w:r>
        <w:rPr>
          <w:b/>
        </w:rPr>
        <w:t>Group ID:</w:t>
      </w:r>
      <w:r>
        <w:t xml:space="preserve"> group-90cf60f26b65ecade019</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Unlocking public infrastructures? State aid and the common European data space — https://doi.org/10.1177/02673231241290675</w:t>
      </w:r>
    </w:p>
    <w:p>
      <w:pPr>
        <w:pStyle w:val="SourceNote"/>
      </w:pPr>
      <w:r>
        <w:rPr>
          <w:b/>
        </w:rPr>
        <w:t>Review status:</w:t>
      </w:r>
      <w:r>
        <w:t xml:space="preserve"> unchecked — possible relationship only</w:t>
      </w:r>
    </w:p>
    <w:p>
      <w:pPr>
        <w:pStyle w:val="Heading2"/>
      </w:pPr>
      <w:r>
        <w:t>109. Claim + two later sources: Implications of sustainability constraints on UK bioenergy development: Assessing optimistic and precautionary approaches with UK MARKAL</w:t>
      </w:r>
    </w:p>
    <w:p>
      <w:pPr>
        <w:pStyle w:val="SourceNote"/>
      </w:pPr>
      <w:r>
        <w:rPr>
          <w:b/>
        </w:rPr>
        <w:t>Group ID:</w:t>
      </w:r>
      <w:r>
        <w:t xml:space="preserve"> group-0cb202f1a992d3c1b9ed</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Examining research systems and models for local government: a systematic review — https://doi.org/10.1332/17442648y2023d000000002</w:t>
      </w:r>
    </w:p>
    <w:p>
      <w:pPr/>
      <w:r>
        <w:rPr>
          <w:b/>
        </w:rPr>
        <w:t>Later source:</w:t>
      </w:r>
      <w:r>
        <w:t xml:space="preserve"> Are Black Girls Exhibiting Puberty Earlier? Examining Implications of Race-Based Guidelines — https://doi.org/10.1542/peds.2021-055595</w:t>
      </w:r>
    </w:p>
    <w:p>
      <w:pPr>
        <w:pStyle w:val="SourceNote"/>
      </w:pPr>
      <w:r>
        <w:rPr>
          <w:b/>
        </w:rPr>
        <w:t>Review status:</w:t>
      </w:r>
      <w:r>
        <w:t xml:space="preserve"> unchecked — possible relationship only</w:t>
      </w:r>
    </w:p>
    <w:p>
      <w:pPr>
        <w:pStyle w:val="Heading2"/>
      </w:pPr>
      <w:r>
        <w:t>110. Claim + two later sources: Testing Scenarios to Achieve Workplace Sustainability Goals Using Backcasting and Agent-Based Modeling</w:t>
      </w:r>
    </w:p>
    <w:p>
      <w:pPr>
        <w:pStyle w:val="SourceNote"/>
      </w:pPr>
      <w:r>
        <w:rPr>
          <w:b/>
        </w:rPr>
        <w:t>Group ID:</w:t>
      </w:r>
      <w:r>
        <w:t xml:space="preserve"> group-942a4c195eed1a4900cc</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Advancing participatory backcasting for climate change adaptation planning using 10 cases from 3 continents — https://doi.org/10.1016/j.crm.2023.100559</w:t>
      </w:r>
    </w:p>
    <w:p>
      <w:pPr/>
      <w:r>
        <w:rPr>
          <w:b/>
        </w:rPr>
        <w:t>Later source:</w:t>
      </w:r>
      <w:r>
        <w:t xml:space="preserve"> Computer‐aided scenario design using participatory backcasting: A case study of sustainable vision creation in a Japanese city — https://doi.org/10.1002/ffo2.141</w:t>
      </w:r>
    </w:p>
    <w:p>
      <w:pPr>
        <w:pStyle w:val="SourceNote"/>
      </w:pPr>
      <w:r>
        <w:rPr>
          <w:b/>
        </w:rPr>
        <w:t>Review status:</w:t>
      </w:r>
      <w:r>
        <w:t xml:space="preserve"> unchecked — possible relationship only</w:t>
      </w:r>
    </w:p>
    <w:p>
      <w:pPr>
        <w:pStyle w:val="Heading2"/>
      </w:pPr>
      <w:r>
        <w:t>111. Claim + two later sources: Changing knowledge, changing technology: implications for teacher education futures</w:t>
      </w:r>
    </w:p>
    <w:p>
      <w:pPr>
        <w:pStyle w:val="SourceNote"/>
      </w:pPr>
      <w:r>
        <w:rPr>
          <w:b/>
        </w:rPr>
        <w:t>Group ID:</w:t>
      </w:r>
      <w:r>
        <w:t xml:space="preserve"> group-daec4327a8ffb5600bee</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WORKWELL process evaluation: qualitative data analyses of the participant interviews at 12- and 36-month follow-ups — https://doi.org/10.1093/rap/rkaf034</w:t>
      </w:r>
    </w:p>
    <w:p>
      <w:pPr>
        <w:pStyle w:val="SourceNote"/>
      </w:pPr>
      <w:r>
        <w:rPr>
          <w:b/>
        </w:rPr>
        <w:t>Review status:</w:t>
      </w:r>
      <w:r>
        <w:t xml:space="preserve"> unchecked — possible relationship only</w:t>
      </w:r>
    </w:p>
    <w:p>
      <w:pPr>
        <w:pStyle w:val="Heading2"/>
      </w:pPr>
      <w:r>
        <w:t>112. Claim + two later sources: Technopolis, shared resources or controlled mobility? A net-based Delphi-study to explore visions of future urban daily mobility in Norway</w:t>
      </w:r>
    </w:p>
    <w:p>
      <w:pPr>
        <w:pStyle w:val="SourceNote"/>
      </w:pPr>
      <w:r>
        <w:rPr>
          <w:b/>
        </w:rPr>
        <w:t>Group ID:</w:t>
      </w:r>
      <w:r>
        <w:t xml:space="preserve"> group-0985ee7d7e3fa119336d</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Principal Component Analysis of Economic Factors Affecting Food Consumption and Labor Market Performance in the European Union — https://doi.org/10.35219/eai15840409587</w:t>
      </w:r>
    </w:p>
    <w:p>
      <w:pPr/>
      <w:r>
        <w:rPr>
          <w:b/>
        </w:rPr>
        <w:t>Later source:</w:t>
      </w:r>
      <w:r>
        <w:t xml:space="preserve"> Monkeypox in Europe: Epidemiology and Risk Factors – A Scoping Review Study — https://doi.org/10.1101/2024.08.28.24312706</w:t>
      </w:r>
    </w:p>
    <w:p>
      <w:pPr>
        <w:pStyle w:val="SourceNote"/>
      </w:pPr>
      <w:r>
        <w:rPr>
          <w:b/>
        </w:rPr>
        <w:t>Review status:</w:t>
      </w:r>
      <w:r>
        <w:t xml:space="preserve"> unchecked — possible relationship only</w:t>
      </w:r>
    </w:p>
    <w:p>
      <w:pPr>
        <w:pStyle w:val="Heading2"/>
      </w:pPr>
      <w:r>
        <w:t>113. Claim + two later sources: Hydrogen in the Strategies of the European Union Member States</w:t>
      </w:r>
    </w:p>
    <w:p>
      <w:pPr>
        <w:pStyle w:val="SourceNote"/>
      </w:pPr>
      <w:r>
        <w:rPr>
          <w:b/>
        </w:rPr>
        <w:t>Group ID:</w:t>
      </w:r>
      <w:r>
        <w:t xml:space="preserve"> group-c9dc02b98136000d8f04</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Adaptation to Climate Change in Coastal Countries of the European Union—An Evaluation of Plans and Strategies — https://doi.org/10.3390/app15116281</w:t>
      </w:r>
    </w:p>
    <w:p>
      <w:pPr/>
      <w:r>
        <w:rPr>
          <w:b/>
        </w:rPr>
        <w:t>Later source:</w:t>
      </w:r>
      <w:r>
        <w:t xml:space="preserve"> How Transit Countries Become Refugee Destinations: Insights From Central and Eastern Europe — https://doi.org/10.1111/imig.70066</w:t>
      </w:r>
    </w:p>
    <w:p>
      <w:pPr>
        <w:pStyle w:val="SourceNote"/>
      </w:pPr>
      <w:r>
        <w:rPr>
          <w:b/>
        </w:rPr>
        <w:t>Review status:</w:t>
      </w:r>
      <w:r>
        <w:t xml:space="preserve"> unchecked — possible relationship only</w:t>
      </w:r>
    </w:p>
    <w:p>
      <w:pPr>
        <w:pStyle w:val="Heading2"/>
      </w:pPr>
      <w:r>
        <w:t>114. Claim + two later sources: Demographic projections of future pharmaceutical consumption in the Netherlands</w:t>
      </w:r>
    </w:p>
    <w:p>
      <w:pPr>
        <w:pStyle w:val="SourceNote"/>
      </w:pPr>
      <w:r>
        <w:rPr>
          <w:b/>
        </w:rPr>
        <w:t>Group ID:</w:t>
      </w:r>
      <w:r>
        <w:t xml:space="preserve"> group-cc9eeb3503eaa74a9662</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Circulation dampened heat extremes intensification over the Midwest USA and amplified over Western Europe — https://doi.org/10.1038/s43247-023-01096-7</w:t>
      </w:r>
    </w:p>
    <w:p>
      <w:pPr/>
      <w:r>
        <w:rPr>
          <w:b/>
        </w:rPr>
        <w:t>Later source:</w:t>
      </w:r>
      <w:r>
        <w:t xml:space="preserve"> Compound precipitation and wind extremes over Europe and their relationship to extratropical cyclones — https://doi.org/10.1016/j.wace.2021.100342</w:t>
      </w:r>
    </w:p>
    <w:p>
      <w:pPr>
        <w:pStyle w:val="SourceNote"/>
      </w:pPr>
      <w:r>
        <w:rPr>
          <w:b/>
        </w:rPr>
        <w:t>Review status:</w:t>
      </w:r>
      <w:r>
        <w:t xml:space="preserve"> unchecked — possible relationship only</w:t>
      </w:r>
    </w:p>
    <w:p>
      <w:pPr>
        <w:pStyle w:val="Heading2"/>
      </w:pPr>
      <w:r>
        <w:t>115. Claim + two later sources: Assessing the Future of Renewable Energy Consumption for United Kingdom, Turkey and Nigeria</w:t>
      </w:r>
    </w:p>
    <w:p>
      <w:pPr>
        <w:pStyle w:val="SourceNote"/>
      </w:pPr>
      <w:r>
        <w:rPr>
          <w:b/>
        </w:rPr>
        <w:t>Group ID:</w:t>
      </w:r>
      <w:r>
        <w:t xml:space="preserve"> group-d1f7ed2bb9fc1add4e02</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There is no such thing as a validated prediction model — https://doi.org/10.1186/s12916-023-02779-w</w:t>
      </w:r>
    </w:p>
    <w:p>
      <w:pPr/>
      <w:r>
        <w:rPr>
          <w:b/>
        </w:rPr>
        <w:t>Later source:</w:t>
      </w:r>
      <w:r>
        <w:t xml:space="preserve"> Overview of clinical prediction models — https://doi.org/10.21037/atm.2019.11.121</w:t>
      </w:r>
    </w:p>
    <w:p>
      <w:pPr>
        <w:pStyle w:val="SourceNote"/>
      </w:pPr>
      <w:r>
        <w:rPr>
          <w:b/>
        </w:rPr>
        <w:t>Review status:</w:t>
      </w:r>
      <w:r>
        <w:t xml:space="preserve"> unchecked — possible relationship only</w:t>
      </w:r>
    </w:p>
    <w:p>
      <w:pPr>
        <w:pStyle w:val="Heading2"/>
      </w:pPr>
      <w:r>
        <w:t>116.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117. Claim + two later sources: A strategic energy technology policy towards 2050: no-regret strategies for European technology push</w:t>
      </w:r>
    </w:p>
    <w:p>
      <w:pPr>
        <w:pStyle w:val="SourceNote"/>
      </w:pPr>
      <w:r>
        <w:rPr>
          <w:b/>
        </w:rPr>
        <w:t>Group ID:</w:t>
      </w:r>
      <w:r>
        <w:t xml:space="preserve"> group-11bbaec34552b2687303</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Power-to-hydrogen and hydrogen-to-X energy systems for the industry of the future in Europe — https://doi.org/10.1016/j.ijhydene.2023.01.194</w:t>
      </w:r>
    </w:p>
    <w:p>
      <w:pPr/>
      <w:r>
        <w:rPr>
          <w:b/>
        </w:rPr>
        <w:t>Later source:</w:t>
      </w:r>
      <w:r>
        <w:t xml:space="preserve"> Energy Economic Development in Europe — https://doi.org/10.3390/books978-3-0365-7112-6</w:t>
      </w:r>
    </w:p>
    <w:p>
      <w:pPr>
        <w:pStyle w:val="SourceNote"/>
      </w:pPr>
      <w:r>
        <w:rPr>
          <w:b/>
        </w:rPr>
        <w:t>Review status:</w:t>
      </w:r>
      <w:r>
        <w:t xml:space="preserve"> unchecked — possible relationship only</w:t>
      </w:r>
    </w:p>
    <w:p>
      <w:pPr>
        <w:pStyle w:val="Heading2"/>
      </w:pPr>
      <w:r>
        <w:t>118. Claim + two later sources: A Technological Scenario for a Healthier, More Equitable and Sustainable Europe in 2040: Citizen Perceptions and Policy Implications</w:t>
      </w:r>
    </w:p>
    <w:p>
      <w:pPr>
        <w:pStyle w:val="SourceNote"/>
      </w:pPr>
      <w:r>
        <w:rPr>
          <w:b/>
        </w:rPr>
        <w:t>Group ID:</w:t>
      </w:r>
      <w:r>
        <w:t xml:space="preserve"> group-141fe847dea2d43c15e5</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STRATEGIC AIMS OF UNIVERSITY-BASED MANAGERIAL EDUCATION IN EUROPEAN AND ASIAN COUNTRIES — https://doi.org/10.52058/3041-1572-2026-3(23)-909-923</w:t>
      </w:r>
    </w:p>
    <w:p>
      <w:pPr/>
      <w:r>
        <w:rPr>
          <w:b/>
        </w:rPr>
        <w:t>Later source:</w:t>
      </w:r>
      <w:r>
        <w:t xml:space="preserve"> Exploring the Impact of Digital Transformation on Non-Financial Performance in Central and Eastern European Countries — https://doi.org/10.3390/electronics14061226</w:t>
      </w:r>
    </w:p>
    <w:p>
      <w:pPr>
        <w:pStyle w:val="SourceNote"/>
      </w:pPr>
      <w:r>
        <w:rPr>
          <w:b/>
        </w:rPr>
        <w:t>Review status:</w:t>
      </w:r>
      <w:r>
        <w:t xml:space="preserve"> unchecked — possible relationship only</w:t>
      </w:r>
    </w:p>
    <w:p>
      <w:pPr>
        <w:pStyle w:val="Heading2"/>
      </w:pPr>
      <w:r>
        <w:t>119. Claim + two later sources: Current and Future Issues in BPM Research: A European Perspective from the ERCIS Meeting 2010</w:t>
      </w:r>
    </w:p>
    <w:p>
      <w:pPr>
        <w:pStyle w:val="SourceNote"/>
      </w:pPr>
      <w:r>
        <w:rPr>
          <w:b/>
        </w:rPr>
        <w:t>Group ID:</w:t>
      </w:r>
      <w:r>
        <w:t xml:space="preserve"> group-96ba63caf1de7fe27a9c</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Farmers’ and stakeholders’ views on the adoption of agroecological practices. Results from participatory workshops in European countries — https://doi.org/10.12688/openreseurope.20536.1</w:t>
      </w:r>
    </w:p>
    <w:p>
      <w:pPr/>
      <w:r>
        <w:rPr>
          <w:b/>
        </w:rPr>
        <w:t>Later source:</w:t>
      </w:r>
      <w:r>
        <w:t xml:space="preserve"> Consensus report of the second European Consensus Workshop on Education in Periodontology — https://doi.org/10.1111/jcpe.13983</w:t>
      </w:r>
    </w:p>
    <w:p>
      <w:pPr>
        <w:pStyle w:val="SourceNote"/>
      </w:pPr>
      <w:r>
        <w:rPr>
          <w:b/>
        </w:rPr>
        <w:t>Review status:</w:t>
      </w:r>
      <w:r>
        <w:t xml:space="preserve"> unchecked — possible relationship only</w:t>
      </w:r>
    </w:p>
    <w:p>
      <w:pPr>
        <w:pStyle w:val="Heading2"/>
      </w:pPr>
      <w:r>
        <w:t>120. Claim + two later sources: Comparison of Water Flows in Four European Lagoon Catchments under a Set of Future Climate Scenarios</w:t>
      </w:r>
    </w:p>
    <w:p>
      <w:pPr>
        <w:pStyle w:val="SourceNote"/>
      </w:pPr>
      <w:r>
        <w:rPr>
          <w:b/>
        </w:rPr>
        <w:t>Group ID:</w:t>
      </w:r>
      <w:r>
        <w:t xml:space="preserve"> group-6bb6c0e65354e2eff9b1</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Energy storage and climate impacts on the future renewable European energy system — https://openalex.org/W4412222428</w:t>
      </w:r>
    </w:p>
    <w:p>
      <w:pPr/>
      <w:r>
        <w:rPr>
          <w:b/>
        </w:rPr>
        <w:t>Later source:</w:t>
      </w:r>
      <w:r>
        <w:t xml:space="preserve"> A probabilistic climate change assessment for Europe — https://doi.org/10.1002/joc.7604</w:t>
      </w:r>
    </w:p>
    <w:p>
      <w:pPr>
        <w:pStyle w:val="SourceNote"/>
      </w:pPr>
      <w:r>
        <w:rPr>
          <w:b/>
        </w:rPr>
        <w:t>Review status:</w:t>
      </w:r>
      <w:r>
        <w:t xml:space="preserve"> unchecked — possible relationship only</w:t>
      </w:r>
    </w:p>
    <w:p>
      <w:pPr>
        <w:pStyle w:val="Heading2"/>
      </w:pPr>
      <w:r>
        <w:t>121. Claim + two later sources: The European pulp and paper industry in transition to a bio-economy: A Delphi study</w:t>
      </w:r>
    </w:p>
    <w:p>
      <w:pPr>
        <w:pStyle w:val="SourceNote"/>
      </w:pPr>
      <w:r>
        <w:rPr>
          <w:b/>
        </w:rPr>
        <w:t>Group ID:</w:t>
      </w:r>
      <w:r>
        <w:t xml:space="preserve"> group-8088f840e989c7b8bbf7</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Unravelling the Scientific Debate on How to Address Wolf-Dog Hybridization in Europe — https://doi.org/10.3389/fevo.2019.00175</w:t>
      </w:r>
    </w:p>
    <w:p>
      <w:pPr/>
      <w:r>
        <w:rPr>
          <w:b/>
        </w:rPr>
        <w:t>Later source:</w:t>
      </w:r>
      <w:r>
        <w:t xml:space="preserve"> Radical devices: Rethinking Art and Architecture as Forms of Dissensus in Urban Environments — https://doi.org/10.14198/uou.2024.8.12</w:t>
      </w:r>
    </w:p>
    <w:p>
      <w:pPr>
        <w:pStyle w:val="SourceNote"/>
      </w:pPr>
      <w:r>
        <w:rPr>
          <w:b/>
        </w:rPr>
        <w:t>Review status:</w:t>
      </w:r>
      <w:r>
        <w:t xml:space="preserve"> unchecked — possible relationship only</w:t>
      </w:r>
    </w:p>
    <w:p>
      <w:pPr>
        <w:pStyle w:val="Heading2"/>
      </w:pPr>
      <w:r>
        <w:t>122. Claim + two later sources: Technology roadmapping in security and defence foresight</w:t>
      </w:r>
    </w:p>
    <w:p>
      <w:pPr>
        <w:pStyle w:val="SourceNote"/>
      </w:pPr>
      <w:r>
        <w:rPr>
          <w:b/>
        </w:rPr>
        <w:t>Group ID:</w:t>
      </w:r>
      <w:r>
        <w:t xml:space="preserve"> group-9473e20403657f268fb4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Optimising Healthcare Integration: Design Methodology Approach to Developing an Integrated Service Delivery Model for Irish Health Service Executive's Health Regions — https://doi.org/10.5334/ijic.icic24232</w:t>
      </w:r>
    </w:p>
    <w:p>
      <w:pPr/>
      <w:r>
        <w:rPr>
          <w:b/>
        </w:rPr>
        <w:t>Later source:</w:t>
      </w:r>
      <w:r>
        <w:t xml:space="preserve"> NEW DESIGN METHODOLOGY APPROACH FOR DESIGNING A HYDRO-MOTOR OF RADIAL PISTONS — https://openalex.org/W7217876663</w:t>
      </w:r>
    </w:p>
    <w:p>
      <w:pPr>
        <w:pStyle w:val="SourceNote"/>
      </w:pPr>
      <w:r>
        <w:rPr>
          <w:b/>
        </w:rPr>
        <w:t>Review status:</w:t>
      </w:r>
      <w:r>
        <w:t xml:space="preserve"> unchecked — possible relationship only</w:t>
      </w:r>
    </w:p>
    <w:p>
      <w:pPr>
        <w:pStyle w:val="Heading2"/>
      </w:pPr>
      <w:r>
        <w:t>123. Claim + two later sources: Projecting Drivers of Human Vulnerability under the Shared Socioeconomic Pathways</w:t>
      </w:r>
    </w:p>
    <w:p>
      <w:pPr>
        <w:pStyle w:val="SourceNote"/>
      </w:pPr>
      <w:r>
        <w:rPr>
          <w:b/>
        </w:rPr>
        <w:t>Group ID:</w:t>
      </w:r>
      <w:r>
        <w:t xml:space="preserve"> group-a79f0fa4cb91e8f1ca6b</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Pandemic risk in the Shared Socioeconomic Pathways — https://doi.org/10.64898/2026.07.29.26359250</w:t>
      </w:r>
    </w:p>
    <w:p>
      <w:pPr/>
      <w:r>
        <w:rPr>
          <w:b/>
        </w:rPr>
        <w:t>Later source:</w:t>
      </w:r>
      <w:r>
        <w:t xml:space="preserve"> Digital transformation in the Shared Socioeconomic Pathways — https://doi.org/10.1038/s44168-025-00283-w</w:t>
      </w:r>
    </w:p>
    <w:p>
      <w:pPr>
        <w:pStyle w:val="SourceNote"/>
      </w:pPr>
      <w:r>
        <w:rPr>
          <w:b/>
        </w:rPr>
        <w:t>Review status:</w:t>
      </w:r>
      <w:r>
        <w:t xml:space="preserve"> unchecked — possible relationship only</w:t>
      </w:r>
    </w:p>
    <w:p>
      <w:pPr>
        <w:pStyle w:val="Heading2"/>
      </w:pPr>
      <w:r>
        <w:t>124. Claim + two later sources: Modelling Soil Organic Carbon Changes Under Different Maize Cropping Scenarios for Cellulosic Ethanol in Europe</w:t>
      </w:r>
    </w:p>
    <w:p>
      <w:pPr>
        <w:pStyle w:val="SourceNote"/>
      </w:pPr>
      <w:r>
        <w:rPr>
          <w:b/>
        </w:rPr>
        <w:t>Group ID:</w:t>
      </w:r>
      <w:r>
        <w:t xml:space="preserve"> group-308d21ea4c63b222c99d</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r>
        <w:rPr>
          <w:b/>
        </w:rPr>
        <w:t>Later source:</w:t>
      </w:r>
      <w:r>
        <w:t xml:space="preserve"> Big Data for Supporting Low-Carbon Road Transport Policies in Europe: Applications, Challenges and Opportunities — https://doi.org/10.1016/j.bdr.2016.04.003</w:t>
      </w:r>
    </w:p>
    <w:p>
      <w:pPr>
        <w:pStyle w:val="SourceNote"/>
      </w:pPr>
      <w:r>
        <w:rPr>
          <w:b/>
        </w:rPr>
        <w:t>Review status:</w:t>
      </w:r>
      <w:r>
        <w:t xml:space="preserve"> unchecked — possible relationship only</w:t>
      </w:r>
    </w:p>
    <w:p>
      <w:pPr>
        <w:pStyle w:val="Heading2"/>
      </w:pPr>
      <w:r>
        <w:t>125. Claim + two later sources: PROGNOSTIC MODEL OF THE UKRAINE SYSTEM OF GENERAL SECONDARY EDUCATION DEVELOPMENT: FORECASTING SCENARIOS OF THE DEVELOPMENT</w:t>
      </w:r>
    </w:p>
    <w:p>
      <w:pPr>
        <w:pStyle w:val="SourceNote"/>
      </w:pPr>
      <w:r>
        <w:rPr>
          <w:b/>
        </w:rPr>
        <w:t>Group ID:</w:t>
      </w:r>
      <w:r>
        <w:t xml:space="preserve"> group-f703db1297121ad8dffc</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influential recent Canadian Medical Education Journal articles presented at the International Congress for Medical Education — https://doi.org/10.36834/cmej.79278</w:t>
      </w:r>
    </w:p>
    <w:p>
      <w:pPr/>
      <w:r>
        <w:rPr>
          <w:b/>
        </w:rPr>
        <w:t>Later source:</w:t>
      </w:r>
      <w:r>
        <w:t xml:space="preserve"> REVIEW ARTICLE ON THE MITIGATION OF FOUR WAVE MIXING IN OPTICAL COMMUNICATION SYSTEM — https://doi.org/10.51459/futajeet.2021.15.1.266</w:t>
      </w:r>
    </w:p>
    <w:p>
      <w:pPr>
        <w:pStyle w:val="SourceNote"/>
      </w:pPr>
      <w:r>
        <w:rPr>
          <w:b/>
        </w:rPr>
        <w:t>Review status:</w:t>
      </w:r>
      <w:r>
        <w:t xml:space="preserve"> unchecked — possible relationship only</w:t>
      </w:r>
    </w:p>
    <w:p>
      <w:pPr>
        <w:pStyle w:val="Heading2"/>
      </w:pPr>
      <w:r>
        <w:t>126. Claim + two later sources: Using urban foresight techniques in city visioning: Lessons from the Reading 2050 vision</w:t>
      </w:r>
    </w:p>
    <w:p>
      <w:pPr>
        <w:pStyle w:val="SourceNote"/>
      </w:pPr>
      <w:r>
        <w:rPr>
          <w:b/>
        </w:rPr>
        <w:t>Group ID:</w:t>
      </w:r>
      <w:r>
        <w:t xml:space="preserve"> group-79f08be896fe753f4afd</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Exploring the emergence of innovation districts as volumetric urban projects in Taipei City — https://doi.org/10.1080/12265934.2026.2637658</w:t>
      </w:r>
    </w:p>
    <w:p>
      <w:pPr/>
      <w:r>
        <w:rPr>
          <w:b/>
        </w:rPr>
        <w:t>Later source:</w:t>
      </w:r>
      <w:r>
        <w:t xml:space="preserve"> Cities As Interfaces of Zoonotic Hazard Emergence: Development of the New York City Tick and Wildlife Urban Surveillance System — https://doi.org/10.3791/69755</w:t>
      </w:r>
    </w:p>
    <w:p>
      <w:pPr>
        <w:pStyle w:val="SourceNote"/>
      </w:pPr>
      <w:r>
        <w:rPr>
          <w:b/>
        </w:rPr>
        <w:t>Review status:</w:t>
      </w:r>
      <w:r>
        <w:t xml:space="preserve"> unchecked — possible relationship only</w:t>
      </w:r>
    </w:p>
    <w:p>
      <w:pPr>
        <w:pStyle w:val="Heading2"/>
      </w:pPr>
      <w:r>
        <w:t>127. Claim + two later sources: Climate change signal of future climate projections for Aachen, Germany, in terms of temperature and precipitation</w:t>
      </w:r>
    </w:p>
    <w:p>
      <w:pPr>
        <w:pStyle w:val="SourceNote"/>
      </w:pPr>
      <w:r>
        <w:rPr>
          <w:b/>
        </w:rPr>
        <w:t>Group ID:</w:t>
      </w:r>
      <w:r>
        <w:t xml:space="preserve"> group-e3802215d9236e5495fc</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Temporal clusters of extreme events across Europe in a regional multi-scenario/multi-member ensemble — https://doi.org/10.5194/ems2025-464</w:t>
      </w:r>
    </w:p>
    <w:p>
      <w:pPr/>
      <w:r>
        <w:rPr>
          <w:b/>
        </w:rPr>
        <w:t>Later source:</w:t>
      </w:r>
      <w:r>
        <w:t xml:space="preserve"> Multi-model ensembles for regional and national wheat yield forecasts in Argentina — https://doi.org/10.1088/1748-9326/ad627c</w:t>
      </w:r>
    </w:p>
    <w:p>
      <w:pPr>
        <w:pStyle w:val="SourceNote"/>
      </w:pPr>
      <w:r>
        <w:rPr>
          <w:b/>
        </w:rPr>
        <w:t>Review status:</w:t>
      </w:r>
      <w:r>
        <w:t xml:space="preserve"> unchecked — possible relationship only</w:t>
      </w:r>
    </w:p>
    <w:p>
      <w:pPr>
        <w:pStyle w:val="Heading2"/>
      </w:pPr>
      <w:r>
        <w:t>128. Claim + two later sources: Environmental Implications of Dynamic Policies on Food Consumption and Waste Handling in the European Union</w:t>
      </w:r>
    </w:p>
    <w:p>
      <w:pPr>
        <w:pStyle w:val="SourceNote"/>
      </w:pPr>
      <w:r>
        <w:rPr>
          <w:b/>
        </w:rPr>
        <w:t>Group ID:</w:t>
      </w:r>
      <w:r>
        <w:t xml:space="preserve"> group-0bc44a3ebda2ad39509b</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European environment policy for the circular economy: Implications for business and industry stakeholders — https://doi.org/10.1002/sd.2113</w:t>
      </w:r>
    </w:p>
    <w:p>
      <w:pPr>
        <w:pStyle w:val="SourceNote"/>
      </w:pPr>
      <w:r>
        <w:rPr>
          <w:b/>
        </w:rPr>
        <w:t>Review status:</w:t>
      </w:r>
      <w:r>
        <w:t xml:space="preserve"> unchecked — possible relationship only</w:t>
      </w:r>
    </w:p>
    <w:p>
      <w:pPr>
        <w:pStyle w:val="Heading2"/>
      </w:pPr>
      <w:r>
        <w:t>129.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130. Claim + two later sources: Scenarios of water resources development in Poland up to 2030</w:t>
      </w:r>
    </w:p>
    <w:p>
      <w:pPr>
        <w:pStyle w:val="SourceNote"/>
      </w:pPr>
      <w:r>
        <w:rPr>
          <w:b/>
        </w:rPr>
        <w:t>Group ID:</w:t>
      </w:r>
      <w:r>
        <w:t xml:space="preserve"> group-8199fa2530151264e825</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Use of data mining techniques to explain the primary factors influencing water sensitivity of asphalt mixtures — https://doi.org/10.1016/j.conbuildmat.2022.128039</w:t>
      </w:r>
    </w:p>
    <w:p>
      <w:pPr/>
      <w:r>
        <w:rPr>
          <w:b/>
        </w:rPr>
        <w:t>Later source:</w:t>
      </w:r>
      <w:r>
        <w:t xml:space="preserve"> A sequential calibration technique to improve IRI using TEC estimates of the GNSS network in Europe — https://doi.org/10.5194/egusphere-egu21-4190</w:t>
      </w:r>
    </w:p>
    <w:p>
      <w:pPr>
        <w:pStyle w:val="SourceNote"/>
      </w:pPr>
      <w:r>
        <w:rPr>
          <w:b/>
        </w:rPr>
        <w:t>Review status:</w:t>
      </w:r>
      <w:r>
        <w:t xml:space="preserve"> unchecked — possible relationship only</w:t>
      </w:r>
    </w:p>
    <w:p>
      <w:pPr>
        <w:pStyle w:val="Heading2"/>
      </w:pPr>
      <w:r>
        <w:t>131. Claim + two later sources: EFFECTS OF HYDROGEN PRODUCTION ON ECONOMIC GROWTH IN THE EUROPEAN UNION</w:t>
      </w:r>
    </w:p>
    <w:p>
      <w:pPr>
        <w:pStyle w:val="SourceNote"/>
      </w:pPr>
      <w:r>
        <w:rPr>
          <w:b/>
        </w:rPr>
        <w:t>Group ID:</w:t>
      </w:r>
      <w:r>
        <w:t xml:space="preserve"> group-a1fa065bce2e7918c378</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The influence of Gustav II Adolf's “Military Article” on the Russian “Military Article” of 1715 — https://doi.org/10.51885/3107-2755_ssadh_2026_2_14</w:t>
      </w:r>
    </w:p>
    <w:p>
      <w:pPr/>
      <w:r>
        <w:rPr>
          <w:b/>
        </w:rPr>
        <w:t>Later source:</w:t>
      </w:r>
      <w:r>
        <w:t xml:space="preserve"> Paleogeography of Europe, Central Asia, and Siberia in the Aalenian-Bathonian (Middle Jurassic) — https://doi.org/10.17223/25421379/39/6</w:t>
      </w:r>
    </w:p>
    <w:p>
      <w:pPr>
        <w:pStyle w:val="SourceNote"/>
      </w:pPr>
      <w:r>
        <w:rPr>
          <w:b/>
        </w:rPr>
        <w:t>Review status:</w:t>
      </w:r>
      <w:r>
        <w:t xml:space="preserve"> unchecked — possible relationship only</w:t>
      </w:r>
    </w:p>
    <w:p>
      <w:pPr>
        <w:pStyle w:val="Heading2"/>
      </w:pPr>
      <w:r>
        <w:t>132. Claim + two later sources: Shaping science policy in Europe</w:t>
      </w:r>
    </w:p>
    <w:p>
      <w:pPr>
        <w:pStyle w:val="SourceNote"/>
      </w:pPr>
      <w:r>
        <w:rPr>
          <w:b/>
        </w:rPr>
        <w:t>Group ID:</w:t>
      </w:r>
      <w:r>
        <w:t xml:space="preserve"> group-e734b6aab00152dddc89</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European Federation of Neurological Societies: parent to the European Academy of Neurology — https://doi.org/10.1111/ene.15680</w:t>
      </w:r>
    </w:p>
    <w:p>
      <w:pPr>
        <w:pStyle w:val="SourceNote"/>
      </w:pPr>
      <w:r>
        <w:rPr>
          <w:b/>
        </w:rPr>
        <w:t>Review status:</w:t>
      </w:r>
      <w:r>
        <w:t xml:space="preserve"> unchecked — possible relationship only</w:t>
      </w:r>
    </w:p>
    <w:p>
      <w:pPr>
        <w:pStyle w:val="Heading2"/>
      </w:pPr>
      <w:r>
        <w:t>133. Claim + two later sources: Predicting Future European Breeding Distributions of British Seabird Species under Climate Change and Unlimited/No Dispersal Scenarios</w:t>
      </w:r>
    </w:p>
    <w:p>
      <w:pPr>
        <w:pStyle w:val="SourceNote"/>
      </w:pPr>
      <w:r>
        <w:rPr>
          <w:b/>
        </w:rPr>
        <w:t>Group ID:</w:t>
      </w:r>
      <w:r>
        <w:t xml:space="preserve"> group-e585209ee9774dd0f38d</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Trade‐Offs for Climate‐Smart Forestry in Europe Under Uncertain Future Climate — https://doi.org/10.1029/2022ef002796</w:t>
      </w:r>
    </w:p>
    <w:p>
      <w:pPr/>
      <w:r>
        <w:rPr>
          <w:b/>
        </w:rPr>
        <w:t>Later source:</w:t>
      </w:r>
      <w:r>
        <w:t xml:space="preserve"> Climate and Society in Europe The Last Thousand Years — https://doi.org/10.2445/9783258482347</w:t>
      </w:r>
    </w:p>
    <w:p>
      <w:pPr>
        <w:pStyle w:val="SourceNote"/>
      </w:pPr>
      <w:r>
        <w:rPr>
          <w:b/>
        </w:rPr>
        <w:t>Review status:</w:t>
      </w:r>
      <w:r>
        <w:t xml:space="preserve"> unchecked — possible relationship only</w:t>
      </w:r>
    </w:p>
    <w:p>
      <w:pPr>
        <w:pStyle w:val="Heading2"/>
      </w:pPr>
      <w:r>
        <w:t>134. Claim + two later sources: PROBLEM OF PROFESSIONAL TRAINING OF FUTURE ECONOMISTS FOR DEVELOPMENT OF NATIONAL ECONOMY UNDER CONDITIONS OF EUROPEAN INTEGRATION</w:t>
      </w:r>
    </w:p>
    <w:p>
      <w:pPr>
        <w:pStyle w:val="SourceNote"/>
      </w:pPr>
      <w:r>
        <w:rPr>
          <w:b/>
        </w:rPr>
        <w:t>Group ID:</w:t>
      </w:r>
      <w:r>
        <w:t xml:space="preserve"> group-08878bd048551d2446ad</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Should organising premier-level European football be a monopoly? And who should run it? – An economists' perspective — https://doi.org/10.4324/9781003305989-6</w:t>
      </w:r>
    </w:p>
    <w:p>
      <w:pPr/>
      <w:r>
        <w:rPr>
          <w:b/>
        </w:rPr>
        <w:t>Later source:</w:t>
      </w:r>
      <w:r>
        <w:t xml:space="preserve"> Digital Competencies in Selected European Countries among University and High-School Students: Programming is lagging behind — https://doi.org/10.2478/bsrj-2022-0019</w:t>
      </w:r>
    </w:p>
    <w:p>
      <w:pPr>
        <w:pStyle w:val="SourceNote"/>
      </w:pPr>
      <w:r>
        <w:rPr>
          <w:b/>
        </w:rPr>
        <w:t>Review status:</w:t>
      </w:r>
      <w:r>
        <w:t xml:space="preserve"> unchecked — possible relationship only</w:t>
      </w:r>
    </w:p>
    <w:p>
      <w:pPr>
        <w:pStyle w:val="Heading2"/>
      </w:pPr>
      <w:r>
        <w:t>135. Claim + two later sources: The CIRCE Simulations: Regional Climate Change Projections with Realistic Representation of the Mediterranean Sea</w:t>
      </w:r>
    </w:p>
    <w:p>
      <w:pPr>
        <w:pStyle w:val="SourceNote"/>
      </w:pPr>
      <w:r>
        <w:rPr>
          <w:b/>
        </w:rPr>
        <w:t>Group ID:</w:t>
      </w:r>
      <w:r>
        <w:t xml:space="preserve"> group-9f066b1e98429cc967e3</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Rolling force modeling based on neural network and mechanism model — https://doi.org/10.1007/s12206-025-0118-4</w:t>
      </w:r>
    </w:p>
    <w:p>
      <w:pPr/>
      <w:r>
        <w:rPr>
          <w:b/>
        </w:rPr>
        <w:t>Later source:</w:t>
      </w:r>
      <w:r>
        <w:t xml:space="preserve"> Inter-hemispheric asymmetries in high-latitude electrodynamic forcing and the thermosphere during the October 8–9, 2012, geomagnetic storm: An integrated data–Model investigation — https://doi.org/10.3389/fspas.2023.1062265</w:t>
      </w:r>
    </w:p>
    <w:p>
      <w:pPr>
        <w:pStyle w:val="SourceNote"/>
      </w:pPr>
      <w:r>
        <w:rPr>
          <w:b/>
        </w:rPr>
        <w:t>Review status:</w:t>
      </w:r>
      <w:r>
        <w:t xml:space="preserve"> unchecked — possible relationship only</w:t>
      </w:r>
    </w:p>
    <w:p>
      <w:pPr>
        <w:pStyle w:val="Heading2"/>
      </w:pPr>
      <w:r>
        <w:t>136. Claim + two later sources: Scenarios for the future of the European process industry - the case of the chemical industry</w:t>
      </w:r>
    </w:p>
    <w:p>
      <w:pPr>
        <w:pStyle w:val="SourceNote"/>
      </w:pPr>
      <w:r>
        <w:rPr>
          <w:b/>
        </w:rPr>
        <w:t>Group ID:</w:t>
      </w:r>
      <w:r>
        <w:t xml:space="preserve"> group-d3a91e6b95e492da4cc3</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Food safety challenges and One Health within Europe — https://doi.org/10.1186/s13028-017-0355-3</w:t>
      </w:r>
    </w:p>
    <w:p>
      <w:pPr/>
      <w:r>
        <w:rPr>
          <w:b/>
        </w:rPr>
        <w:t>Later source:</w:t>
      </w:r>
      <w:r>
        <w:t xml:space="preserve"> Taxonomy of Chemical Bondings: Opportunities and Challenges — https://doi.org/10.1002/anie.202506525</w:t>
      </w:r>
    </w:p>
    <w:p>
      <w:pPr>
        <w:pStyle w:val="SourceNote"/>
      </w:pPr>
      <w:r>
        <w:rPr>
          <w:b/>
        </w:rPr>
        <w:t>Review status:</w:t>
      </w:r>
      <w:r>
        <w:t xml:space="preserve"> unchecked — possible relationship only</w:t>
      </w:r>
    </w:p>
    <w:p>
      <w:pPr>
        <w:pStyle w:val="Heading2"/>
      </w:pPr>
      <w:r>
        <w:t>137. Claim + two later sources: The future of global trade and the WTO</w:t>
      </w:r>
    </w:p>
    <w:p>
      <w:pPr>
        <w:pStyle w:val="SourceNote"/>
      </w:pPr>
      <w:r>
        <w:rPr>
          <w:b/>
        </w:rPr>
        <w:t>Group ID:</w:t>
      </w:r>
      <w:r>
        <w:t xml:space="preserve"> group-09afc1d1d1b3baa0251e</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Contested World Economy — https://doi.org/10.1017/9781009337489</w:t>
      </w:r>
    </w:p>
    <w:p>
      <w:pPr>
        <w:pStyle w:val="SourceNote"/>
      </w:pPr>
      <w:r>
        <w:rPr>
          <w:b/>
        </w:rPr>
        <w:t>Review status:</w:t>
      </w:r>
      <w:r>
        <w:t xml:space="preserve"> unchecked — possible relationship only</w:t>
      </w:r>
    </w:p>
    <w:p>
      <w:pPr>
        <w:pStyle w:val="Heading2"/>
      </w:pPr>
      <w:r>
        <w:t>138. Claim + two later sources: EU road vehicle energy consumption and CO2 emissions by 2050 – Expert-based scenarios</w:t>
      </w:r>
    </w:p>
    <w:p>
      <w:pPr>
        <w:pStyle w:val="SourceNote"/>
      </w:pPr>
      <w:r>
        <w:rPr>
          <w:b/>
        </w:rPr>
        <w:t>Group ID:</w:t>
      </w:r>
      <w:r>
        <w:t xml:space="preserve"> group-97e0ad646f4bdd4a651a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ARTIFICIAL INTELLIGENCE AS A TECHNO-STRATEGIC DOMAIN: A COMPARATIVE ANALYSIS OF THE INFLUENCE OF THINK TANKS ON US AND EUROPEAN AI POLICIES — https://doi.org/10.53443/anadoluibfd.1850103</w:t>
      </w:r>
    </w:p>
    <w:p>
      <w:pPr/>
      <w:r>
        <w:rPr>
          <w:b/>
        </w:rPr>
        <w:t>Later source:</w:t>
      </w:r>
      <w:r>
        <w:t xml:space="preserve"> Teaching Acoustics at the EELISA THINK TANK on SUSTAINABLE BUILDINGS — https://doi.org/10.61782/fa.2023.1301</w:t>
      </w:r>
    </w:p>
    <w:p>
      <w:pPr>
        <w:pStyle w:val="SourceNote"/>
      </w:pPr>
      <w:r>
        <w:rPr>
          <w:b/>
        </w:rPr>
        <w:t>Review status:</w:t>
      </w:r>
      <w:r>
        <w:t xml:space="preserve"> unchecked — possible relationship only</w:t>
      </w:r>
    </w:p>
    <w:p>
      <w:pPr>
        <w:pStyle w:val="Heading2"/>
      </w:pPr>
      <w:r>
        <w:t>139. Claim + two later sources: Foresight of teachers’ professional challenges</w:t>
      </w:r>
    </w:p>
    <w:p>
      <w:pPr>
        <w:pStyle w:val="SourceNote"/>
      </w:pPr>
      <w:r>
        <w:rPr>
          <w:b/>
        </w:rPr>
        <w:t>Group ID:</w:t>
      </w:r>
      <w:r>
        <w:t xml:space="preserve"> group-01e096077a9b923b8dc4</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Main Results of the Second LPT Challenge — https://doi.org/10.55037/lxlaser.22nd.105</w:t>
      </w:r>
    </w:p>
    <w:p>
      <w:pPr/>
      <w:r>
        <w:rPr>
          <w:b/>
        </w:rPr>
        <w:t>Later source:</w:t>
      </w:r>
      <w:r>
        <w:t xml:space="preserve"> The Illocutionary Acts Found in Main Characters’ Conversation of the Maleficent Movie — https://doi.org/10.24256/ideas.v12i2.5457</w:t>
      </w:r>
    </w:p>
    <w:p>
      <w:pPr>
        <w:pStyle w:val="SourceNote"/>
      </w:pPr>
      <w:r>
        <w:rPr>
          <w:b/>
        </w:rPr>
        <w:t>Review status:</w:t>
      </w:r>
      <w:r>
        <w:t xml:space="preserve"> unchecked — possible relationship only</w:t>
      </w:r>
    </w:p>
    <w:p>
      <w:pPr>
        <w:pStyle w:val="Heading2"/>
      </w:pPr>
      <w:r>
        <w:t>140. Claim + two later sources: Scenarios for population health inequalities in 2030 in Europe</w:t>
      </w:r>
    </w:p>
    <w:p>
      <w:pPr>
        <w:pStyle w:val="SourceNote"/>
      </w:pPr>
      <w:r>
        <w:rPr>
          <w:b/>
        </w:rPr>
        <w:t>Group ID:</w:t>
      </w:r>
      <w:r>
        <w:t xml:space="preserve"> group-44c9e554f5614f18c3ce</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Soil degradation in Europe is projected to accelerate under changing land use and climate — https://doi.org/10.1038/s44458-026-00064-4</w:t>
      </w:r>
    </w:p>
    <w:p>
      <w:pPr/>
      <w:r>
        <w:rPr>
          <w:b/>
        </w:rPr>
        <w:t>Later source:</w:t>
      </w:r>
      <w:r>
        <w:t xml:space="preserve"> A multi-level and multi-scale design approach supporting sustainable mobility and healthier living: AIR BREAK project in Ferrara, Italy — https://doi.org/10.1080/23748834.2024.2349862</w:t>
      </w:r>
    </w:p>
    <w:p>
      <w:pPr>
        <w:pStyle w:val="SourceNote"/>
      </w:pPr>
      <w:r>
        <w:rPr>
          <w:b/>
        </w:rPr>
        <w:t>Review status:</w:t>
      </w:r>
      <w:r>
        <w:t xml:space="preserve"> unchecked — possible relationship only</w:t>
      </w:r>
    </w:p>
    <w:p>
      <w:pPr>
        <w:pStyle w:val="Heading2"/>
      </w:pPr>
      <w:r>
        <w:t>141. Claim + two later sources: REMIND-D: A Hybrid Energy-Economy Model of Germany</w:t>
      </w:r>
    </w:p>
    <w:p>
      <w:pPr>
        <w:pStyle w:val="SourceNote"/>
      </w:pPr>
      <w:r>
        <w:rPr>
          <w:b/>
        </w:rPr>
        <w:t>Group ID:</w:t>
      </w:r>
      <w:r>
        <w:t xml:space="preserve"> group-57f7f2e57d9708f3ce38</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Quantitative sovereign default models and the European debt crisis — https://doi.org/10.1016/j.jinteco.2019.01.011</w:t>
      </w:r>
    </w:p>
    <w:p>
      <w:pPr>
        <w:pStyle w:val="SourceNote"/>
      </w:pPr>
      <w:r>
        <w:rPr>
          <w:b/>
        </w:rPr>
        <w:t>Review status:</w:t>
      </w:r>
      <w:r>
        <w:t xml:space="preserve"> unchecked — possible relationship only</w:t>
      </w:r>
    </w:p>
    <w:p>
      <w:pPr>
        <w:pStyle w:val="Heading2"/>
      </w:pPr>
      <w:r>
        <w:t>142. Claim + two later sources: Pathway Analysis of a Zero-Emission Transition in the Nordic-Baltic Region</w:t>
      </w:r>
    </w:p>
    <w:p>
      <w:pPr>
        <w:pStyle w:val="SourceNote"/>
      </w:pPr>
      <w:r>
        <w:rPr>
          <w:b/>
        </w:rPr>
        <w:t>Group ID:</w:t>
      </w:r>
      <w:r>
        <w:t xml:space="preserve"> group-3f3083bd37b14e108667</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Long-term optimization of the Norwegian energy system under the influence of the European power market — https://doi.org/10.1109/eem58374.2023.10161972</w:t>
      </w:r>
    </w:p>
    <w:p>
      <w:pPr>
        <w:pStyle w:val="SourceNote"/>
      </w:pPr>
      <w:r>
        <w:rPr>
          <w:b/>
        </w:rPr>
        <w:t>Review status:</w:t>
      </w:r>
      <w:r>
        <w:t xml:space="preserve"> unchecked — possible relationship only</w:t>
      </w:r>
    </w:p>
    <w:p>
      <w:pPr>
        <w:pStyle w:val="Heading2"/>
      </w:pPr>
      <w:r>
        <w:t>143. Claim + two later sources: Bioenergy futures in Sweden – Modeling integration scenarios for biofuel production</w:t>
      </w:r>
    </w:p>
    <w:p>
      <w:pPr>
        <w:pStyle w:val="SourceNote"/>
      </w:pPr>
      <w:r>
        <w:rPr>
          <w:b/>
        </w:rPr>
        <w:t>Group ID:</w:t>
      </w:r>
      <w:r>
        <w:t xml:space="preserve"> group-cedc57b3b8908e589cf7</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Investigating the heterogeneity within Wild bird indices in Europe — https://doi.org/10.1016/j.biocon.2024.110452</w:t>
      </w:r>
    </w:p>
    <w:p>
      <w:pPr>
        <w:pStyle w:val="SourceNote"/>
      </w:pPr>
      <w:r>
        <w:rPr>
          <w:b/>
        </w:rPr>
        <w:t>Review status:</w:t>
      </w:r>
      <w:r>
        <w:t xml:space="preserve"> unchecked — possible relationship only</w:t>
      </w:r>
    </w:p>
    <w:p>
      <w:pPr>
        <w:pStyle w:val="Heading2"/>
      </w:pPr>
      <w:r>
        <w:t>144. Claim + two later sources: Horizon scanning exercise on preparedness for future risk assessment requirements and possible challenges in regulatory science</w:t>
      </w:r>
    </w:p>
    <w:p>
      <w:pPr>
        <w:pStyle w:val="SourceNote"/>
      </w:pPr>
      <w:r>
        <w:rPr>
          <w:b/>
        </w:rPr>
        <w:t>Group ID:</w:t>
      </w:r>
      <w:r>
        <w:t xml:space="preserve"> group-6bcc27c08c3b777e789f</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145.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146. Claim + two later sources: Institutional issues in planning for more uncertain futures</w:t>
      </w:r>
    </w:p>
    <w:p>
      <w:pPr>
        <w:pStyle w:val="SourceNote"/>
      </w:pPr>
      <w:r>
        <w:rPr>
          <w:b/>
        </w:rPr>
        <w:t>Group ID:</w:t>
      </w:r>
      <w:r>
        <w:t xml:space="preserve"> group-98c1b65cd2cb36c91e0b</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How ideas matter in public policy: a review of concepts, mechanisms, and methods — https://doi.org/10.4000/irpp.1343</w:t>
      </w:r>
    </w:p>
    <w:p>
      <w:pPr>
        <w:pStyle w:val="SourceNote"/>
      </w:pPr>
      <w:r>
        <w:rPr>
          <w:b/>
        </w:rPr>
        <w:t>Review status:</w:t>
      </w:r>
      <w:r>
        <w:t xml:space="preserve"> unchecked — possible relationship only</w:t>
      </w:r>
    </w:p>
    <w:p>
      <w:pPr>
        <w:pStyle w:val="Heading2"/>
      </w:pPr>
      <w:r>
        <w:t>147. Claim + two later sources: La aplicación estratégica por escenarios en el medio natural. El caso del Nature Outlook 2050 del PBL.</w:t>
      </w:r>
    </w:p>
    <w:p>
      <w:pPr>
        <w:pStyle w:val="SourceNote"/>
      </w:pPr>
      <w:r>
        <w:rPr>
          <w:b/>
        </w:rPr>
        <w:t>Group ID:</w:t>
      </w:r>
      <w:r>
        <w:t xml:space="preserve"> group-c199a737270515739e2c</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GAD-7 Screening Tool Implementation — https://openalex.org/W7112211183</w:t>
      </w:r>
    </w:p>
    <w:p>
      <w:pPr/>
      <w:r>
        <w:rPr>
          <w:b/>
        </w:rPr>
        <w:t>Later source:</w:t>
      </w:r>
      <w:r>
        <w:t xml:space="preserve"> Implementation and use of remote work tools — https://doi.org/10.29119/1641-3466.2022.159.39</w:t>
      </w:r>
    </w:p>
    <w:p>
      <w:pPr>
        <w:pStyle w:val="SourceNote"/>
      </w:pPr>
      <w:r>
        <w:rPr>
          <w:b/>
        </w:rPr>
        <w:t>Review status:</w:t>
      </w:r>
      <w:r>
        <w:t xml:space="preserve"> unchecked — possible relationship only</w:t>
      </w:r>
    </w:p>
    <w:p>
      <w:pPr>
        <w:pStyle w:val="Heading2"/>
      </w:pPr>
      <w:r>
        <w:t>148. Claim + two later sources: Backcasting for desirable futures in Finnish forest-based firms</w:t>
      </w:r>
    </w:p>
    <w:p>
      <w:pPr>
        <w:pStyle w:val="SourceNote"/>
      </w:pPr>
      <w:r>
        <w:rPr>
          <w:b/>
        </w:rPr>
        <w:t>Group ID:</w:t>
      </w:r>
      <w:r>
        <w:t xml:space="preserve"> group-4770ea3f79a53efd0b5f</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Technology‐Driven Business Ethics — https://doi.org/10.1002/9781394234028.ch20</w:t>
      </w:r>
    </w:p>
    <w:p>
      <w:pPr/>
      <w:r>
        <w:rPr>
          <w:b/>
        </w:rPr>
        <w:t>Later source:</w:t>
      </w:r>
      <w:r>
        <w:t xml:space="preserve"> ENTREPRENEURS' SKILL OF HANDLING TECHNOLOGY IN AGRO AND GENERAL BUSINESSES — https://doi.org/10.37231/apj.2022.5.1.312</w:t>
      </w:r>
    </w:p>
    <w:p>
      <w:pPr>
        <w:pStyle w:val="SourceNote"/>
      </w:pPr>
      <w:r>
        <w:rPr>
          <w:b/>
        </w:rPr>
        <w:t>Review status:</w:t>
      </w:r>
      <w:r>
        <w:t xml:space="preserve"> unchecked — possible relationship only</w:t>
      </w:r>
    </w:p>
    <w:p>
      <w:pPr>
        <w:pStyle w:val="Heading2"/>
      </w:pPr>
      <w:r>
        <w:t>149. Claim + two later sources: Climate, competition and connectivity affect future migration and ranges of European trees</w:t>
      </w:r>
    </w:p>
    <w:p>
      <w:pPr>
        <w:pStyle w:val="SourceNote"/>
      </w:pPr>
      <w:r>
        <w:rPr>
          <w:b/>
        </w:rPr>
        <w:t>Group ID:</w:t>
      </w:r>
      <w:r>
        <w:t xml:space="preserve"> group-aa68d1deb0e7b8b3b35d</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Lecanora hybocarpa and similar European species — https://doi.org/10.1017/s0024282925101291</w:t>
      </w:r>
    </w:p>
    <w:p>
      <w:pPr/>
      <w:r>
        <w:rPr>
          <w:b/>
        </w:rPr>
        <w:t>Later source:</w:t>
      </w:r>
      <w:r>
        <w:t xml:space="preserve"> Mechanised Harvesting of Broadleaved Tree Species in Europe — https://doi.org/10.1007/s40725-021-00154-7</w:t>
      </w:r>
    </w:p>
    <w:p>
      <w:pPr>
        <w:pStyle w:val="SourceNote"/>
      </w:pPr>
      <w:r>
        <w:rPr>
          <w:b/>
        </w:rPr>
        <w:t>Review status:</w:t>
      </w:r>
      <w:r>
        <w:t xml:space="preserve"> unchecked — possible relationship only</w:t>
      </w:r>
    </w:p>
    <w:p>
      <w:pPr>
        <w:pStyle w:val="Heading2"/>
      </w:pPr>
      <w:r>
        <w:t>150. Claim + two later sources: The July 2019 European Heat Wave in a Warmer Climate: Storyline Scenarios with a Coupled Model Using Spectral Nudging</w:t>
      </w:r>
    </w:p>
    <w:p>
      <w:pPr>
        <w:pStyle w:val="SourceNote"/>
      </w:pPr>
      <w:r>
        <w:rPr>
          <w:b/>
        </w:rPr>
        <w:t>Group ID:</w:t>
      </w:r>
      <w:r>
        <w:t xml:space="preserve"> group-09d19acb0528ef4b533e</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Research on climate effects of large herbivores in Europe: a systematic map — https://doi.org/10.1186/s13750-026-00392-x</w:t>
      </w:r>
    </w:p>
    <w:p>
      <w:pPr/>
      <w:r>
        <w:rPr>
          <w:b/>
        </w:rPr>
        <w:t>Later source:</w:t>
      </w:r>
      <w:r>
        <w:t xml:space="preserve"> Climate change worry and the association with future depression and anxiety: cross-national analysis of 11 European countries — https://doi.org/10.1136/bmjment-2024-301318</w:t>
      </w:r>
    </w:p>
    <w:p>
      <w:pPr>
        <w:pStyle w:val="SourceNote"/>
      </w:pPr>
      <w:r>
        <w:rPr>
          <w:b/>
        </w:rPr>
        <w:t>Review status:</w:t>
      </w:r>
      <w:r>
        <w:t xml:space="preserve"> unchecked — possible relationship only</w:t>
      </w:r>
    </w:p>
    <w:p>
      <w:pPr>
        <w:pStyle w:val="Heading2"/>
      </w:pPr>
      <w:r>
        <w:t>151. Claim + two later sources: Futures of science with and for society: towards transformative policy orientations</w:t>
      </w:r>
    </w:p>
    <w:p>
      <w:pPr>
        <w:pStyle w:val="SourceNote"/>
      </w:pPr>
      <w:r>
        <w:rPr>
          <w:b/>
        </w:rPr>
        <w:t>Group ID:</w:t>
      </w:r>
      <w:r>
        <w:t xml:space="preserve"> group-cfa051baec7db5d31058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The Methodological Essence and Content of the Concept of Cultural Development — https://openalex.org/W7219340893</w:t>
      </w:r>
    </w:p>
    <w:p>
      <w:pPr/>
      <w:r>
        <w:rPr>
          <w:b/>
        </w:rPr>
        <w:t>Later source:</w:t>
      </w:r>
      <w:r>
        <w:t xml:space="preserve"> The essence and content of scientific research methodology — https://doi.org/10.12775/jehs.2024.63.020</w:t>
      </w:r>
    </w:p>
    <w:p>
      <w:pPr>
        <w:pStyle w:val="SourceNote"/>
      </w:pPr>
      <w:r>
        <w:rPr>
          <w:b/>
        </w:rPr>
        <w:t>Review status:</w:t>
      </w:r>
      <w:r>
        <w:t xml:space="preserve"> unchecked — possible relationship only</w:t>
      </w:r>
    </w:p>
    <w:p>
      <w:pPr>
        <w:pStyle w:val="Heading2"/>
      </w:pPr>
      <w:r>
        <w:t>152. Claim + two later sources: Population Projections and Demographic Knowledge in France and Great Britain in the Postwar Period</w:t>
      </w:r>
    </w:p>
    <w:p>
      <w:pPr>
        <w:pStyle w:val="SourceNote"/>
      </w:pPr>
      <w:r>
        <w:rPr>
          <w:b/>
        </w:rPr>
        <w:t>Group ID:</w:t>
      </w:r>
      <w:r>
        <w:t xml:space="preserve"> group-a73ee59a865136ec941f</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A unifying modelling of multiple land degradation pathways in Europe — https://doi.org/10.1038/s41467-024-48252-x</w:t>
      </w:r>
    </w:p>
    <w:p>
      <w:pPr/>
      <w:r>
        <w:rPr>
          <w:b/>
        </w:rPr>
        <w:t>Later source:</w:t>
      </w:r>
      <w:r>
        <w:t xml:space="preserve"> Encountering Diversity in France and “Eurafrica” — https://doi.org/10.7591/cornell/9781501765605.003.0005</w:t>
      </w:r>
    </w:p>
    <w:p>
      <w:pPr>
        <w:pStyle w:val="SourceNote"/>
      </w:pPr>
      <w:r>
        <w:rPr>
          <w:b/>
        </w:rPr>
        <w:t>Review status:</w:t>
      </w:r>
      <w:r>
        <w:t xml:space="preserve"> unchecked — possible relationship only</w:t>
      </w:r>
    </w:p>
    <w:p>
      <w:pPr>
        <w:pStyle w:val="Heading2"/>
      </w:pPr>
      <w:r>
        <w:t>153. Claim + two later sources: Conducting pre-foresight research: organizational aspect</w:t>
      </w:r>
    </w:p>
    <w:p>
      <w:pPr>
        <w:pStyle w:val="SourceNote"/>
      </w:pPr>
      <w:r>
        <w:rPr>
          <w:b/>
        </w:rPr>
        <w:t>Group ID:</w:t>
      </w:r>
      <w:r>
        <w:t xml:space="preserve"> group-355e80dccc4eef71c259</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FAIRsharing record for: FAIR Metric - R1.2 - Metadata - Linked Publications — https://doi.org/10.25504/fairsharing.653df6</w:t>
      </w:r>
    </w:p>
    <w:p>
      <w:pPr/>
      <w:r>
        <w:rPr>
          <w:b/>
        </w:rPr>
        <w:t>Later source:</w:t>
      </w:r>
      <w:r>
        <w:t xml:space="preserve"> Knowledge Management Practice in the Indian Publications Industry with a Case Study of Publications Hub, India — https://doi.org/10.30954/2322-0465.01.2026.14</w:t>
      </w:r>
    </w:p>
    <w:p>
      <w:pPr>
        <w:pStyle w:val="SourceNote"/>
      </w:pPr>
      <w:r>
        <w:rPr>
          <w:b/>
        </w:rPr>
        <w:t>Review status:</w:t>
      </w:r>
      <w:r>
        <w:t xml:space="preserve"> unchecked — possible relationship only</w:t>
      </w:r>
    </w:p>
    <w:p>
      <w:pPr>
        <w:pStyle w:val="Heading2"/>
      </w:pPr>
      <w:r>
        <w:t>154. Claim + two later sources: A threat to climate-secure European futures? Exploring racial logics and climate-induced migration in US and EU climate security discourses</w:t>
      </w:r>
    </w:p>
    <w:p>
      <w:pPr>
        <w:pStyle w:val="SourceNote"/>
      </w:pPr>
      <w:r>
        <w:rPr>
          <w:b/>
        </w:rPr>
        <w:t>Group ID:</w:t>
      </w:r>
      <w:r>
        <w:t xml:space="preserve"> group-084e49678953f2aaf2b2</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Thinking Europe Otherwise: Lessons from the Caribbean — https://doi.org/10.1177/0011392120931139</w:t>
      </w:r>
    </w:p>
    <w:p>
      <w:pPr/>
      <w:r>
        <w:rPr>
          <w:b/>
        </w:rPr>
        <w:t>Later source:</w:t>
      </w:r>
      <w:r>
        <w:t xml:space="preserve"> The right to a healthy environment: Reconceptualizing human rights in the face of climate change — https://doi.org/10.1111/reel.12430</w:t>
      </w:r>
    </w:p>
    <w:p>
      <w:pPr>
        <w:pStyle w:val="SourceNote"/>
      </w:pPr>
      <w:r>
        <w:rPr>
          <w:b/>
        </w:rPr>
        <w:t>Review status:</w:t>
      </w:r>
      <w:r>
        <w:t xml:space="preserve"> unchecked — possible relationship only</w:t>
      </w:r>
    </w:p>
    <w:p>
      <w:pPr>
        <w:pStyle w:val="Heading2"/>
      </w:pPr>
      <w:r>
        <w:t>155. Claim + two later sources: Animal health aspects of adaptation to climate change: beating the heat and parasites in a warming Europe</w:t>
      </w:r>
    </w:p>
    <w:p>
      <w:pPr>
        <w:pStyle w:val="SourceNote"/>
      </w:pPr>
      <w:r>
        <w:rPr>
          <w:b/>
        </w:rPr>
        <w:t>Group ID:</w:t>
      </w:r>
      <w:r>
        <w:t xml:space="preserve"> group-f8dda293d53103748a08</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Regulations for Medical Devices in Europe and Germany — https://doi.org/10.1007/978-3-032-03577-6_14</w:t>
      </w:r>
    </w:p>
    <w:p>
      <w:pPr/>
      <w:r>
        <w:rPr>
          <w:b/>
        </w:rPr>
        <w:t>Later source:</w:t>
      </w:r>
      <w:r>
        <w:t xml:space="preserve"> Contribution of climate change to the spatial expansion of West Nile virus in Europe — https://doi.org/10.1038/s41467-024-45290-3</w:t>
      </w:r>
    </w:p>
    <w:p>
      <w:pPr>
        <w:pStyle w:val="SourceNote"/>
      </w:pPr>
      <w:r>
        <w:rPr>
          <w:b/>
        </w:rPr>
        <w:t>Review status:</w:t>
      </w:r>
      <w:r>
        <w:t xml:space="preserve"> unchecked — possible relationship only</w:t>
      </w:r>
    </w:p>
    <w:p>
      <w:pPr>
        <w:pStyle w:val="Heading2"/>
      </w:pPr>
      <w:r>
        <w:t>156. Claim + two later sources: The pitfalls of ecological forecasting</w:t>
      </w:r>
    </w:p>
    <w:p>
      <w:pPr>
        <w:pStyle w:val="SourceNote"/>
      </w:pPr>
      <w:r>
        <w:rPr>
          <w:b/>
        </w:rPr>
        <w:t>Group ID:</w:t>
      </w:r>
      <w:r>
        <w:t xml:space="preserve"> group-d47d2c3f6550de2becc8</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pStyle w:val="SourceNote"/>
      </w:pPr>
      <w:r>
        <w:rPr>
          <w:b/>
        </w:rPr>
        <w:t>Review status:</w:t>
      </w:r>
      <w:r>
        <w:t xml:space="preserve"> unchecked — possible relationship only</w:t>
      </w:r>
    </w:p>
    <w:p>
      <w:pPr>
        <w:pStyle w:val="Heading2"/>
      </w:pPr>
      <w:r>
        <w:t>157. Claim + two later sources: Climate Change Effects on Heat- and Cold-Related Mortality in the Netherlands: A Scenario-Based Integrated Environmental Health Impact Assessment</w:t>
      </w:r>
    </w:p>
    <w:p>
      <w:pPr>
        <w:pStyle w:val="SourceNote"/>
      </w:pPr>
      <w:r>
        <w:rPr>
          <w:b/>
        </w:rPr>
        <w:t>Group ID:</w:t>
      </w:r>
      <w:r>
        <w:t xml:space="preserve"> group-99a507673f7a304c02c2</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Heat-related health impacts across national mitigation and urban adaptation scenarios in European cities - Data — https://doi.org/10.5281/zenodo.20666093</w:t>
      </w:r>
    </w:p>
    <w:p>
      <w:pPr/>
      <w:r>
        <w:rPr>
          <w:b/>
        </w:rPr>
        <w:t>Later source:</w:t>
      </w:r>
      <w:r>
        <w:t xml:space="preserve"> High resolution assessment of air quality and health in Europe under different climate mitigation scenarios — https://doi.org/10.1038/s41467-025-60449-2</w:t>
      </w:r>
    </w:p>
    <w:p>
      <w:pPr>
        <w:pStyle w:val="SourceNote"/>
      </w:pPr>
      <w:r>
        <w:rPr>
          <w:b/>
        </w:rPr>
        <w:t>Review status:</w:t>
      </w:r>
      <w:r>
        <w:t xml:space="preserve"> unchecked — possible relationship only</w:t>
      </w:r>
    </w:p>
    <w:p>
      <w:pPr>
        <w:pStyle w:val="Heading2"/>
      </w:pPr>
      <w:r>
        <w:t>158. Claim + two later sources: Scenario planning: An alternative approach to European Commission for combating antimicrobial resistance by 2050</w:t>
      </w:r>
    </w:p>
    <w:p>
      <w:pPr>
        <w:pStyle w:val="SourceNote"/>
      </w:pPr>
      <w:r>
        <w:rPr>
          <w:b/>
        </w:rPr>
        <w:t>Group ID:</w:t>
      </w:r>
      <w:r>
        <w:t xml:space="preserve"> group-7630331f13db9b364a97</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Achievements, priorities and strategies in pediatric nephrology in Europe — https://openalex.org/W7135161588</w:t>
      </w:r>
    </w:p>
    <w:p>
      <w:pPr>
        <w:pStyle w:val="SourceNote"/>
      </w:pPr>
      <w:r>
        <w:rPr>
          <w:b/>
        </w:rPr>
        <w:t>Review status:</w:t>
      </w:r>
      <w:r>
        <w:t xml:space="preserve"> unchecked — possible relationship only</w:t>
      </w:r>
    </w:p>
    <w:p>
      <w:pPr>
        <w:pStyle w:val="Heading2"/>
      </w:pPr>
      <w:r>
        <w:t>159.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160. Claim + two later sources: How climate, migration ability and habitat fragmentation affect the projected future distribution of European beech</w:t>
      </w:r>
    </w:p>
    <w:p>
      <w:pPr>
        <w:pStyle w:val="SourceNote"/>
      </w:pPr>
      <w:r>
        <w:rPr>
          <w:b/>
        </w:rPr>
        <w:t>Group ID:</w:t>
      </w:r>
      <w:r>
        <w:t xml:space="preserve"> group-e13b8d43962e66337af7</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Marine fish ranges are expanding and shifting deeper across the European continental shelf — https://doi.org/10.1038/s41467-026-74371-8</w:t>
      </w:r>
    </w:p>
    <w:p>
      <w:pPr/>
      <w:r>
        <w:rPr>
          <w:b/>
        </w:rPr>
        <w:t>Later source:</w:t>
      </w:r>
      <w:r>
        <w:t xml:space="preserve"> Range and climate niche shifts in European and North American breeding birds — https://doi.org/10.1098/rstb.2023.0013</w:t>
      </w:r>
    </w:p>
    <w:p>
      <w:pPr>
        <w:pStyle w:val="SourceNote"/>
      </w:pPr>
      <w:r>
        <w:rPr>
          <w:b/>
        </w:rPr>
        <w:t>Review status:</w:t>
      </w:r>
      <w:r>
        <w:t xml:space="preserve"> unchecked — possible relationship only</w:t>
      </w:r>
    </w:p>
    <w:p>
      <w:pPr>
        <w:pStyle w:val="Heading2"/>
      </w:pPr>
      <w:r>
        <w:t>161. Claim + two later sources: Least cost energy system pathways towards 100% renewable energy in Ireland by 2050</w:t>
      </w:r>
    </w:p>
    <w:p>
      <w:pPr>
        <w:pStyle w:val="SourceNote"/>
      </w:pPr>
      <w:r>
        <w:rPr>
          <w:b/>
        </w:rPr>
        <w:t>Group ID:</w:t>
      </w:r>
      <w:r>
        <w:t xml:space="preserve"> group-10240d7eba462d179c5d</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Oncoplastic breast surgery in Europe — https://doi.org/10.21037/gs-23-380</w:t>
      </w:r>
    </w:p>
    <w:p>
      <w:pPr/>
      <w:r>
        <w:rPr>
          <w:b/>
        </w:rPr>
        <w:t>Later source:</w:t>
      </w:r>
      <w:r>
        <w:t xml:space="preserve"> Precedent in the system of the European Convention on Human Rights — https://doi.org/10.4324/9781003264262-15</w:t>
      </w:r>
    </w:p>
    <w:p>
      <w:pPr>
        <w:pStyle w:val="SourceNote"/>
      </w:pPr>
      <w:r>
        <w:rPr>
          <w:b/>
        </w:rPr>
        <w:t>Review status:</w:t>
      </w:r>
      <w:r>
        <w:t xml:space="preserve"> unchecked — possible relationship only</w:t>
      </w:r>
    </w:p>
    <w:p>
      <w:pPr>
        <w:pStyle w:val="Heading2"/>
      </w:pPr>
      <w:r>
        <w:t>162. Claim + two later sources: The Deliberative Practice of Vision Mobility 2050: Vision-making for Sustainable Mobility in the Region of Munich?</w:t>
      </w:r>
    </w:p>
    <w:p>
      <w:pPr>
        <w:pStyle w:val="SourceNote"/>
      </w:pPr>
      <w:r>
        <w:rPr>
          <w:b/>
        </w:rPr>
        <w:t>Group ID:</w:t>
      </w:r>
      <w:r>
        <w:t xml:space="preserve"> group-be55b3a095927a461cbc</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Sustainability and competition policy in Europe: recent developments — https://doi.org/10.1093/jeclap/lpae063</w:t>
      </w:r>
    </w:p>
    <w:p>
      <w:pPr/>
      <w:r>
        <w:rPr>
          <w:b/>
        </w:rPr>
        <w:t>Later source:</w:t>
      </w:r>
      <w:r>
        <w:t xml:space="preserve"> Un/seeing race:Articulating differences in governing people in Europe through multimodal methods — https://openalex.org/W7135537615</w:t>
      </w:r>
    </w:p>
    <w:p>
      <w:pPr>
        <w:pStyle w:val="SourceNote"/>
      </w:pPr>
      <w:r>
        <w:rPr>
          <w:b/>
        </w:rPr>
        <w:t>Review status:</w:t>
      </w:r>
      <w:r>
        <w:t xml:space="preserve"> unchecked — possible relationship only</w:t>
      </w:r>
    </w:p>
    <w:p>
      <w:pPr>
        <w:pStyle w:val="Heading2"/>
      </w:pPr>
      <w:r>
        <w:t>163. Claim + two later sources: The role of district heating systems to provide balancing services in the European Union</w:t>
      </w:r>
    </w:p>
    <w:p>
      <w:pPr>
        <w:pStyle w:val="SourceNote"/>
      </w:pPr>
      <w:r>
        <w:rPr>
          <w:b/>
        </w:rPr>
        <w:t>Group ID:</w:t>
      </w:r>
      <w:r>
        <w:t xml:space="preserve"> group-074c01ecd3127d8fa22c</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Overcoming the central planner approach – Bilevel optimization of the European energy transition — https://doi.org/10.1016/j.isci.2024.110168</w:t>
      </w:r>
    </w:p>
    <w:p>
      <w:pPr/>
      <w:r>
        <w:rPr>
          <w:b/>
        </w:rPr>
        <w:t>Later source:</w:t>
      </w:r>
      <w:r>
        <w:t xml:space="preserve"> “The heat of a multitudinous assembly”: Striking short fiction and the rise of feminist potencia — https://doi.org/10.1111/lic3.12740</w:t>
      </w:r>
    </w:p>
    <w:p>
      <w:pPr>
        <w:pStyle w:val="SourceNote"/>
      </w:pPr>
      <w:r>
        <w:rPr>
          <w:b/>
        </w:rPr>
        <w:t>Review status:</w:t>
      </w:r>
      <w:r>
        <w:t xml:space="preserve"> unchecked — possible relationship only</w:t>
      </w:r>
    </w:p>
    <w:p>
      <w:pPr>
        <w:pStyle w:val="Heading2"/>
      </w:pPr>
      <w:r>
        <w:t>164.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possible relationship only</w:t>
      </w:r>
    </w:p>
    <w:p>
      <w:pPr>
        <w:pStyle w:val="Heading2"/>
      </w:pPr>
      <w:r>
        <w:t>165. Claim + two later sources: Scenarios for selected maritime economic functions</w:t>
      </w:r>
    </w:p>
    <w:p>
      <w:pPr>
        <w:pStyle w:val="SourceNote"/>
      </w:pPr>
      <w:r>
        <w:rPr>
          <w:b/>
        </w:rPr>
        <w:t>Group ID:</w:t>
      </w:r>
      <w:r>
        <w:t xml:space="preserve"> group-f356508a4da2e27a4493</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Current Status of the Algae Production Industry in Europe: An Emerging Sector of the Blue Bioeconomy — https://doi.org/10.3389/fmars.2020.626389</w:t>
      </w:r>
    </w:p>
    <w:p>
      <w:pPr>
        <w:pStyle w:val="SourceNote"/>
      </w:pPr>
      <w:r>
        <w:rPr>
          <w:b/>
        </w:rPr>
        <w:t>Review status:</w:t>
      </w:r>
      <w:r>
        <w:t xml:space="preserve"> unchecked — possible relationship only</w:t>
      </w:r>
    </w:p>
    <w:p>
      <w:pPr>
        <w:pStyle w:val="Heading2"/>
      </w:pPr>
      <w:r>
        <w:t>166. Claim + two later sources: Towards Europe 2035 - In Search of the Archimedean Screw: FOCUS in Perspective</w:t>
      </w:r>
    </w:p>
    <w:p>
      <w:pPr>
        <w:pStyle w:val="SourceNote"/>
      </w:pPr>
      <w:r>
        <w:rPr>
          <w:b/>
        </w:rPr>
        <w:t>Group ID:</w:t>
      </w:r>
      <w:r>
        <w:t xml:space="preserve"> group-a5ea90a701f9efacdb1c</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Safe and Sound: Governance for Planning Public Space in a Security-by-Design Paradigm — https://doi.org/10.3390/urbansci9070241</w:t>
      </w:r>
    </w:p>
    <w:p>
      <w:pPr/>
      <w:r>
        <w:rPr>
          <w:b/>
        </w:rPr>
        <w:t>Later source:</w:t>
      </w:r>
      <w:r>
        <w:t xml:space="preserve"> USING AN INDICATIVE APPROACH TO ASSESSING THE SECURITY OF ELECTRICITY SUPPLY — https://doi.org/10.15407/srenergy2024.04.132</w:t>
      </w:r>
    </w:p>
    <w:p>
      <w:pPr>
        <w:pStyle w:val="SourceNote"/>
      </w:pPr>
      <w:r>
        <w:rPr>
          <w:b/>
        </w:rPr>
        <w:t>Review status:</w:t>
      </w:r>
      <w:r>
        <w:t xml:space="preserve"> unchecked — possible relationship only</w:t>
      </w:r>
    </w:p>
    <w:p>
      <w:pPr>
        <w:pStyle w:val="Heading2"/>
      </w:pPr>
      <w:r>
        <w:t>167. Claim + two later sources: Towards an assessment of adaptive capacity of the European agricultural sector to droughts</w:t>
      </w:r>
    </w:p>
    <w:p>
      <w:pPr>
        <w:pStyle w:val="SourceNote"/>
      </w:pPr>
      <w:r>
        <w:rPr>
          <w:b/>
        </w:rPr>
        <w:t>Group ID:</w:t>
      </w:r>
      <w:r>
        <w:t xml:space="preserve"> group-722a36de2773b79b8a55</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High resolution maps of European agricultural indicators — https://doi.org/10.5194/egusphere-egu25-16510</w:t>
      </w:r>
    </w:p>
    <w:p>
      <w:pPr/>
      <w:r>
        <w:rPr>
          <w:b/>
        </w:rPr>
        <w:t>Later source:</w:t>
      </w:r>
      <w:r>
        <w:t xml:space="preserve"> Creating a data processing warehouse to support performance monitoring of cancer screening programmes in Europe using a common set of indicators — https://doi.org/10.1093/eurpub/ckaf119</w:t>
      </w:r>
    </w:p>
    <w:p>
      <w:pPr>
        <w:pStyle w:val="SourceNote"/>
      </w:pPr>
      <w:r>
        <w:rPr>
          <w:b/>
        </w:rPr>
        <w:t>Review status:</w:t>
      </w:r>
      <w:r>
        <w:t xml:space="preserve"> unchecked — possible relationship only</w:t>
      </w:r>
    </w:p>
    <w:p>
      <w:pPr>
        <w:pStyle w:val="Heading2"/>
      </w:pPr>
      <w:r>
        <w:t>168.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group-511ba903d2e10f434e77</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Precise Editing of Indolines at Different Positions via SET and CMD Pathways — https://doi.org/10.1021/jacsau.6c00050</w:t>
      </w:r>
    </w:p>
    <w:p>
      <w:pPr/>
      <w:r>
        <w:rPr>
          <w:b/>
        </w:rPr>
        <w:t>Later source:</w:t>
      </w:r>
      <w:r>
        <w:t xml:space="preserve"> Factors Influencing Participation in Student Evaluation of Teaching (SETs): A Quality Improvement Analysis — https://doi.org/10.1002/jdd.70303</w:t>
      </w:r>
    </w:p>
    <w:p>
      <w:pPr>
        <w:pStyle w:val="SourceNote"/>
      </w:pPr>
      <w:r>
        <w:rPr>
          <w:b/>
        </w:rPr>
        <w:t>Review status:</w:t>
      </w:r>
      <w:r>
        <w:t xml:space="preserve"> unchecked — possible relationship only</w:t>
      </w:r>
    </w:p>
    <w:p>
      <w:pPr>
        <w:pStyle w:val="Heading2"/>
      </w:pPr>
      <w:r>
        <w:t>169. Claim + two later sources: One step ahead? The use of foresight by Czech and Slovak non-governmental organizations</w:t>
      </w:r>
    </w:p>
    <w:p>
      <w:pPr>
        <w:pStyle w:val="SourceNote"/>
      </w:pPr>
      <w:r>
        <w:rPr>
          <w:b/>
        </w:rPr>
        <w:t>Group ID:</w:t>
      </w:r>
      <w:r>
        <w:t xml:space="preserve"> group-2bc333f213a83c6abcba</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The End of Bourgeois Humanism and the Mindfulness of Nature in Adorno’s Writings of the 1950s and 1960s — https://doi.org/10.65272/978-88-6977-570-3_5</w:t>
      </w:r>
    </w:p>
    <w:p>
      <w:pPr/>
      <w:r>
        <w:rPr>
          <w:b/>
        </w:rPr>
        <w:t>Later source:</w:t>
      </w:r>
      <w:r>
        <w:t xml:space="preserve"> Rethinking Automation and the Future of Work with Hannah Arendt — https://doi.org/10.1007/s10551-025-05991-1</w:t>
      </w:r>
    </w:p>
    <w:p>
      <w:pPr>
        <w:pStyle w:val="SourceNote"/>
      </w:pPr>
      <w:r>
        <w:rPr>
          <w:b/>
        </w:rPr>
        <w:t>Review status:</w:t>
      </w:r>
      <w:r>
        <w:t xml:space="preserve"> unchecked — possible relationship only</w:t>
      </w:r>
    </w:p>
    <w:p>
      <w:pPr>
        <w:pStyle w:val="Heading2"/>
      </w:pPr>
      <w:r>
        <w:t>170.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171.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172.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173. Claim + two later sources: How much does climate change threaten European forest tree species distributions?</w:t>
      </w:r>
    </w:p>
    <w:p>
      <w:pPr>
        <w:pStyle w:val="SourceNote"/>
      </w:pPr>
      <w:r>
        <w:rPr>
          <w:b/>
        </w:rPr>
        <w:t>Group ID:</w:t>
      </w:r>
      <w:r>
        <w:t xml:space="preserve"> group-2411e744243b3819d8f9</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A scoping review of human health co-benefits of forest-based climate change mitigation in Europe — https://doi.org/10.1016/j.envint.2024.108593</w:t>
      </w:r>
    </w:p>
    <w:p>
      <w:pPr/>
      <w:r>
        <w:rPr>
          <w:b/>
        </w:rPr>
        <w:t>Later source:</w:t>
      </w:r>
      <w:r>
        <w:t xml:space="preserve"> Tracking climate change and health in Europe — https://doi.org/10.1289/isee.2023.op-169</w:t>
      </w:r>
    </w:p>
    <w:p>
      <w:pPr>
        <w:pStyle w:val="SourceNote"/>
      </w:pPr>
      <w:r>
        <w:rPr>
          <w:b/>
        </w:rPr>
        <w:t>Review status:</w:t>
      </w:r>
      <w:r>
        <w:t xml:space="preserve"> unchecked — possible relationship only</w:t>
      </w:r>
    </w:p>
    <w:p>
      <w:pPr>
        <w:pStyle w:val="Heading2"/>
      </w:pPr>
      <w:r>
        <w:t>174. Claim + two later sources: European Road Safety Policy 2016-2020: A Forecast on Topics and Activities</w:t>
      </w:r>
    </w:p>
    <w:p>
      <w:pPr>
        <w:pStyle w:val="SourceNote"/>
      </w:pPr>
      <w:r>
        <w:rPr>
          <w:b/>
        </w:rPr>
        <w:t>Group ID:</w:t>
      </w:r>
      <w:r>
        <w:t xml:space="preserve"> group-483b042be6307af9a43e</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THE LEGISLATIVE POWER IN THE EUROPEAN UNION — https://doi.org/10.56238/sevened2026.035-019</w:t>
      </w:r>
    </w:p>
    <w:p>
      <w:pPr>
        <w:pStyle w:val="SourceNote"/>
      </w:pPr>
      <w:r>
        <w:rPr>
          <w:b/>
        </w:rPr>
        <w:t>Review status:</w:t>
      </w:r>
      <w:r>
        <w:t xml:space="preserve"> unchecked — possible relationship only</w:t>
      </w:r>
    </w:p>
    <w:p>
      <w:pPr>
        <w:pStyle w:val="Heading2"/>
      </w:pPr>
      <w:r>
        <w:t>175. Claim + two later sources: ECONOMIC GROWTH PROJECTION FOR EUROPEAN UNION BY 2030</w:t>
      </w:r>
    </w:p>
    <w:p>
      <w:pPr>
        <w:pStyle w:val="SourceNote"/>
      </w:pPr>
      <w:r>
        <w:rPr>
          <w:b/>
        </w:rPr>
        <w:t>Group ID:</w:t>
      </w:r>
      <w:r>
        <w:t xml:space="preserve"> group-90c69ae67133f76369cb</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Institutional Development of Family-owned Businesses in Japan: A European Perspective — https://doi.org/10.25105/ijsmebs.v1i4.20500</w:t>
      </w:r>
    </w:p>
    <w:p>
      <w:pPr>
        <w:pStyle w:val="SourceNote"/>
      </w:pPr>
      <w:r>
        <w:rPr>
          <w:b/>
        </w:rPr>
        <w:t>Review status:</w:t>
      </w:r>
      <w:r>
        <w:t xml:space="preserve"> unchecked — possible relationship only</w:t>
      </w:r>
    </w:p>
    <w:p>
      <w:pPr>
        <w:pStyle w:val="Heading2"/>
      </w:pPr>
      <w:r>
        <w:t>176. Claim + two later sources: Which way to net zero? a comparative analysis of seven UK 2050 decarbonisation pathways</w:t>
      </w:r>
    </w:p>
    <w:p>
      <w:pPr>
        <w:pStyle w:val="SourceNote"/>
      </w:pPr>
      <w:r>
        <w:rPr>
          <w:b/>
        </w:rPr>
        <w:t>Group ID:</w:t>
      </w:r>
      <w:r>
        <w:t xml:space="preserve"> group-595ad2da72906cfc78cb</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InYA – Invisible Young Athletes: Key Findings Report (Project Deliverable) — https://doi.org/10.5281/zenodo.17963501</w:t>
      </w:r>
    </w:p>
    <w:p>
      <w:pPr/>
      <w:r>
        <w:rPr>
          <w:b/>
        </w:rPr>
        <w:t>Later source:</w:t>
      </w:r>
      <w:r>
        <w:t xml:space="preserve"> National Diabetes Audit: key findings from latest Diabetes in Pregnancy report — https://doi.org/10.1002/pdi.2504</w:t>
      </w:r>
    </w:p>
    <w:p>
      <w:pPr>
        <w:pStyle w:val="SourceNote"/>
      </w:pPr>
      <w:r>
        <w:rPr>
          <w:b/>
        </w:rPr>
        <w:t>Review status:</w:t>
      </w:r>
      <w:r>
        <w:t xml:space="preserve"> unchecked — possible relationship only</w:t>
      </w:r>
    </w:p>
    <w:p>
      <w:pPr>
        <w:pStyle w:val="Heading2"/>
      </w:pPr>
      <w:r>
        <w:t>177. Claim + two later sources: Interpreting long-term energy scenarios and the role of bioenergy in Germany</w:t>
      </w:r>
    </w:p>
    <w:p>
      <w:pPr>
        <w:pStyle w:val="SourceNote"/>
      </w:pPr>
      <w:r>
        <w:rPr>
          <w:b/>
        </w:rPr>
        <w:t>Group ID:</w:t>
      </w:r>
      <w:r>
        <w:t xml:space="preserve"> group-ea6720a020ac9af88f6e</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A Mapping of Textile Waste Recycling Technologies in Europe and Spain — https://doi.org/10.3390/textiles4030022</w:t>
      </w:r>
    </w:p>
    <w:p>
      <w:pPr/>
      <w:r>
        <w:rPr>
          <w:b/>
        </w:rPr>
        <w:t>Later source:</w:t>
      </w:r>
      <w:r>
        <w:t xml:space="preserve"> The European Universities Initiative and European spatial imaginaries — https://doi.org/10.1080/14767724.2023.2210515</w:t>
      </w:r>
    </w:p>
    <w:p>
      <w:pPr>
        <w:pStyle w:val="SourceNote"/>
      </w:pPr>
      <w:r>
        <w:rPr>
          <w:b/>
        </w:rPr>
        <w:t>Review status:</w:t>
      </w:r>
      <w:r>
        <w:t xml:space="preserve"> unchecked — possible relationship only</w:t>
      </w:r>
    </w:p>
    <w:p>
      <w:pPr>
        <w:pStyle w:val="Heading2"/>
      </w:pPr>
      <w:r>
        <w:t>178. Claim + two later sources: Czech Republic as A Deferring Factor for European Union to Achieve Climate Change Measures</w:t>
      </w:r>
    </w:p>
    <w:p>
      <w:pPr>
        <w:pStyle w:val="SourceNote"/>
      </w:pPr>
      <w:r>
        <w:rPr>
          <w:b/>
        </w:rPr>
        <w:t>Group ID:</w:t>
      </w:r>
      <w:r>
        <w:t xml:space="preserve"> group-fdc3ed0a539daf0dee3b</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Contemporary European conducting process: educational models — https://doi.org/10.34064/khnum1-72.05</w:t>
      </w:r>
    </w:p>
    <w:p>
      <w:pPr>
        <w:pStyle w:val="SourceNote"/>
      </w:pPr>
      <w:r>
        <w:rPr>
          <w:b/>
        </w:rPr>
        <w:t>Review status:</w:t>
      </w:r>
      <w:r>
        <w:t xml:space="preserve"> unchecked — possible relationship only</w:t>
      </w:r>
    </w:p>
    <w:p>
      <w:pPr>
        <w:pStyle w:val="Heading2"/>
      </w:pPr>
      <w:r>
        <w:t>179. Claim + two later sources: Potential stocks and increments of woody biomass in the European Union under different management and climate scenarios</w:t>
      </w:r>
    </w:p>
    <w:p>
      <w:pPr>
        <w:pStyle w:val="SourceNote"/>
      </w:pPr>
      <w:r>
        <w:rPr>
          <w:b/>
        </w:rPr>
        <w:t>Group ID:</w:t>
      </w:r>
      <w:r>
        <w:t xml:space="preserve"> group-ce2f375c7f8137b58d70</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Effect of forest stand thinning on tree biomass carbon stock — https://doi.org/10.22616/erdev.2024.23.tf009</w:t>
      </w:r>
    </w:p>
    <w:p>
      <w:pPr/>
      <w:r>
        <w:rPr>
          <w:b/>
        </w:rPr>
        <w:t>Later source:</w:t>
      </w:r>
      <w:r>
        <w:t xml:space="preserve"> The overlooked contribution of trees outside forests to tree cover and woody biomass across Europe — https://doi.org/10.1126/sciadv.adh4097</w:t>
      </w:r>
    </w:p>
    <w:p>
      <w:pPr>
        <w:pStyle w:val="SourceNote"/>
      </w:pPr>
      <w:r>
        <w:rPr>
          <w:b/>
        </w:rPr>
        <w:t>Review status:</w:t>
      </w:r>
      <w:r>
        <w:t xml:space="preserve"> unchecked — possible relationship only</w:t>
      </w:r>
    </w:p>
    <w:p>
      <w:pPr>
        <w:pStyle w:val="Heading2"/>
      </w:pPr>
      <w:r>
        <w:t>180. Claim + two later sources: Foresight on the future of public research metrology in Europe</w:t>
      </w:r>
    </w:p>
    <w:p>
      <w:pPr>
        <w:pStyle w:val="SourceNote"/>
      </w:pPr>
      <w:r>
        <w:rPr>
          <w:b/>
        </w:rPr>
        <w:t>Group ID:</w:t>
      </w:r>
      <w:r>
        <w:t xml:space="preserve"> group-e30dac9086e0620366b5</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Characteristics of special purpose acquisition companies as a new challenge in European markets — https://doi.org/10.5937/bizinfo2401089d</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181. Claim + two later sources: Crisis futures: The affects and temporalities of economic collapse in Iceland</w:t>
      </w:r>
    </w:p>
    <w:p>
      <w:pPr>
        <w:pStyle w:val="SourceNote"/>
      </w:pPr>
      <w:r>
        <w:rPr>
          <w:b/>
        </w:rPr>
        <w:t>Group ID:</w:t>
      </w:r>
      <w:r>
        <w:t xml:space="preserve"> group-a9670ab7fab1ea5f19e7</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"Happy those for whom the fold of ...": Intention and interpretation in the unfinished Romantic poetic text — https://openalex.org/W7135642000</w:t>
      </w:r>
    </w:p>
    <w:p>
      <w:pPr/>
      <w:r>
        <w:rPr>
          <w:b/>
        </w:rPr>
        <w:t>Later source:</w:t>
      </w:r>
      <w:r>
        <w:t xml:space="preserve"> The unfinished business of Church history — https://doi.org/10.4102/ve.v42i1.2329</w:t>
      </w:r>
    </w:p>
    <w:p>
      <w:pPr>
        <w:pStyle w:val="SourceNote"/>
      </w:pPr>
      <w:r>
        <w:rPr>
          <w:b/>
        </w:rPr>
        <w:t>Review status:</w:t>
      </w:r>
      <w:r>
        <w:t xml:space="preserve"> unchecked — possible relationship only</w:t>
      </w:r>
    </w:p>
    <w:p>
      <w:pPr>
        <w:pStyle w:val="Heading2"/>
      </w:pPr>
      <w:r>
        <w:t>182. Claim + two later sources: The perspectives of development of high-speed rail network in the European Union till</w:t>
        <w:br/>
        <w:t>the year 2050</w:t>
      </w:r>
    </w:p>
    <w:p>
      <w:pPr>
        <w:pStyle w:val="SourceNote"/>
      </w:pPr>
      <w:r>
        <w:rPr>
          <w:b/>
        </w:rPr>
        <w:t>Group ID:</w:t>
      </w:r>
      <w:r>
        <w:t xml:space="preserve"> group-688f9ebdafa1eed59b31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Selecting and analysing climate change adaptation measures at six research sites across Europe — https://doi.org/10.5194/nhess-21-2145-2021</w:t>
      </w:r>
    </w:p>
    <w:p>
      <w:pPr/>
      <w:r>
        <w:rPr>
          <w:b/>
        </w:rPr>
        <w:t>Later source:</w:t>
      </w:r>
      <w:r>
        <w:t xml:space="preserve"> Treatment and Outcome in Children With Tuberculous Meningitis: A Multicenter Pediatric Tuberculosis Network European Trials Group Study — https://doi.org/10.1093/cid/ciab982</w:t>
      </w:r>
    </w:p>
    <w:p>
      <w:pPr>
        <w:pStyle w:val="SourceNote"/>
      </w:pPr>
      <w:r>
        <w:rPr>
          <w:b/>
        </w:rPr>
        <w:t>Review status:</w:t>
      </w:r>
      <w:r>
        <w:t xml:space="preserve"> unchecked — possible relationship only</w:t>
      </w:r>
    </w:p>
    <w:p>
      <w:pPr>
        <w:pStyle w:val="Heading2"/>
      </w:pPr>
      <w:r>
        <w:t>183. Claim + two later sources: Long-term vision of rural areas in Hungary, focusing on foresights</w:t>
      </w:r>
    </w:p>
    <w:p>
      <w:pPr>
        <w:pStyle w:val="SourceNote"/>
      </w:pPr>
      <w:r>
        <w:rPr>
          <w:b/>
        </w:rPr>
        <w:t>Group ID:</w:t>
      </w:r>
      <w:r>
        <w:t xml:space="preserve"> group-65324a9a3b61c905122d</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Nutritional therapy of post-stroke dysphagia patients, with special reference to the role of dietitians in multidisciplinary teams: A Hungarian study — https://doi.org/10.1556/2066.2025.00068</w:t>
      </w:r>
    </w:p>
    <w:p>
      <w:pPr>
        <w:pStyle w:val="SourceNote"/>
      </w:pPr>
      <w:r>
        <w:rPr>
          <w:b/>
        </w:rPr>
        <w:t>Review status:</w:t>
      </w:r>
      <w:r>
        <w:t xml:space="preserve"> unchecked — possible relationship only</w:t>
      </w:r>
    </w:p>
    <w:p>
      <w:pPr>
        <w:pStyle w:val="Heading2"/>
      </w:pPr>
      <w:r>
        <w:t>184. Claim + two later sources: European human‐dominated landscapes provide ample space for the recolonization of large carnivore populations under future land change scenarios</w:t>
      </w:r>
    </w:p>
    <w:p>
      <w:pPr>
        <w:pStyle w:val="SourceNote"/>
      </w:pPr>
      <w:r>
        <w:rPr>
          <w:b/>
        </w:rPr>
        <w:t>Group ID:</w:t>
      </w:r>
      <w:r>
        <w:t xml:space="preserve"> group-ebb9fe6f8b88d81b6ef9</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Tipping points and farmer decision-making in European permanent grassland (PG) agricultural systems — https://doi.org/10.1016/j.jrurstud.2024.103364</w:t>
      </w:r>
    </w:p>
    <w:p>
      <w:pPr/>
      <w:r>
        <w:rPr>
          <w:b/>
        </w:rPr>
        <w:t>Later source:</w:t>
      </w:r>
      <w:r>
        <w:t xml:space="preserve"> The European Registry for Patients with Mechanical Circulatory Support of the European Association for Cardio-Thoracic Surgery: third report — https://doi.org/10.1093/ejcts/ezac032</w:t>
      </w:r>
    </w:p>
    <w:p>
      <w:pPr>
        <w:pStyle w:val="SourceNote"/>
      </w:pPr>
      <w:r>
        <w:rPr>
          <w:b/>
        </w:rPr>
        <w:t>Review status:</w:t>
      </w:r>
      <w:r>
        <w:t xml:space="preserve"> unchecked — possible relationship only</w:t>
      </w:r>
    </w:p>
    <w:p>
      <w:pPr>
        <w:pStyle w:val="Heading2"/>
      </w:pPr>
      <w:r>
        <w:t>185. Claim + two later sources: Quantifying the sensitivity of european power systems to energy scenarios and climate change projections</w:t>
      </w:r>
    </w:p>
    <w:p>
      <w:pPr>
        <w:pStyle w:val="SourceNote"/>
      </w:pPr>
      <w:r>
        <w:rPr>
          <w:b/>
        </w:rPr>
        <w:t>Group ID:</w:t>
      </w:r>
      <w:r>
        <w:t xml:space="preserve"> group-170592e0ec6640b465c7</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Spatial shifts of seasonal vegetation cycles in Europe over time — https://doi.org/10.5194/egusphere-egu25-11953</w:t>
      </w:r>
    </w:p>
    <w:p>
      <w:pPr/>
      <w:r>
        <w:rPr>
          <w:b/>
        </w:rPr>
        <w:t>Later source:</w:t>
      </w:r>
      <w:r>
        <w:t xml:space="preserve"> The spatiotemporal dynamics of COVID-19 in Europe: time-series clustering maps 5 distinct trajectories to spatial patterns — https://doi.org/10.1186/s12963-025-00405-w</w:t>
      </w:r>
    </w:p>
    <w:p>
      <w:pPr>
        <w:pStyle w:val="SourceNote"/>
      </w:pPr>
      <w:r>
        <w:rPr>
          <w:b/>
        </w:rPr>
        <w:t>Review status:</w:t>
      </w:r>
      <w:r>
        <w:t xml:space="preserve"> unchecked — possible relationship only</w:t>
      </w:r>
    </w:p>
    <w:p>
      <w:pPr>
        <w:pStyle w:val="Heading2"/>
      </w:pPr>
      <w:r>
        <w:t>186. Claim + two later sources: After-crisis Scenarios for the European Regions</w:t>
      </w:r>
    </w:p>
    <w:p>
      <w:pPr>
        <w:pStyle w:val="SourceNote"/>
      </w:pPr>
      <w:r>
        <w:rPr>
          <w:b/>
        </w:rPr>
        <w:t>Group ID:</w:t>
      </w:r>
      <w:r>
        <w:t xml:space="preserve"> group-d2eb864ee39774a7f4bd</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The New European Bauhaus Academy: a novel skills, knowledge and innovation platform to boost sustainable construction within the built environment — https://doi.org/10.5281/zenodo.20586709</w:t>
      </w:r>
    </w:p>
    <w:p>
      <w:pPr/>
      <w:r>
        <w:rPr>
          <w:b/>
        </w:rPr>
        <w:t>Later source:</w:t>
      </w:r>
      <w:r>
        <w:t xml:space="preserve"> Public perception of dermatologists in Europe — https://openalex.org/W7171337581</w:t>
      </w:r>
    </w:p>
    <w:p>
      <w:pPr>
        <w:pStyle w:val="SourceNote"/>
      </w:pPr>
      <w:r>
        <w:rPr>
          <w:b/>
        </w:rPr>
        <w:t>Review status:</w:t>
      </w:r>
      <w:r>
        <w:t xml:space="preserve"> unchecked — possible relationship only</w:t>
      </w:r>
    </w:p>
    <w:p>
      <w:pPr>
        <w:pStyle w:val="Heading2"/>
      </w:pPr>
      <w:r>
        <w:t>187.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possible relationship only</w:t>
      </w:r>
    </w:p>
    <w:p>
      <w:pPr>
        <w:pStyle w:val="Heading2"/>
      </w:pPr>
      <w:r>
        <w:t>188. Claim + two later sources: Analytical support to foresighting EU roles as a Global Security Actor</w:t>
      </w:r>
    </w:p>
    <w:p>
      <w:pPr>
        <w:pStyle w:val="SourceNote"/>
      </w:pPr>
      <w:r>
        <w:rPr>
          <w:b/>
        </w:rPr>
        <w:t>Group ID:</w:t>
      </w:r>
      <w:r>
        <w:t xml:space="preserve"> group-1fd6323d113de5be1700</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THE IMPORTANCE OF MP’S PROFILE IN MAKING SECURITY DECISIONS — https://doi.org/10.20544/icp.8.1.23.p30</w:t>
      </w:r>
    </w:p>
    <w:p>
      <w:pPr/>
      <w:r>
        <w:rPr>
          <w:b/>
        </w:rPr>
        <w:t>Later source:</w:t>
      </w:r>
      <w:r>
        <w:t xml:space="preserve"> Risky decision-making in major depressive disorder: A three-level meta-analysis — https://doi.org/10.1016/j.ijchp.2023.100417</w:t>
      </w:r>
    </w:p>
    <w:p>
      <w:pPr>
        <w:pStyle w:val="SourceNote"/>
      </w:pPr>
      <w:r>
        <w:rPr>
          <w:b/>
        </w:rPr>
        <w:t>Review status:</w:t>
      </w:r>
      <w:r>
        <w:t xml:space="preserve"> unchecked — possible relationship only</w:t>
      </w:r>
    </w:p>
    <w:p>
      <w:pPr>
        <w:pStyle w:val="Heading2"/>
      </w:pPr>
      <w:r>
        <w:t>189. Claim + two later sources: Scenarios for European agricultural policymaking in the era of digitalisation</w:t>
      </w:r>
    </w:p>
    <w:p>
      <w:pPr>
        <w:pStyle w:val="SourceNote"/>
      </w:pPr>
      <w:r>
        <w:rPr>
          <w:b/>
        </w:rPr>
        <w:t>Group ID:</w:t>
      </w:r>
      <w:r>
        <w:t xml:space="preserve"> group-e5092bbdc7d7207f2c44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Is Digitalization Alone Enough for Tax Revenue Mobilization Across Europe and Asia? — https://doi.org/10.24912/je.v31i2.4056</w:t>
      </w:r>
    </w:p>
    <w:p>
      <w:pPr/>
      <w:r>
        <w:rPr>
          <w:b/>
        </w:rPr>
        <w:t>Later source:</w:t>
      </w:r>
      <w:r>
        <w:t xml:space="preserve"> Understanding Driver Distraction : Key Performance Indicator Findings from Baseline and Trendline in 4 European Countries — https://openalex.org/W7137534956</w:t>
      </w:r>
    </w:p>
    <w:p>
      <w:pPr>
        <w:pStyle w:val="SourceNote"/>
      </w:pPr>
      <w:r>
        <w:rPr>
          <w:b/>
        </w:rPr>
        <w:t>Review status:</w:t>
      </w:r>
      <w:r>
        <w:t xml:space="preserve"> unchecked — possible relationship only</w:t>
      </w:r>
    </w:p>
    <w:p>
      <w:pPr>
        <w:pStyle w:val="Heading2"/>
      </w:pPr>
      <w:r>
        <w:t>190. Claim + two later sources: STRATEGIC DIRECTIONS OF DEVELOPMENT OF THE POLISH POWER SECTOR IN THE LIGHT OF CLIMATE AND ENERGY POLICY OF THE EUROPEAN UNION</w:t>
      </w:r>
    </w:p>
    <w:p>
      <w:pPr>
        <w:pStyle w:val="SourceNote"/>
      </w:pPr>
      <w:r>
        <w:rPr>
          <w:b/>
        </w:rPr>
        <w:t>Group ID:</w:t>
      </w:r>
      <w:r>
        <w:t xml:space="preserve"> group-3fbb2a342f24df017dcf</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Study of directions of unification of technology transfer in ukraine with the regulation of the European Union — https://doi.org/10.37772/2518-1718-2024-3(47)-2</w:t>
      </w:r>
    </w:p>
    <w:p>
      <w:pPr/>
      <w:r>
        <w:rPr>
          <w:b/>
        </w:rPr>
        <w:t>Later source:</w:t>
      </w:r>
      <w:r>
        <w:t xml:space="preserve"> Directions and risks for the recovery of Ukraine in the context of European integration during the recovery period — https://doi.org/10.24144/2788-6018.2023.03.15</w:t>
      </w:r>
    </w:p>
    <w:p>
      <w:pPr>
        <w:pStyle w:val="SourceNote"/>
      </w:pPr>
      <w:r>
        <w:rPr>
          <w:b/>
        </w:rPr>
        <w:t>Review status:</w:t>
      </w:r>
      <w:r>
        <w:t xml:space="preserve"> unchecked — possible relationship only</w:t>
      </w:r>
    </w:p>
    <w:p>
      <w:pPr>
        <w:pStyle w:val="Heading2"/>
      </w:pPr>
      <w:r>
        <w:t>191. Claim + two later sources: MARKET DRIVEN POWER PLANT INVESTMENT PERSPECTIVES IN EUROPE: CLIMATE POLICY AND TECHNOLOGY SCENARIOS UNTIL 2050 IN THE MODEL EMELIE-ESY</w:t>
      </w:r>
    </w:p>
    <w:p>
      <w:pPr>
        <w:pStyle w:val="SourceNote"/>
      </w:pPr>
      <w:r>
        <w:rPr>
          <w:b/>
        </w:rPr>
        <w:t>Group ID:</w:t>
      </w:r>
      <w:r>
        <w:t xml:space="preserve"> group-ceeab11ca9f44551bf96</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Retreat of Major European Tree Species Distribution under Climate Change—Minor Natives to the Rescue? — https://doi.org/10.3390/su14095213</w:t>
      </w:r>
    </w:p>
    <w:p>
      <w:pPr/>
      <w:r>
        <w:rPr>
          <w:b/>
        </w:rPr>
        <w:t>Later source:</w:t>
      </w:r>
      <w:r>
        <w:t xml:space="preserve"> Modelling site response at regional scale for the 2020 European Seismic Risk Model (ESRM20) — https://doi.org/10.1007/s10518-022-01526-5</w:t>
      </w:r>
    </w:p>
    <w:p>
      <w:pPr>
        <w:pStyle w:val="SourceNote"/>
      </w:pPr>
      <w:r>
        <w:rPr>
          <w:b/>
        </w:rPr>
        <w:t>Review status:</w:t>
      </w:r>
      <w:r>
        <w:t xml:space="preserve"> unchecked — possible relationship only</w:t>
      </w:r>
    </w:p>
    <w:p>
      <w:pPr>
        <w:pStyle w:val="Heading2"/>
      </w:pPr>
      <w:r>
        <w:t>192.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group-4cf855c4405d5d0b085e</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The duck curve in electricity demand — https://doi.org/10.4337/9781035310371.000120</w:t>
      </w:r>
    </w:p>
    <w:p>
      <w:pPr/>
      <w:r>
        <w:rPr>
          <w:b/>
        </w:rPr>
        <w:t>Later source:</w:t>
      </w:r>
      <w:r>
        <w:t xml:space="preserve"> Energy access challenge and the role of fossil fuels in meeting electricity demand: Promoting renewable energy capacity for sustainable development — https://doi.org/10.1016/j.gsf.2024.101873</w:t>
      </w:r>
    </w:p>
    <w:p>
      <w:pPr>
        <w:pStyle w:val="SourceNote"/>
      </w:pPr>
      <w:r>
        <w:rPr>
          <w:b/>
        </w:rPr>
        <w:t>Review status:</w:t>
      </w:r>
      <w:r>
        <w:t xml:space="preserve"> unchecked — possible relationship only</w:t>
      </w:r>
    </w:p>
    <w:p>
      <w:pPr>
        <w:pStyle w:val="Heading2"/>
      </w:pPr>
      <w:r>
        <w:t>193. Claim + two later sources: Policy Modelling for Ambitious Energy Efficiency Investment in the EU Residential Buildings</w:t>
      </w:r>
    </w:p>
    <w:p>
      <w:pPr>
        <w:pStyle w:val="SourceNote"/>
      </w:pPr>
      <w:r>
        <w:rPr>
          <w:b/>
        </w:rPr>
        <w:t>Group ID:</w:t>
      </w:r>
      <w:r>
        <w:t xml:space="preserve"> group-8db9e61e0152e5b86f3a</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Editorial: Ex situ conservation of plant genetic resources in Europe – A journey through history, mission, challenges and future opportunities — https://doi.org/10.46265/genresj.blds6319</w:t>
      </w:r>
    </w:p>
    <w:p>
      <w:pPr/>
      <w:r>
        <w:rPr>
          <w:b/>
        </w:rPr>
        <w:t>Later source:</w:t>
      </w:r>
      <w:r>
        <w:t xml:space="preserve"> Building an Agricultural Biogas Supply Chain in Europe: Organizational Models and Social Challenges — https://doi.org/10.3390/su17135806</w:t>
      </w:r>
    </w:p>
    <w:p>
      <w:pPr>
        <w:pStyle w:val="SourceNote"/>
      </w:pPr>
      <w:r>
        <w:rPr>
          <w:b/>
        </w:rPr>
        <w:t>Review status:</w:t>
      </w:r>
      <w:r>
        <w:t xml:space="preserve"> unchecked — possible relationship only</w:t>
      </w:r>
    </w:p>
    <w:p>
      <w:pPr>
        <w:pStyle w:val="Heading2"/>
      </w:pPr>
      <w:r>
        <w:t>194. Claim + two later sources: A New Climate for Europe: 2030 Climate Targets Must Be More Ambitious</w:t>
      </w:r>
    </w:p>
    <w:p>
      <w:pPr>
        <w:pStyle w:val="SourceNote"/>
      </w:pPr>
      <w:r>
        <w:rPr>
          <w:b/>
        </w:rPr>
        <w:t>Group ID:</w:t>
      </w:r>
      <w:r>
        <w:t xml:space="preserve"> group-2c85a88d49125f30593b</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The 2026 Europe report of the Lancet Countdown on health and climate change: narrowing window for decisive health action — https://doi.org/10.1016/s2468-2667(26)00025-3</w:t>
      </w:r>
    </w:p>
    <w:p>
      <w:pPr/>
      <w:r>
        <w:rPr>
          <w:b/>
        </w:rPr>
        <w:t>Later source:</w:t>
      </w:r>
      <w:r>
        <w:t xml:space="preserve"> Simulating Nature Futures Pathways for Europe using a Nexus Modelling Framework — https://doi.org/10.5281/zenodo.22918966</w:t>
      </w:r>
    </w:p>
    <w:p>
      <w:pPr>
        <w:pStyle w:val="SourceNote"/>
      </w:pPr>
      <w:r>
        <w:rPr>
          <w:b/>
        </w:rPr>
        <w:t>Review status:</w:t>
      </w:r>
      <w:r>
        <w:t xml:space="preserve"> unchecked — possible relationship only</w:t>
      </w:r>
    </w:p>
    <w:p>
      <w:pPr>
        <w:pStyle w:val="Heading2"/>
      </w:pPr>
      <w:r>
        <w:t>195. Claim + two later sources: Dutch Public health Foresight study 2018/20</w:t>
      </w:r>
    </w:p>
    <w:p>
      <w:pPr>
        <w:pStyle w:val="SourceNote"/>
      </w:pPr>
      <w:r>
        <w:rPr>
          <w:b/>
        </w:rPr>
        <w:t>Group ID:</w:t>
      </w:r>
      <w:r>
        <w:t xml:space="preserve"> group-de61c650db018e97a61b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Seeking the Cause of Dementia: An Analysis of Correlation Leading to Hypotheses for Causation and the Grok-Ritchie Dementia Protocol — https://doi.org/10.5281/zenodo.19362993</w:t>
      </w:r>
    </w:p>
    <w:p>
      <w:pPr>
        <w:pStyle w:val="SourceNote"/>
      </w:pPr>
      <w:r>
        <w:rPr>
          <w:b/>
        </w:rPr>
        <w:t>Review status:</w:t>
      </w:r>
      <w:r>
        <w:t xml:space="preserve"> unchecked — possible relationship only</w:t>
      </w:r>
    </w:p>
    <w:p>
      <w:pPr>
        <w:pStyle w:val="Heading2"/>
      </w:pPr>
      <w:r>
        <w:t>196. Claim + two later sources: Constructing Resilient Futures: Integrating UK multi-stakeholder transport and energy resilience for 2050</w:t>
      </w:r>
    </w:p>
    <w:p>
      <w:pPr>
        <w:pStyle w:val="SourceNote"/>
      </w:pPr>
      <w:r>
        <w:rPr>
          <w:b/>
        </w:rPr>
        <w:t>Group ID:</w:t>
      </w:r>
      <w:r>
        <w:t xml:space="preserve"> group-f8eb019d0aa5c3ab4503</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Online Interest in Radical Islam and Terrorist Attacks — https://doi.org/10.1515/peps-2024-0054</w:t>
      </w:r>
    </w:p>
    <w:p>
      <w:pPr/>
      <w:r>
        <w:rPr>
          <w:b/>
        </w:rPr>
        <w:t>Later source:</w:t>
      </w:r>
      <w:r>
        <w:t xml:space="preserve"> PREVENTION OF TERRORIST ATTACKS ON CRITICAL INFRASTRUCTURE ON THE EXAMPLE OF AN AIRPORT — https://doi.org/10.29119/1641-3466.2025.216.13</w:t>
      </w:r>
    </w:p>
    <w:p>
      <w:pPr>
        <w:pStyle w:val="SourceNote"/>
      </w:pPr>
      <w:r>
        <w:rPr>
          <w:b/>
        </w:rPr>
        <w:t>Review status:</w:t>
      </w:r>
      <w:r>
        <w:t xml:space="preserve"> unchecked — possible relationship only</w:t>
      </w:r>
    </w:p>
    <w:p>
      <w:pPr>
        <w:pStyle w:val="Heading2"/>
      </w:pPr>
      <w:r>
        <w:t>197. Claim + two later sources: An Agent-Based Assessment of Land Use and Ecosystem Changes in Traditional Agricultural Landscape of Portugal</w:t>
      </w:r>
    </w:p>
    <w:p>
      <w:pPr>
        <w:pStyle w:val="SourceNote"/>
      </w:pPr>
      <w:r>
        <w:rPr>
          <w:b/>
        </w:rPr>
        <w:t>Group ID:</w:t>
      </w:r>
      <w:r>
        <w:t xml:space="preserve"> group-43dba695fd8c003dd97b</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Pasture Quality Monitoring Based on Proximal and Remote Optical Sensors: A Case Study in the Montado Mediterranean Ecosystem — https://doi.org/10.3390/agriengineering5010025</w:t>
      </w:r>
    </w:p>
    <w:p>
      <w:pPr>
        <w:pStyle w:val="SourceNote"/>
      </w:pPr>
      <w:r>
        <w:rPr>
          <w:b/>
        </w:rPr>
        <w:t>Review status:</w:t>
      </w:r>
      <w:r>
        <w:t xml:space="preserve"> unchecked — possible relationship only</w:t>
      </w:r>
    </w:p>
    <w:p>
      <w:pPr>
        <w:pStyle w:val="Heading2"/>
      </w:pPr>
      <w:r>
        <w:t>198. Claim + two later sources: A history of futures: A review of scenario use in water policy studies in the Netherlands</w:t>
      </w:r>
    </w:p>
    <w:p>
      <w:pPr>
        <w:pStyle w:val="SourceNote"/>
      </w:pPr>
      <w:r>
        <w:rPr>
          <w:b/>
        </w:rPr>
        <w:t>Group ID:</w:t>
      </w:r>
      <w:r>
        <w:t xml:space="preserve"> group-5b558553800abab81f0a</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Assessing the energy security of European Union countries from two perspectives – A new integrated approach based on MCDM methods — https://doi.org/10.1016/j.apenergy.2023.121443</w:t>
      </w:r>
    </w:p>
    <w:p>
      <w:pPr/>
      <w:r>
        <w:rPr>
          <w:b/>
        </w:rPr>
        <w:t>Later source:</w:t>
      </w:r>
      <w:r>
        <w:t xml:space="preserve"> Approval of artificial intelligence and machine learning-based medical devices in the USA and Europe (2015–20): a comparative analysis — https://doi.org/10.1016/s2589-7500(20)30292-2</w:t>
      </w:r>
    </w:p>
    <w:p>
      <w:pPr>
        <w:pStyle w:val="SourceNote"/>
      </w:pPr>
      <w:r>
        <w:rPr>
          <w:b/>
        </w:rPr>
        <w:t>Review status:</w:t>
      </w:r>
      <w:r>
        <w:t xml:space="preserve"> unchecked — possible relationship only</w:t>
      </w:r>
    </w:p>
    <w:p>
      <w:pPr>
        <w:pStyle w:val="Heading2"/>
      </w:pPr>
      <w:r>
        <w:t>199.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possible relationship only</w:t>
      </w:r>
    </w:p>
    <w:p>
      <w:pPr>
        <w:pStyle w:val="Heading2"/>
      </w:pPr>
      <w:r>
        <w:t>200. Claim + two later sources: Governance barriers to sustainable energy transitions – Assessing Ireland's capacity towards marine energy futures</w:t>
      </w:r>
    </w:p>
    <w:p>
      <w:pPr>
        <w:pStyle w:val="SourceNote"/>
      </w:pPr>
      <w:r>
        <w:rPr>
          <w:b/>
        </w:rPr>
        <w:t>Group ID:</w:t>
      </w:r>
      <w:r>
        <w:t xml:space="preserve"> group-3fdf031e476612fe8bce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The Governance Context for Adaptive Heritage Reuse: A Review and Typology of Fifteen European Countries — https://doi.org/10.1080/17567505.2022.2153201</w:t>
      </w:r>
    </w:p>
    <w:p>
      <w:pPr/>
      <w:r>
        <w:rPr>
          <w:b/>
        </w:rPr>
        <w:t>Later source:</w:t>
      </w:r>
      <w:r>
        <w:t xml:space="preserve"> The Quality of Governance in Europe: A Guide for the Perplexed — https://openalex.org/W3128833016</w:t>
      </w:r>
    </w:p>
    <w:p>
      <w:pPr>
        <w:pStyle w:val="SourceNote"/>
      </w:pPr>
      <w:r>
        <w:rPr>
          <w:b/>
        </w:rPr>
        <w:t>Review status:</w:t>
      </w:r>
      <w:r>
        <w:t xml:space="preserve"> unchecked — possible relationship only</w:t>
      </w:r>
    </w:p>
    <w:p>
      <w:pPr>
        <w:pStyle w:val="Heading2"/>
      </w:pPr>
      <w:r>
        <w:t>201. Claim + two later sources: Developments in Energy use for Transport in 27 European Union Countries through 2030</w:t>
      </w:r>
    </w:p>
    <w:p>
      <w:pPr>
        <w:pStyle w:val="SourceNote"/>
      </w:pPr>
      <w:r>
        <w:rPr>
          <w:b/>
        </w:rPr>
        <w:t>Group ID:</w:t>
      </w:r>
      <w:r>
        <w:t xml:space="preserve"> group-f2b6a49346377efb5674</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Forecast reconciliation of agricultural GHG emissions in Europe with fuzzy clustering — https://doi.org/10.1007/s10479-026-07363-y</w:t>
      </w:r>
    </w:p>
    <w:p>
      <w:pPr/>
      <w:r>
        <w:rPr>
          <w:b/>
        </w:rPr>
        <w:t>Later source:</w:t>
      </w:r>
      <w:r>
        <w:t xml:space="preserve"> Crayfish and Climate: how invasive species amplify aquatic GHG emissions — https://doi.org/10.5194/egusphere-egu25-6790</w:t>
      </w:r>
    </w:p>
    <w:p>
      <w:pPr>
        <w:pStyle w:val="SourceNote"/>
      </w:pPr>
      <w:r>
        <w:rPr>
          <w:b/>
        </w:rPr>
        <w:t>Review status:</w:t>
      </w:r>
      <w:r>
        <w:t xml:space="preserve"> unchecked — possible relationship only</w:t>
      </w:r>
    </w:p>
    <w:p>
      <w:pPr>
        <w:pStyle w:val="Heading2"/>
      </w:pPr>
      <w:r>
        <w:t>202. Claim + two later sources: Impact of Quasi‐Idealized Future Land Cover Scenarios at High Latitudes in Complex Terrain</w:t>
      </w:r>
    </w:p>
    <w:p>
      <w:pPr>
        <w:pStyle w:val="SourceNote"/>
      </w:pPr>
      <w:r>
        <w:rPr>
          <w:b/>
        </w:rPr>
        <w:t>Group ID:</w:t>
      </w:r>
      <w:r>
        <w:t xml:space="preserve"> group-e83284bd25cfcaf99e1b</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Human West Nile Virus infections in Europe: weather or climate? — https://doi.org/10.5194/egusphere-egu26-18547</w:t>
      </w:r>
    </w:p>
    <w:p>
      <w:pPr>
        <w:pStyle w:val="SourceNote"/>
      </w:pPr>
      <w:r>
        <w:rPr>
          <w:b/>
        </w:rPr>
        <w:t>Review status:</w:t>
      </w:r>
      <w:r>
        <w:t xml:space="preserve"> unchecked — possible relationship only</w:t>
      </w:r>
    </w:p>
    <w:p>
      <w:pPr>
        <w:pStyle w:val="Heading2"/>
      </w:pPr>
      <w:r>
        <w:t>203. Claim + two later sources: International migration by 2030: impact of immigration policies scenarios on growth and employment</w:t>
      </w:r>
    </w:p>
    <w:p>
      <w:pPr>
        <w:pStyle w:val="SourceNote"/>
      </w:pPr>
      <w:r>
        <w:rPr>
          <w:b/>
        </w:rPr>
        <w:t>Group ID:</w:t>
      </w:r>
      <w:r>
        <w:t xml:space="preserve"> group-a8b014ae34921857432e</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Exceptionality and Common Features of Migration Law in the Age Of Mass Migration * — https://doi.org/10.4324/9781003560937-19</w:t>
      </w:r>
    </w:p>
    <w:p>
      <w:pPr/>
      <w:r>
        <w:rPr>
          <w:b/>
        </w:rPr>
        <w:t>Later source:</w:t>
      </w:r>
      <w:r>
        <w:t xml:space="preserve"> Mass Migration and Technological Change — https://doi.org/10.1093/jeea/jvac017</w:t>
      </w:r>
    </w:p>
    <w:p>
      <w:pPr>
        <w:pStyle w:val="SourceNote"/>
      </w:pPr>
      <w:r>
        <w:rPr>
          <w:b/>
        </w:rPr>
        <w:t>Review status:</w:t>
      </w:r>
      <w:r>
        <w:t xml:space="preserve"> unchecked — possible relationship only</w:t>
      </w:r>
    </w:p>
    <w:p>
      <w:pPr>
        <w:pStyle w:val="Heading2"/>
      </w:pPr>
      <w:r>
        <w:t>204. Claim + two later sources: Will climate change affect the electricity production sector? A European study</w:t>
      </w:r>
    </w:p>
    <w:p>
      <w:pPr>
        <w:pStyle w:val="SourceNote"/>
      </w:pPr>
      <w:r>
        <w:rPr>
          <w:b/>
        </w:rPr>
        <w:t>Group ID:</w:t>
      </w:r>
      <w:r>
        <w:t xml:space="preserve"> group-822f6e2d29298993c5a1</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A data-driven framework for the temporal extrapolation of annual water withdrawals for hydrological modelling — https://doi.org/10.5194/egusphere-egu25-11405</w:t>
      </w:r>
    </w:p>
    <w:p>
      <w:pPr/>
      <w:r>
        <w:rPr>
          <w:b/>
        </w:rPr>
        <w:t>Later source:</w:t>
      </w:r>
      <w:r>
        <w:t xml:space="preserve"> Perspectives of Electricity Production from Biogas in the European Union — https://doi.org/10.3390/en17051169</w:t>
      </w:r>
    </w:p>
    <w:p>
      <w:pPr>
        <w:pStyle w:val="SourceNote"/>
      </w:pPr>
      <w:r>
        <w:rPr>
          <w:b/>
        </w:rPr>
        <w:t>Review status:</w:t>
      </w:r>
      <w:r>
        <w:t xml:space="preserve"> unchecked — possible relationship only</w:t>
      </w:r>
    </w:p>
    <w:p>
      <w:pPr>
        <w:pStyle w:val="Heading2"/>
      </w:pPr>
      <w:r>
        <w:t>205. Claim + two later sources: Animal Health Surveillance in Scotland in 2030: Using Scenario Planning to Develop Strategies in the Context of “Brexit”</w:t>
      </w:r>
    </w:p>
    <w:p>
      <w:pPr>
        <w:pStyle w:val="SourceNote"/>
      </w:pPr>
      <w:r>
        <w:rPr>
          <w:b/>
        </w:rPr>
        <w:t>Group ID:</w:t>
      </w:r>
      <w:r>
        <w:t xml:space="preserve"> group-9c5fa689f9df3a36cc2e</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Using the Systems Engineering Initiative for Patient Safety (SEIPS) model to describe the planning and management of the COVID-19 pandemic in Hong Kong — https://doi.org/10.1093/intqhc/mzab042</w:t>
      </w:r>
    </w:p>
    <w:p>
      <w:pPr>
        <w:pStyle w:val="SourceNote"/>
      </w:pPr>
      <w:r>
        <w:rPr>
          <w:b/>
        </w:rPr>
        <w:t>Review status:</w:t>
      </w:r>
      <w:r>
        <w:t xml:space="preserve"> unchecked — possible relationship only</w:t>
      </w:r>
    </w:p>
    <w:p>
      <w:pPr>
        <w:pStyle w:val="Heading2"/>
      </w:pPr>
      <w:r>
        <w:t>206. Claim + two later sources: Superconductivity and the environment: a Roadmap</w:t>
      </w:r>
    </w:p>
    <w:p>
      <w:pPr>
        <w:pStyle w:val="SourceNote"/>
      </w:pPr>
      <w:r>
        <w:rPr>
          <w:b/>
        </w:rPr>
        <w:t>Group ID:</w:t>
      </w:r>
      <w:r>
        <w:t xml:space="preserve"> group-f805ac064e4b865abea3</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Dynamic MIPS Rate Stabilization for Complex Processors — https://doi.org/10.1145/2714575</w:t>
      </w:r>
    </w:p>
    <w:p>
      <w:pPr/>
      <w:r>
        <w:rPr>
          <w:b/>
        </w:rPr>
        <w:t>Later source:</w:t>
      </w:r>
      <w:r>
        <w:t xml:space="preserve"> Diabetic retinopathy stabilization after renal transplantation — https://doi.org/10.4103/0301-4738.136303</w:t>
      </w:r>
    </w:p>
    <w:p>
      <w:pPr>
        <w:pStyle w:val="SourceNote"/>
      </w:pPr>
      <w:r>
        <w:rPr>
          <w:b/>
        </w:rPr>
        <w:t>Review status:</w:t>
      </w:r>
      <w:r>
        <w:t xml:space="preserve"> unchecked — possible relationship only</w:t>
      </w:r>
    </w:p>
    <w:p>
      <w:pPr>
        <w:pStyle w:val="Heading2"/>
      </w:pPr>
      <w:r>
        <w:t>207. Claim + two later sources: Foresight in Public Administration: Methods and Perspectives of Implementation in Ukraine</w:t>
      </w:r>
    </w:p>
    <w:p>
      <w:pPr>
        <w:pStyle w:val="SourceNote"/>
      </w:pPr>
      <w:r>
        <w:rPr>
          <w:b/>
        </w:rPr>
        <w:t>Group ID:</w:t>
      </w:r>
      <w:r>
        <w:t xml:space="preserve"> group-8f60c411fe7210a44cb8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Practical application and examples of using the developed approximation methods — https://doi.org/10.1016/b978-0-443-29141-8.00003-2</w:t>
      </w:r>
    </w:p>
    <w:p>
      <w:pPr/>
      <w:r>
        <w:rPr>
          <w:b/>
        </w:rPr>
        <w:t>Later source:</w:t>
      </w:r>
      <w:r>
        <w:t xml:space="preserve"> Practical Application of Surface Complexation Models: Evolution, Approaches, and Examples — https://doi.org/10.2138/rmg.2025.91a.13</w:t>
      </w:r>
    </w:p>
    <w:p>
      <w:pPr>
        <w:pStyle w:val="SourceNote"/>
      </w:pPr>
      <w:r>
        <w:rPr>
          <w:b/>
        </w:rPr>
        <w:t>Review status:</w:t>
      </w:r>
      <w:r>
        <w:t xml:space="preserve"> unchecked — possible relationship only</w:t>
      </w:r>
    </w:p>
    <w:p>
      <w:pPr>
        <w:pStyle w:val="Heading2"/>
      </w:pPr>
      <w:r>
        <w:t>208. Claim + two later sources: Energy Efficiency Vision 2050: How will new societal trends influence future energy demand in the European countries?</w:t>
      </w:r>
    </w:p>
    <w:p>
      <w:pPr>
        <w:pStyle w:val="SourceNote"/>
      </w:pPr>
      <w:r>
        <w:rPr>
          <w:b/>
        </w:rPr>
        <w:t>Group ID:</w:t>
      </w:r>
      <w:r>
        <w:t xml:space="preserve"> group-f85ac607280daa2b73b4</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The (worst) laws of the land: the concept of legislative basket cases, legislative backsliding and public administration in Central-Eastern Europe — https://doi.org/10.1080/01442872.2025.2501741</w:t>
      </w:r>
    </w:p>
    <w:p>
      <w:pPr/>
      <w:r>
        <w:rPr>
          <w:b/>
        </w:rPr>
        <w:t>Later source:</w:t>
      </w:r>
      <w:r>
        <w:t xml:space="preserve"> Future sea level rise dominates changes in worst case extreme sea levels along the global coastline by 2100 — https://doi.org/10.1088/1748-9326/acb504</w:t>
      </w:r>
    </w:p>
    <w:p>
      <w:pPr>
        <w:pStyle w:val="SourceNote"/>
      </w:pPr>
      <w:r>
        <w:rPr>
          <w:b/>
        </w:rPr>
        <w:t>Review status:</w:t>
      </w:r>
      <w:r>
        <w:t xml:space="preserve"> unchecked — possible relationship only</w:t>
      </w:r>
    </w:p>
    <w:p>
      <w:pPr>
        <w:pStyle w:val="Heading2"/>
      </w:pPr>
      <w:r>
        <w:t>209. Claim + two later sources: Energy system transition and macroeconomic impacts of a European decarbonization action towards a below 2 °C climate stabilization</w:t>
      </w:r>
    </w:p>
    <w:p>
      <w:pPr>
        <w:pStyle w:val="SourceNote"/>
      </w:pPr>
      <w:r>
        <w:rPr>
          <w:b/>
        </w:rPr>
        <w:t>Group ID:</w:t>
      </w:r>
      <w:r>
        <w:t xml:space="preserve"> group-c778ace47271f7144243</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Firm's emission reduction effectiveness and the influence of the five institutional dimensions of the quintuple helix model: European evidence — https://doi.org/10.1111/beer.12662</w:t>
      </w:r>
    </w:p>
    <w:p>
      <w:pPr>
        <w:pStyle w:val="SourceNote"/>
      </w:pPr>
      <w:r>
        <w:rPr>
          <w:b/>
        </w:rPr>
        <w:t>Review status:</w:t>
      </w:r>
      <w:r>
        <w:t xml:space="preserve"> unchecked — possible relationship only</w:t>
      </w:r>
    </w:p>
    <w:p>
      <w:pPr>
        <w:pStyle w:val="Heading2"/>
      </w:pPr>
      <w:r>
        <w:t>210. Claim + two later sources: Securing a bioenergy future without imports</w:t>
      </w:r>
    </w:p>
    <w:p>
      <w:pPr>
        <w:pStyle w:val="SourceNote"/>
      </w:pPr>
      <w:r>
        <w:rPr>
          <w:b/>
        </w:rPr>
        <w:t>Group ID:</w:t>
      </w:r>
      <w:r>
        <w:t xml:space="preserve"> group-0037f6526531bc31b249</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Later source:</w:t>
      </w:r>
      <w:r>
        <w:t xml:space="preserve"> Indigenous leadership in universities: One Indigenous perspective — https://doi.org/10.3316/informit.149715942686089</w:t>
      </w:r>
    </w:p>
    <w:p>
      <w:pPr>
        <w:pStyle w:val="SourceNote"/>
      </w:pPr>
      <w:r>
        <w:rPr>
          <w:b/>
        </w:rPr>
        <w:t>Review status:</w:t>
      </w:r>
      <w:r>
        <w:t xml:space="preserve"> unchecked — possible relationship only</w:t>
      </w:r>
    </w:p>
    <w:p>
      <w:pPr>
        <w:pStyle w:val="Heading2"/>
      </w:pPr>
      <w:r>
        <w:t>211. Claim + two later sources: Shifts, turning points and inertia exploring long-term industry trends in European transport</w:t>
      </w:r>
    </w:p>
    <w:p>
      <w:pPr>
        <w:pStyle w:val="SourceNote"/>
      </w:pPr>
      <w:r>
        <w:rPr>
          <w:b/>
        </w:rPr>
        <w:t>Group ID:</w:t>
      </w:r>
      <w:r>
        <w:t xml:space="preserve"> group-4e71ad284affd701dca6</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Technological Challenges and Opportunities to Plastics Valorization in the Context of a Circular Economy in Europe — https://doi.org/10.3390/su15043741</w:t>
      </w:r>
    </w:p>
    <w:p>
      <w:pPr>
        <w:pStyle w:val="SourceNote"/>
      </w:pPr>
      <w:r>
        <w:rPr>
          <w:b/>
        </w:rPr>
        <w:t>Review status:</w:t>
      </w:r>
      <w:r>
        <w:t xml:space="preserve"> unchecked — possible relationship only</w:t>
      </w:r>
    </w:p>
    <w:p>
      <w:pPr>
        <w:pStyle w:val="Heading2"/>
      </w:pPr>
      <w:r>
        <w:t>212. Claim + two later sources: Electricity Spot Market Design 2030-2050</w:t>
      </w:r>
    </w:p>
    <w:p>
      <w:pPr>
        <w:pStyle w:val="SourceNote"/>
      </w:pPr>
      <w:r>
        <w:rPr>
          <w:b/>
        </w:rPr>
        <w:t>Group ID:</w:t>
      </w:r>
      <w:r>
        <w:t xml:space="preserve"> group-3375f250a0d37d3f927a</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Urban Nature Plans: Strategic Tool for Integrated Biodiversity and Climate Planning in German Cities — https://doi.org/10.2148/benv.51.4.569</w:t>
      </w:r>
    </w:p>
    <w:p>
      <w:pPr/>
      <w:r>
        <w:rPr>
          <w:b/>
        </w:rPr>
        <w:t>Later source:</w:t>
      </w:r>
      <w:r>
        <w:t xml:space="preserve"> The Impact of the Russian-Ukrainian War on Europe and the German Leadership — https://doi.org/10.35757/stp.2025.53.3.02</w:t>
      </w:r>
    </w:p>
    <w:p>
      <w:pPr>
        <w:pStyle w:val="SourceNote"/>
      </w:pPr>
      <w:r>
        <w:rPr>
          <w:b/>
        </w:rPr>
        <w:t>Review status:</w:t>
      </w:r>
      <w:r>
        <w:t xml:space="preserve"> unchecked — possible relationship only</w:t>
      </w:r>
    </w:p>
    <w:p>
      <w:pPr>
        <w:pStyle w:val="Heading2"/>
      </w:pPr>
      <w:r>
        <w:t>213. Claim + two later sources: Centre-Periphery Relations in Europe: Demographic Aspect</w:t>
      </w:r>
    </w:p>
    <w:p>
      <w:pPr>
        <w:pStyle w:val="SourceNote"/>
      </w:pPr>
      <w:r>
        <w:rPr>
          <w:b/>
        </w:rPr>
        <w:t>Group ID:</w:t>
      </w:r>
      <w:r>
        <w:t xml:space="preserve"> group-2ec13039c44536a6c9f2</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The European Social Fund Supports the Reintegration of the Long-term Unemployed Individuals Aged 50+ Into the Labor Market - A Comparison of the Federal States in Austria — https://doi.org/10.2478/ngoe-2021-0012</w:t>
      </w:r>
    </w:p>
    <w:p>
      <w:pPr/>
      <w:r>
        <w:rPr>
          <w:b/>
        </w:rPr>
        <w:t>Later source:</w:t>
      </w:r>
      <w:r>
        <w:t xml:space="preserve"> Inclusion of Unemployed People at Social Risk and Private Training Markets in Ireland, Portugal, and Spain — https://doi.org/10.1007/978-3-319-94532-3_108</w:t>
      </w:r>
    </w:p>
    <w:p>
      <w:pPr>
        <w:pStyle w:val="SourceNote"/>
      </w:pPr>
      <w:r>
        <w:rPr>
          <w:b/>
        </w:rPr>
        <w:t>Review status:</w:t>
      </w:r>
      <w:r>
        <w:t xml:space="preserve"> unchecked — possible relationship only</w:t>
      </w:r>
    </w:p>
    <w:p>
      <w:pPr>
        <w:pStyle w:val="Heading2"/>
      </w:pPr>
      <w:r>
        <w:t>214.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215. Claim + two later sources: Assessing the future medical cost burden for the European health systems under alternative exposure-to-risks scenarios</w:t>
      </w:r>
    </w:p>
    <w:p>
      <w:pPr>
        <w:pStyle w:val="SourceNote"/>
      </w:pPr>
      <w:r>
        <w:rPr>
          <w:b/>
        </w:rPr>
        <w:t>Group ID:</w:t>
      </w:r>
      <w:r>
        <w:t xml:space="preserve"> group-c0dc32275adf821b1dfc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Association between healthcare resources, healthcare systems, and population health in European countries — https://doi.org/10.1186/s12913-024-11743-0</w:t>
      </w:r>
    </w:p>
    <w:p>
      <w:pPr/>
      <w:r>
        <w:rPr>
          <w:b/>
        </w:rPr>
        <w:t>Later source:</w:t>
      </w:r>
      <w:r>
        <w:t xml:space="preserve"> Exploring the Dichotomy: The Impact of Private Healthcare Investment on Public Healthcare Quality in Europe — https://doi.org/10.37355/kd-2025-09</w:t>
      </w:r>
    </w:p>
    <w:p>
      <w:pPr>
        <w:pStyle w:val="SourceNote"/>
      </w:pPr>
      <w:r>
        <w:rPr>
          <w:b/>
        </w:rPr>
        <w:t>Review status:</w:t>
      </w:r>
      <w:r>
        <w:t xml:space="preserve"> unchecked — possible relationship only</w:t>
      </w:r>
    </w:p>
    <w:p>
      <w:pPr>
        <w:pStyle w:val="Heading2"/>
      </w:pPr>
      <w:r>
        <w:t>216. Claim + two later sources: FRESHER: Challenges and opportunities for building Health/Healthy futures</w:t>
      </w:r>
    </w:p>
    <w:p>
      <w:pPr>
        <w:pStyle w:val="SourceNote"/>
      </w:pPr>
      <w:r>
        <w:rPr>
          <w:b/>
        </w:rPr>
        <w:t>Group ID:</w:t>
      </w:r>
      <w:r>
        <w:t xml:space="preserve"> group-9a321e441307a04aefc5</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Techno-economic evaluation of an elastic composite phase change material for building envelopes — https://doi.org/10.1016/j.tsep.2026.104727</w:t>
      </w:r>
    </w:p>
    <w:p>
      <w:pPr/>
      <w:r>
        <w:rPr>
          <w:b/>
        </w:rPr>
        <w:t>Later source:</w:t>
      </w:r>
      <w:r>
        <w:t xml:space="preserve"> Optimising phase change materials for ventilated building components in sustainable building design: a comprehensive review — https://doi.org/10.1016/j.enbuild.2025.115947</w:t>
      </w:r>
    </w:p>
    <w:p>
      <w:pPr>
        <w:pStyle w:val="SourceNote"/>
      </w:pPr>
      <w:r>
        <w:rPr>
          <w:b/>
        </w:rPr>
        <w:t>Review status:</w:t>
      </w:r>
      <w:r>
        <w:t xml:space="preserve"> unchecked — possible relationship only</w:t>
      </w:r>
    </w:p>
    <w:p>
      <w:pPr>
        <w:pStyle w:val="Heading2"/>
      </w:pPr>
      <w:r>
        <w:t>217.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218. Claim + two later sources: A scenario-planning approach to human resources for health: the case of community pharmacists in Portugal</w:t>
      </w:r>
    </w:p>
    <w:p>
      <w:pPr>
        <w:pStyle w:val="SourceNote"/>
      </w:pPr>
      <w:r>
        <w:rPr>
          <w:b/>
        </w:rPr>
        <w:t>Group ID:</w:t>
      </w:r>
      <w:r>
        <w:t xml:space="preserve"> group-1f09d36a69729f890317</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Design Policy Mapping in Europe — https://openalex.org/W7215223829</w:t>
      </w:r>
    </w:p>
    <w:p>
      <w:pPr/>
      <w:r>
        <w:rPr>
          <w:b/>
        </w:rPr>
        <w:t>Later source:</w:t>
      </w:r>
      <w:r>
        <w:t xml:space="preserve"> E-learning design and entrepreneurship in three European universities — https://doi.org/10.1108/ijebr-06-2019-0407</w:t>
      </w:r>
    </w:p>
    <w:p>
      <w:pPr>
        <w:pStyle w:val="SourceNote"/>
      </w:pPr>
      <w:r>
        <w:rPr>
          <w:b/>
        </w:rPr>
        <w:t>Review status:</w:t>
      </w:r>
      <w:r>
        <w:t xml:space="preserve"> unchecked — possible relationship only</w:t>
      </w:r>
    </w:p>
    <w:p>
      <w:pPr>
        <w:pStyle w:val="Heading2"/>
      </w:pPr>
      <w:r>
        <w:t>219. Claim + two later sources: The northern hemisphere circumglobal teleconnection in a seasonal forecast model and its relationship to European summer forecast skill</w:t>
      </w:r>
    </w:p>
    <w:p>
      <w:pPr>
        <w:pStyle w:val="SourceNote"/>
      </w:pPr>
      <w:r>
        <w:rPr>
          <w:b/>
        </w:rPr>
        <w:t>Group ID:</w:t>
      </w:r>
      <w:r>
        <w:t xml:space="preserve"> group-c15cc0570bd84a7b91c8</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Drivers of the Northern Extratropical Eddy‐Driven Jet Change in CMIP5 and CMIP6 Models — https://doi.org/10.1029/2019gl086695</w:t>
      </w:r>
    </w:p>
    <w:p>
      <w:pPr/>
      <w:r>
        <w:rPr>
          <w:b/>
        </w:rPr>
        <w:t>Later source:</w:t>
      </w:r>
      <w:r>
        <w:t xml:space="preserve"> Testing a prediction model for the H-mode density pedestal against JET-ILW pedestals — https://doi.org/10.1088/1741-4326/acc084</w:t>
      </w:r>
    </w:p>
    <w:p>
      <w:pPr>
        <w:pStyle w:val="SourceNote"/>
      </w:pPr>
      <w:r>
        <w:rPr>
          <w:b/>
        </w:rPr>
        <w:t>Review status:</w:t>
      </w:r>
      <w:r>
        <w:t xml:space="preserve"> unchecked — possible relationship only</w:t>
      </w:r>
    </w:p>
    <w:p>
      <w:pPr>
        <w:pStyle w:val="Heading2"/>
      </w:pPr>
      <w:r>
        <w:t>220. Claim + two later sources: Forecast for the zone of viticulture in European Russia under climate change</w:t>
      </w:r>
    </w:p>
    <w:p>
      <w:pPr>
        <w:pStyle w:val="SourceNote"/>
      </w:pPr>
      <w:r>
        <w:rPr>
          <w:b/>
        </w:rPr>
        <w:t>Group ID:</w:t>
      </w:r>
      <w:r>
        <w:t xml:space="preserve"> group-3384b1391602a35dea61</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Non-stationary time series attribution for heatwaves over Europe — https://doi.org/10.5194/ascmo-12-243-2026</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221. Claim + two later sources: Integrating foresight into government. Is it possible? Is it likely?</w:t>
      </w:r>
    </w:p>
    <w:p>
      <w:pPr>
        <w:pStyle w:val="SourceNote"/>
      </w:pPr>
      <w:r>
        <w:rPr>
          <w:b/>
        </w:rPr>
        <w:t>Group ID:</w:t>
      </w:r>
      <w:r>
        <w:t xml:space="preserve"> group-f198ee04b7620b628895</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Genome-wide analyses of ADHD identify 27 risk loci, refine the genetic architecture and implicate several cognitive domains — https://doi.org/10.1038/s41588-022-01285-8</w:t>
      </w:r>
    </w:p>
    <w:p>
      <w:pPr/>
      <w:r>
        <w:rPr>
          <w:b/>
        </w:rPr>
        <w:t>Later source:</w:t>
      </w:r>
      <w:r>
        <w:t xml:space="preserve"> A named entity recognition framework using transformers to identify relevant clinical findings from mammographic radiological reports — https://doi.org/10.1117/12.2670228</w:t>
      </w:r>
    </w:p>
    <w:p>
      <w:pPr>
        <w:pStyle w:val="SourceNote"/>
      </w:pPr>
      <w:r>
        <w:rPr>
          <w:b/>
        </w:rPr>
        <w:t>Review status:</w:t>
      </w:r>
      <w:r>
        <w:t xml:space="preserve"> unchecked — possible relationship only</w:t>
      </w:r>
    </w:p>
    <w:p>
      <w:pPr>
        <w:pStyle w:val="Heading2"/>
      </w:pPr>
      <w:r>
        <w:t>222. Claim + two later sources: An exploratory policy analysis of electric vehicle sales competition and sensitivity to infrastructure in Europe</w:t>
      </w:r>
    </w:p>
    <w:p>
      <w:pPr>
        <w:pStyle w:val="SourceNote"/>
      </w:pPr>
      <w:r>
        <w:rPr>
          <w:b/>
        </w:rPr>
        <w:t>Group ID:</w:t>
      </w:r>
      <w:r>
        <w:t xml:space="preserve"> group-1c5720e14f4690b65cc1</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 Charging Infrastructure and Electrification Dynamics in Europe: A Descriptive Assessment of Infrastructure Strain — https://doi.org/10.3390/en19092063</w:t>
      </w:r>
    </w:p>
    <w:p>
      <w:pPr/>
      <w:r>
        <w:rPr>
          <w:b/>
        </w:rPr>
        <w:t>Later source:</w:t>
      </w:r>
      <w:r>
        <w:t xml:space="preserve"> Infrastructure provision — https://doi.org/10.4337/9781785366192.00008</w:t>
      </w:r>
    </w:p>
    <w:p>
      <w:pPr>
        <w:pStyle w:val="SourceNote"/>
      </w:pPr>
      <w:r>
        <w:rPr>
          <w:b/>
        </w:rPr>
        <w:t>Review status:</w:t>
      </w:r>
      <w:r>
        <w:t xml:space="preserve"> unchecked — possible relationship only</w:t>
      </w:r>
    </w:p>
    <w:p>
      <w:pPr>
        <w:pStyle w:val="Heading2"/>
      </w:pPr>
      <w:r>
        <w:t>223. Claim + two later sources: CORPORATE FORESIGHT AND ASSESSMENT OF INNOVATIVE ACTIVITY OF INDUSTRIAL ENTERPRISES</w:t>
      </w:r>
    </w:p>
    <w:p>
      <w:pPr>
        <w:pStyle w:val="SourceNote"/>
      </w:pPr>
      <w:r>
        <w:rPr>
          <w:b/>
        </w:rPr>
        <w:t>Group ID:</w:t>
      </w:r>
      <w:r>
        <w:t xml:space="preserve"> group-acf9d1f2fdf71ead7d3f</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Foresight (prevision) of development of the tourist system in Ukraine — https://doi.org/10.21511/ppm.21(4).2023.52</w:t>
      </w:r>
    </w:p>
    <w:p>
      <w:pPr>
        <w:pStyle w:val="SourceNote"/>
      </w:pPr>
      <w:r>
        <w:rPr>
          <w:b/>
        </w:rPr>
        <w:t>Review status:</w:t>
      </w:r>
      <w:r>
        <w:t xml:space="preserve"> unchecked — possible relationship only</w:t>
      </w:r>
    </w:p>
    <w:p>
      <w:pPr>
        <w:pStyle w:val="Heading2"/>
      </w:pPr>
      <w:r>
        <w:t>224. Claim + two later sources: Varying soil moisture–atmosphere feedbacks explain divergent temperature extremes and precipitation projections in central Europe</w:t>
      </w:r>
    </w:p>
    <w:p>
      <w:pPr>
        <w:pStyle w:val="SourceNote"/>
      </w:pPr>
      <w:r>
        <w:rPr>
          <w:b/>
        </w:rPr>
        <w:t>Group ID:</w:t>
      </w:r>
      <w:r>
        <w:t xml:space="preserve"> group-dba52654bd76e59c69ea</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Civilizational Temperature: A CRTI-Based Heuristic Exploration of Long-Term System Dynamics (1000 BCE–2025 CE) — https://doi.org/10.5281/zenodo.19058865</w:t>
      </w:r>
    </w:p>
    <w:p>
      <w:pPr/>
      <w:r>
        <w:rPr>
          <w:b/>
        </w:rPr>
        <w:t>Later source:</w:t>
      </w:r>
      <w:r>
        <w:t xml:space="preserve"> Long-term daily water temperatures unveil escalating water warming and intensifying heatwaves in the Odra river Basin, Central Europe — https://doi.org/10.1016/j.gsf.2024.101916</w:t>
      </w:r>
    </w:p>
    <w:p>
      <w:pPr>
        <w:pStyle w:val="SourceNote"/>
      </w:pPr>
      <w:r>
        <w:rPr>
          <w:b/>
        </w:rPr>
        <w:t>Review status:</w:t>
      </w:r>
      <w:r>
        <w:t xml:space="preserve"> unchecked — possible relationship only</w:t>
      </w:r>
    </w:p>
    <w:p>
      <w:pPr>
        <w:pStyle w:val="Heading2"/>
      </w:pPr>
      <w:r>
        <w:t>225.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226. Claim + two later sources: Long-term outlook for wood construction in Europe</w:t>
      </w:r>
    </w:p>
    <w:p>
      <w:pPr>
        <w:pStyle w:val="SourceNote"/>
      </w:pPr>
      <w:r>
        <w:rPr>
          <w:b/>
        </w:rPr>
        <w:t>Group ID:</w:t>
      </w:r>
      <w:r>
        <w:t xml:space="preserve"> group-f767d3d9d5064fab6f0c</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Community Mental Health in Türkiye and Europe: Data and Influencing Factors — https://doi.org/10.18863/pgy.1392348</w:t>
      </w:r>
    </w:p>
    <w:p>
      <w:pPr/>
      <w:r>
        <w:rPr>
          <w:b/>
        </w:rPr>
        <w:t>Later source:</w:t>
      </w:r>
      <w:r>
        <w:t xml:space="preserve"> Escalating incidence of infective endocarditis in Europe in the 21st century — https://doi.org/10.1136/openhrt-2021-001846</w:t>
      </w:r>
    </w:p>
    <w:p>
      <w:pPr>
        <w:pStyle w:val="SourceNote"/>
      </w:pPr>
      <w:r>
        <w:rPr>
          <w:b/>
        </w:rPr>
        <w:t>Review status:</w:t>
      </w:r>
      <w:r>
        <w:t xml:space="preserve"> unchecked — possible relationship only</w:t>
      </w:r>
    </w:p>
    <w:p>
      <w:pPr>
        <w:pStyle w:val="Heading2"/>
      </w:pPr>
      <w:r>
        <w:t>227. Claim + two later sources: A ‘futures’ approach towards the wellbeing of future generations in Wales and beyond</w:t>
      </w:r>
    </w:p>
    <w:p>
      <w:pPr>
        <w:pStyle w:val="SourceNote"/>
      </w:pPr>
      <w:r>
        <w:rPr>
          <w:b/>
        </w:rPr>
        <w:t>Group ID:</w:t>
      </w:r>
      <w:r>
        <w:t xml:space="preserve"> group-bd4804e882c07b94a54d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A Short Review about Predicting the Dew Point Pressure for Gas Condensate Reservoirs by Empirical Correlations — https://doi.org/10.5281/zenodo.8195449</w:t>
      </w:r>
    </w:p>
    <w:p>
      <w:pPr/>
      <w:r>
        <w:rPr>
          <w:b/>
        </w:rPr>
        <w:t>Later source:</w:t>
      </w:r>
      <w:r>
        <w:t xml:space="preserve"> Physicians' perception about predictors of opioid abuse in patients with chronic non-cancer pain: a Delphi study — https://doi.org/10.3389/fpain.2023.1269018</w:t>
      </w:r>
    </w:p>
    <w:p>
      <w:pPr>
        <w:pStyle w:val="SourceNote"/>
      </w:pPr>
      <w:r>
        <w:rPr>
          <w:b/>
        </w:rPr>
        <w:t>Review status:</w:t>
      </w:r>
      <w:r>
        <w:t xml:space="preserve"> unchecked — possible relationship only</w:t>
      </w:r>
    </w:p>
    <w:p>
      <w:pPr>
        <w:pStyle w:val="Heading2"/>
      </w:pPr>
      <w:r>
        <w:t>228. Claim + two later sources: Electromobility Scenarios: Research Findings to Inform Policy</w:t>
      </w:r>
    </w:p>
    <w:p>
      <w:pPr>
        <w:pStyle w:val="SourceNote"/>
      </w:pPr>
      <w:r>
        <w:rPr>
          <w:b/>
        </w:rPr>
        <w:t>Group ID:</w:t>
      </w:r>
      <w:r>
        <w:t xml:space="preserve"> group-af7c7b21b5eab027eba9</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Cost benefit analysis of diversified farming systems across Europe: Incorporating non-market benefits of ecosystem services — https://doi.org/10.1016/j.scitotenv.2023.169272</w:t>
      </w:r>
    </w:p>
    <w:p>
      <w:pPr/>
      <w:r>
        <w:rPr>
          <w:b/>
        </w:rPr>
        <w:t>Later source:</w:t>
      </w:r>
      <w:r>
        <w:t xml:space="preserve"> Comparative cost-benefit analysis of upgrading existing office buildings in European climates — https://doi.org/10.26868/25222708.2023.1461</w:t>
      </w:r>
    </w:p>
    <w:p>
      <w:pPr>
        <w:pStyle w:val="SourceNote"/>
      </w:pPr>
      <w:r>
        <w:rPr>
          <w:b/>
        </w:rPr>
        <w:t>Review status:</w:t>
      </w:r>
      <w:r>
        <w:t xml:space="preserve"> unchecked — possible relationship only</w:t>
      </w:r>
    </w:p>
    <w:p>
      <w:pPr>
        <w:pStyle w:val="Heading2"/>
      </w:pPr>
      <w:r>
        <w:t>229. Claim + two later sources: The Future of Visitor Attractions in The Netherlands</w:t>
      </w:r>
    </w:p>
    <w:p>
      <w:pPr>
        <w:pStyle w:val="SourceNote"/>
      </w:pPr>
      <w:r>
        <w:rPr>
          <w:b/>
        </w:rPr>
        <w:t>Group ID:</w:t>
      </w:r>
      <w:r>
        <w:t xml:space="preserve"> group-f1a4bb8030c68b80ea6d</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Sports Marketing as a Tool for Creating an Image of Leading European Football Clubs — https://doi.org/10.15611/2022.29.9.03</w:t>
      </w:r>
    </w:p>
    <w:p>
      <w:pPr/>
      <w:r>
        <w:rPr>
          <w:b/>
        </w:rPr>
        <w:t>Later source:</w:t>
      </w:r>
      <w:r>
        <w:t xml:space="preserve"> Creating the European Literary Text Collection (ELTeC): Challenges and Perspectives — https://doi.org/10.3828/mlo.v0i0.364</w:t>
      </w:r>
    </w:p>
    <w:p>
      <w:pPr>
        <w:pStyle w:val="SourceNote"/>
      </w:pPr>
      <w:r>
        <w:rPr>
          <w:b/>
        </w:rPr>
        <w:t>Review status:</w:t>
      </w:r>
      <w:r>
        <w:t xml:space="preserve"> unchecked — possible relationship only</w:t>
      </w:r>
    </w:p>
    <w:p>
      <w:pPr>
        <w:pStyle w:val="Heading2"/>
      </w:pPr>
      <w:r>
        <w:t>230. Claim + two later sources: Using Scenarios to Assess Policy Mixes for Resource Efficiency and Eco-Innovation in Different Fiscal Policy Frameworks</w:t>
      </w:r>
    </w:p>
    <w:p>
      <w:pPr>
        <w:pStyle w:val="SourceNote"/>
      </w:pPr>
      <w:r>
        <w:rPr>
          <w:b/>
        </w:rPr>
        <w:t>Group ID:</w:t>
      </w:r>
      <w:r>
        <w:t xml:space="preserve"> group-792404cc13e6f41baba3</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possible relationship only</w:t>
      </w:r>
    </w:p>
    <w:p>
      <w:pPr>
        <w:pStyle w:val="Heading2"/>
      </w:pPr>
      <w:r>
        <w:t>231. Claim + two later sources: Spatial Simulation of Codesigned Land Cover Change Scenarios in New England: Alternative Futures and Their Consequences for Conservation Priorities</w:t>
      </w:r>
    </w:p>
    <w:p>
      <w:pPr>
        <w:pStyle w:val="SourceNote"/>
      </w:pPr>
      <w:r>
        <w:rPr>
          <w:b/>
        </w:rPr>
        <w:t>Group ID:</w:t>
      </w:r>
      <w:r>
        <w:t xml:space="preserve"> group-ed97c3c445945be6be5a</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to Prepare a Manuscript — https://doi.org/10.1097/nur.0000000000000973</w:t>
      </w:r>
    </w:p>
    <w:p>
      <w:pPr/>
      <w:r>
        <w:rPr>
          <w:b/>
        </w:rPr>
        <w:t>Later source:</w:t>
      </w:r>
      <w:r>
        <w:t xml:space="preserve"> Can AI help authors prepare better risk science manuscripts? — https://doi.org/10.1111/risa.70055</w:t>
      </w:r>
    </w:p>
    <w:p>
      <w:pPr>
        <w:pStyle w:val="SourceNote"/>
      </w:pPr>
      <w:r>
        <w:rPr>
          <w:b/>
        </w:rPr>
        <w:t>Review status:</w:t>
      </w:r>
      <w:r>
        <w:t xml:space="preserve"> unchecked — possible relationship only</w:t>
      </w:r>
    </w:p>
    <w:p>
      <w:pPr>
        <w:pStyle w:val="Heading2"/>
      </w:pPr>
      <w:r>
        <w:t>232. Claim + two later sources: Futuring European industry: assessing the ManuFuture road towards EU re-industrialization</w:t>
      </w:r>
    </w:p>
    <w:p>
      <w:pPr>
        <w:pStyle w:val="SourceNote"/>
      </w:pPr>
      <w:r>
        <w:rPr>
          <w:b/>
        </w:rPr>
        <w:t>Group ID:</w:t>
      </w:r>
      <w:r>
        <w:t xml:space="preserve"> group-570e02e8305897270ce0</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A network analysis of systemic risk in the European banking sector — https://doi.org/10.1007/s10203-026-00600-w</w:t>
      </w:r>
    </w:p>
    <w:p>
      <w:pPr/>
      <w:r>
        <w:rPr>
          <w:b/>
        </w:rPr>
        <w:t>Later source:</w:t>
      </w:r>
      <w:r>
        <w:t xml:space="preserve"> Evaluation of the European Society of Cardiology Risk Assessment Score in Incident Systemic Sclerosis‐Associated Pulmonary Arterial Hypertension — https://doi.org/10.1002/acr.25328</w:t>
      </w:r>
    </w:p>
    <w:p>
      <w:pPr>
        <w:pStyle w:val="SourceNote"/>
      </w:pPr>
      <w:r>
        <w:rPr>
          <w:b/>
        </w:rPr>
        <w:t>Review status:</w:t>
      </w:r>
      <w:r>
        <w:t xml:space="preserve"> unchecked — possible relationship only</w:t>
      </w:r>
    </w:p>
    <w:p>
      <w:pPr>
        <w:pStyle w:val="Heading2"/>
      </w:pPr>
      <w:r>
        <w:t>233. Claim + two later sources: THREE INVESTMENT SCENARIOS FOR  FUTURE NUCLEAR REACTORS IN EUROPE</w:t>
      </w:r>
    </w:p>
    <w:p>
      <w:pPr>
        <w:pStyle w:val="SourceNote"/>
      </w:pPr>
      <w:r>
        <w:rPr>
          <w:b/>
        </w:rPr>
        <w:t>Group ID:</w:t>
      </w:r>
      <w:r>
        <w:t xml:space="preserve"> group-3ecd51afddcb55327247</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Atomic rivers. The (Un)sustainability of nuclear power in an age of climate change — https://doi.org/10.1016/j.enpol.2025.114631</w:t>
      </w:r>
    </w:p>
    <w:p>
      <w:pPr/>
      <w:r>
        <w:rPr>
          <w:b/>
        </w:rPr>
        <w:t>Later source:</w:t>
      </w:r>
      <w:r>
        <w:t xml:space="preserve"> Can the European nuclear power industry compete with the Chinese nuclear power industry? — https://doi.org/10.24294/jipd.v8i11.8715</w:t>
      </w:r>
    </w:p>
    <w:p>
      <w:pPr>
        <w:pStyle w:val="SourceNote"/>
      </w:pPr>
      <w:r>
        <w:rPr>
          <w:b/>
        </w:rPr>
        <w:t>Review status:</w:t>
      </w:r>
      <w:r>
        <w:t xml:space="preserve"> unchecked — possible relationship only</w:t>
      </w:r>
    </w:p>
    <w:p>
      <w:pPr>
        <w:pStyle w:val="Heading2"/>
      </w:pPr>
      <w:r>
        <w:t>234. Claim + two later sources: A road map for explorative scenario creation on Belgian rail freight transport development</w:t>
      </w:r>
    </w:p>
    <w:p>
      <w:pPr>
        <w:pStyle w:val="SourceNote"/>
      </w:pPr>
      <w:r>
        <w:rPr>
          <w:b/>
        </w:rPr>
        <w:t>Group ID:</w:t>
      </w:r>
      <w:r>
        <w:t xml:space="preserve"> group-c4e009ad8eb9678b2750</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Educational Innovation for Sustainability: An Interdisciplinary Model of Road Decarbonization in Higher Education — https://doi.org/10.20944/preprints202502.0760.v1</w:t>
      </w:r>
    </w:p>
    <w:p>
      <w:pPr/>
      <w:r>
        <w:rPr>
          <w:b/>
        </w:rPr>
        <w:t>Later source:</w:t>
      </w:r>
      <w:r>
        <w:t xml:space="preserve"> Explainable Artificial Intelligence (XAI) 2.0: A manifesto of open challenges and interdisciplinary research directions — https://doi.org/10.1016/j.inffus.2024.102301</w:t>
      </w:r>
    </w:p>
    <w:p>
      <w:pPr>
        <w:pStyle w:val="SourceNote"/>
      </w:pPr>
      <w:r>
        <w:rPr>
          <w:b/>
        </w:rPr>
        <w:t>Review status:</w:t>
      </w:r>
      <w:r>
        <w:t xml:space="preserve"> unchecked — possible relationship only</w:t>
      </w:r>
    </w:p>
    <w:p>
      <w:pPr>
        <w:pStyle w:val="Heading2"/>
      </w:pPr>
      <w:r>
        <w:t>235. Claim + two later sources: Three scenarios for industrial relations in Europe</w:t>
      </w:r>
    </w:p>
    <w:p>
      <w:pPr>
        <w:pStyle w:val="SourceNote"/>
      </w:pPr>
      <w:r>
        <w:rPr>
          <w:b/>
        </w:rPr>
        <w:t>Group ID:</w:t>
      </w:r>
      <w:r>
        <w:t xml:space="preserve"> group-2b44f7d6324862b3f6b2</w:t>
      </w:r>
    </w:p>
    <w:p>
      <w:pPr>
        <w:pStyle w:val="SourceNote"/>
      </w:pPr>
      <w:r>
        <w:rPr>
          <w:b/>
        </w:rPr>
        <w:t>Original source:</w:t>
      </w:r>
      <w:r>
        <w:t xml:space="preserve"> https://doi.org/10.1111/j.1564-913x.2015.00221.x</w:t>
      </w:r>
    </w:p>
    <w:p>
      <w:pPr/>
      <w:r>
        <w:rPr>
          <w:b/>
        </w:rPr>
        <w:t>Original future claim:</w:t>
      </w:r>
      <w:r>
        <w:t xml:space="preserve">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Causes of the Russian-Ukrainian Conflict and its Impact on Security in Europe — https://doi.org/10.2478/kbo-2023-0004</w:t>
      </w:r>
    </w:p>
    <w:p>
      <w:pPr/>
      <w:r>
        <w:rPr>
          <w:b/>
        </w:rPr>
        <w:t>Later source:</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pStyle w:val="SourceNote"/>
      </w:pPr>
      <w:r>
        <w:rPr>
          <w:b/>
        </w:rPr>
        <w:t>Review status:</w:t>
      </w:r>
      <w:r>
        <w:t xml:space="preserve"> unchecked — possible relationship only</w:t>
      </w:r>
    </w:p>
    <w:p>
      <w:pPr>
        <w:pStyle w:val="Heading2"/>
      </w:pPr>
      <w:r>
        <w:t>236.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237. Claim + two later sources: Fiscal sustainability and the accuracy of macroeconomic forecasts: Do supranational forecasts rather than government forecasts make a difference?</w:t>
      </w:r>
    </w:p>
    <w:p>
      <w:pPr>
        <w:pStyle w:val="SourceNote"/>
      </w:pPr>
      <w:r>
        <w:rPr>
          <w:b/>
        </w:rPr>
        <w:t>Group ID:</w:t>
      </w:r>
      <w:r>
        <w:t xml:space="preserve"> group-1c8b174f853205bc122a</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European anthropogenic AFOLU greenhouse gas emissions: a review and benchmark data — https://doi.org/10.5194/essd-12-961-2020</w:t>
      </w:r>
    </w:p>
    <w:p>
      <w:pPr/>
      <w:r>
        <w:rPr>
          <w:b/>
        </w:rPr>
        <w:t>Later source:</w:t>
      </w:r>
      <w:r>
        <w:t xml:space="preserve"> The European Union and Democratization in Central and Southeastern Europe since 1989 — https://doi.org/10.1017/9781108752466.021</w:t>
      </w:r>
    </w:p>
    <w:p>
      <w:pPr>
        <w:pStyle w:val="SourceNote"/>
      </w:pPr>
      <w:r>
        <w:rPr>
          <w:b/>
        </w:rPr>
        <w:t>Review status:</w:t>
      </w:r>
      <w:r>
        <w:t xml:space="preserve"> unchecked — possible relationship only</w:t>
      </w:r>
    </w:p>
    <w:p>
      <w:pPr>
        <w:pStyle w:val="Heading2"/>
      </w:pPr>
      <w:r>
        <w:t>238. Claim + two later sources: Shared Socio-economic Pathways for European agriculture and food systems: The Eur-Agri-SSPs</w:t>
      </w:r>
    </w:p>
    <w:p>
      <w:pPr>
        <w:pStyle w:val="SourceNote"/>
      </w:pPr>
      <w:r>
        <w:rPr>
          <w:b/>
        </w:rPr>
        <w:t>Group ID:</w:t>
      </w:r>
      <w:r>
        <w:t xml:space="preserve"> group-759767af802046fe9713</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Multicentre evaluation of a selective isolation protocol for detection of mcr-positive E. coli and Salmonella spp. in food-producing animals and meat — https://doi.org/10.1111/lam.13717</w:t>
      </w:r>
    </w:p>
    <w:p>
      <w:pPr/>
      <w:r>
        <w:rPr>
          <w:b/>
        </w:rPr>
        <w:t>Later source:</w:t>
      </w:r>
      <w:r>
        <w:t xml:space="preserve"> Implementation of a pan-European ecosystem and an interoperable platform for Smart and Healthy Ageing in Europe: An Innovation Action research protocol — https://doi.org/10.12688/openreseurope.14827.1</w:t>
      </w:r>
    </w:p>
    <w:p>
      <w:pPr>
        <w:pStyle w:val="SourceNote"/>
      </w:pPr>
      <w:r>
        <w:rPr>
          <w:b/>
        </w:rPr>
        <w:t>Review status:</w:t>
      </w:r>
      <w:r>
        <w:t xml:space="preserve"> unchecked — possible relationship only</w:t>
      </w:r>
    </w:p>
    <w:p>
      <w:pPr>
        <w:pStyle w:val="Heading2"/>
      </w:pPr>
      <w:r>
        <w:t>239. Claim + two later sources: Flexible electricity generation, grid exchange and storage for the transition to a 100% renewable energy system in Europe</w:t>
      </w:r>
    </w:p>
    <w:p>
      <w:pPr>
        <w:pStyle w:val="SourceNote"/>
      </w:pPr>
      <w:r>
        <w:rPr>
          <w:b/>
        </w:rPr>
        <w:t>Group ID:</w:t>
      </w:r>
      <w:r>
        <w:t xml:space="preserve"> group-0baf416bcea760699085</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D8.2: 'Just' transition pathway &amp; intermediate targets — https://doi.org/10.5281/zenodo.20486783</w:t>
      </w:r>
    </w:p>
    <w:p>
      <w:pPr/>
      <w:r>
        <w:rPr>
          <w:b/>
        </w:rPr>
        <w:t>Later source:</w:t>
      </w:r>
      <w:r>
        <w:t xml:space="preserve"> European Circular Economy Structural Typology Based on Multivariate Analysis of Latent Dimensions and Transition Pathways — https://doi.org/10.1002/sd.71629</w:t>
      </w:r>
    </w:p>
    <w:p>
      <w:pPr>
        <w:pStyle w:val="SourceNote"/>
      </w:pPr>
      <w:r>
        <w:rPr>
          <w:b/>
        </w:rPr>
        <w:t>Review status:</w:t>
      </w:r>
      <w:r>
        <w:t xml:space="preserve"> unchecked — possible relationship only</w:t>
      </w:r>
    </w:p>
    <w:p>
      <w:pPr>
        <w:pStyle w:val="Heading2"/>
      </w:pPr>
      <w:r>
        <w:t>240. Claim + two later sources: Consequences of Enduring Low Fertility – A German Case Study. Demographic Projections and Implications for Different Policy Fields</w:t>
      </w:r>
    </w:p>
    <w:p>
      <w:pPr>
        <w:pStyle w:val="SourceNote"/>
      </w:pPr>
      <w:r>
        <w:rPr>
          <w:b/>
        </w:rPr>
        <w:t>Group ID:</w:t>
      </w:r>
      <w:r>
        <w:t xml:space="preserve"> group-8cfd1c12e855e8160b3b</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Ageing and ocular problems — https://doi.org/10.1556/2066.2021.00042</w:t>
      </w:r>
    </w:p>
    <w:p>
      <w:pPr/>
      <w:r>
        <w:rPr>
          <w:b/>
        </w:rPr>
        <w:t>Later source:</w:t>
      </w:r>
      <w:r>
        <w:t xml:space="preserve"> Central and Peripheral Neuromuscular Adaptations to Ageing — https://doi.org/10.3390/jcm9030741</w:t>
      </w:r>
    </w:p>
    <w:p>
      <w:pPr>
        <w:pStyle w:val="SourceNote"/>
      </w:pPr>
      <w:r>
        <w:rPr>
          <w:b/>
        </w:rPr>
        <w:t>Review status:</w:t>
      </w:r>
      <w:r>
        <w:t xml:space="preserve"> unchecked — possible relationship only</w:t>
      </w:r>
    </w:p>
    <w:p>
      <w:pPr>
        <w:pStyle w:val="Heading2"/>
      </w:pPr>
      <w:r>
        <w:t>241. Claim + two later sources: A look into the future of the COVID-19 pandemic in Europe: an expert consultation</w:t>
      </w:r>
    </w:p>
    <w:p>
      <w:pPr>
        <w:pStyle w:val="SourceNote"/>
      </w:pPr>
      <w:r>
        <w:rPr>
          <w:b/>
        </w:rPr>
        <w:t>Group ID:</w:t>
      </w:r>
      <w:r>
        <w:t xml:space="preserve"> group-d02dd0d12a48ceaa5ba6</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DEVELOPMENTS AND CHALLENGES REGARDING THE EUROPEAN CAPITAL MARKETS INTEGRATION PROJECT — https://doi.org/10.55654/jfs.2024.9.16.13</w:t>
      </w:r>
    </w:p>
    <w:p>
      <w:pPr/>
      <w:r>
        <w:rPr>
          <w:b/>
        </w:rPr>
        <w:t>Later source:</w:t>
      </w:r>
      <w:r>
        <w:t xml:space="preserve"> European Youth Work Developments and Challenges—A Meta-Synthesis — https://doi.org/10.3390/youth4030075</w:t>
      </w:r>
    </w:p>
    <w:p>
      <w:pPr>
        <w:pStyle w:val="SourceNote"/>
      </w:pPr>
      <w:r>
        <w:rPr>
          <w:b/>
        </w:rPr>
        <w:t>Review status:</w:t>
      </w:r>
      <w:r>
        <w:t xml:space="preserve"> unchecked — possible relationship only</w:t>
      </w:r>
    </w:p>
    <w:p>
      <w:pPr>
        <w:pStyle w:val="Heading2"/>
      </w:pPr>
      <w:r>
        <w:t>242.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group-d610c70072f94cb030b1</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Application of the World Café method to discuss the efficiency of African swine fever control strategies in European wild boar (Sus scrofa) populations — https://doi.org/10.1016/j.prevetmed.2020.105178</w:t>
      </w:r>
    </w:p>
    <w:p>
      <w:pPr>
        <w:pStyle w:val="SourceNote"/>
      </w:pPr>
      <w:r>
        <w:rPr>
          <w:b/>
        </w:rPr>
        <w:t>Review status:</w:t>
      </w:r>
      <w:r>
        <w:t xml:space="preserve"> unchecked — possible relationship only</w:t>
      </w:r>
    </w:p>
    <w:p>
      <w:pPr>
        <w:pStyle w:val="Heading2"/>
      </w:pPr>
      <w:r>
        <w:t>243.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244. Claim + two later sources: Trends and Possible Future Developments in Global Forest-Product Markets—Implications for the Swedish Forest Sector</w:t>
      </w:r>
    </w:p>
    <w:p>
      <w:pPr>
        <w:pStyle w:val="SourceNote"/>
      </w:pPr>
      <w:r>
        <w:rPr>
          <w:b/>
        </w:rPr>
        <w:t>Group ID:</w:t>
      </w:r>
      <w:r>
        <w:t xml:space="preserve"> group-d28351f4e4cc58f9e2c3</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Editorial: Critical perspectives in times of uncertainty — https://doi.org/10.1108/dpm-08-2025-435</w:t>
      </w:r>
    </w:p>
    <w:p>
      <w:pPr/>
      <w:r>
        <w:rPr>
          <w:b/>
        </w:rPr>
        <w:t>Later source:</w:t>
      </w:r>
      <w:r>
        <w:t xml:space="preserve"> Lithium: critical, or not so critical? — https://doi.org/10.1144/geoenergy2023-045</w:t>
      </w:r>
    </w:p>
    <w:p>
      <w:pPr>
        <w:pStyle w:val="SourceNote"/>
      </w:pPr>
      <w:r>
        <w:rPr>
          <w:b/>
        </w:rPr>
        <w:t>Review status:</w:t>
      </w:r>
      <w:r>
        <w:t xml:space="preserve"> unchecked — possible relationship only</w:t>
      </w:r>
    </w:p>
    <w:p>
      <w:pPr>
        <w:pStyle w:val="Heading2"/>
      </w:pPr>
      <w:r>
        <w:t>245. Claim + two later sources: Energy Portfolio of the Eastern Poland Macroregion in the European Union</w:t>
      </w:r>
    </w:p>
    <w:p>
      <w:pPr>
        <w:pStyle w:val="SourceNote"/>
      </w:pPr>
      <w:r>
        <w:rPr>
          <w:b/>
        </w:rPr>
        <w:t>Group ID:</w:t>
      </w:r>
      <w:r>
        <w:t xml:space="preserve"> group-28d1e00ff30d4520c8e1</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TOPAS-CH4: a service for methane monitoring, source attribution and emission reduction over Europe — https://doi.org/10.5194/egusphere-egu24-8844</w:t>
      </w:r>
    </w:p>
    <w:p>
      <w:pPr/>
      <w:r>
        <w:rPr>
          <w:b/>
        </w:rPr>
        <w:t>Later source:</w:t>
      </w:r>
      <w:r>
        <w:t xml:space="preserve"> Predicting atrial fibrillation risk following embolic stroke of unknown source using cardiac magnetic resonance imaging — https://doi.org/10.1093/europace/euae102.252</w:t>
      </w:r>
    </w:p>
    <w:p>
      <w:pPr>
        <w:pStyle w:val="SourceNote"/>
      </w:pPr>
      <w:r>
        <w:rPr>
          <w:b/>
        </w:rPr>
        <w:t>Review status:</w:t>
      </w:r>
      <w:r>
        <w:t xml:space="preserve"> unchecked — possible relationship only</w:t>
      </w:r>
    </w:p>
    <w:p>
      <w:pPr>
        <w:pStyle w:val="Heading2"/>
      </w:pPr>
      <w:r>
        <w:t>246. Claim + two later sources: Future air quality in Europe: a multi-model assessment of projected exposure to ozone</w:t>
      </w:r>
    </w:p>
    <w:p>
      <w:pPr>
        <w:pStyle w:val="SourceNote"/>
      </w:pPr>
      <w:r>
        <w:rPr>
          <w:b/>
        </w:rPr>
        <w:t>Group ID:</w:t>
      </w:r>
      <w:r>
        <w:t xml:space="preserve"> group-f4529bc25db4fc4431ec</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Clean air in Europe for all — https://doi.org/10.1097/ee9.0000000000000245</w:t>
      </w:r>
    </w:p>
    <w:p>
      <w:pPr/>
      <w:r>
        <w:rPr>
          <w:b/>
        </w:rPr>
        <w:t>Later source:</w:t>
      </w:r>
      <w:r>
        <w:t xml:space="preserve"> Spatial heterogeneity of air pollution statistics in Europe — https://doi.org/10.1038/s41598-022-16109-2</w:t>
      </w:r>
    </w:p>
    <w:p>
      <w:pPr>
        <w:pStyle w:val="SourceNote"/>
      </w:pPr>
      <w:r>
        <w:rPr>
          <w:b/>
        </w:rPr>
        <w:t>Review status:</w:t>
      </w:r>
      <w:r>
        <w:t xml:space="preserve"> unchecked — possible relationship only</w:t>
      </w:r>
    </w:p>
    <w:p>
      <w:pPr>
        <w:pStyle w:val="Heading2"/>
      </w:pPr>
      <w:r>
        <w:t>247. Claim + two later sources: The future of trade unions in Croatia – various stakeholders’ perspectives</w:t>
      </w:r>
    </w:p>
    <w:p>
      <w:pPr>
        <w:pStyle w:val="SourceNote"/>
      </w:pPr>
      <w:r>
        <w:rPr>
          <w:b/>
        </w:rPr>
        <w:t>Group ID:</w:t>
      </w:r>
      <w:r>
        <w:t xml:space="preserve"> group-aae1bc713ddad7d10ff1</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Exploring the effects of protected area networks on the European land system — https://doi.org/10.1016/j.jenvman.2023.117741</w:t>
      </w:r>
    </w:p>
    <w:p>
      <w:pPr/>
      <w:r>
        <w:rPr>
          <w:b/>
        </w:rPr>
        <w:t>Later source:</w:t>
      </w:r>
      <w:r>
        <w:t xml:space="preserve"> European Green Deal necropolitics: Exploring ‘green’ energy transition, degrowth &amp; infrastructural colonization — https://doi.org/10.1016/j.polgeo.2022.102640</w:t>
      </w:r>
    </w:p>
    <w:p>
      <w:pPr>
        <w:pStyle w:val="SourceNote"/>
      </w:pPr>
      <w:r>
        <w:rPr>
          <w:b/>
        </w:rPr>
        <w:t>Review status:</w:t>
      </w:r>
      <w:r>
        <w:t xml:space="preserve"> unchecked — possible relationship only</w:t>
      </w:r>
    </w:p>
    <w:p>
      <w:pPr>
        <w:pStyle w:val="Heading2"/>
      </w:pPr>
      <w:r>
        <w:t>248. Claim + two later sources: Agent‐Based Modeling of Alternative Futures in the British Land Use System</w:t>
      </w:r>
    </w:p>
    <w:p>
      <w:pPr>
        <w:pStyle w:val="SourceNote"/>
      </w:pPr>
      <w:r>
        <w:rPr>
          <w:b/>
        </w:rPr>
        <w:t>Group ID:</w:t>
      </w:r>
      <w:r>
        <w:t xml:space="preserve"> group-b15c50b9aad95b4c7b27</w:t>
      </w:r>
    </w:p>
    <w:p>
      <w:pPr>
        <w:pStyle w:val="SourceNote"/>
      </w:pPr>
      <w:r>
        <w:rPr>
          <w:b/>
        </w:rPr>
        <w:t>Original source:</w:t>
      </w:r>
      <w:r>
        <w:t xml:space="preserve"> https://doi.org/10.1029/2022ef002905</w:t>
      </w:r>
    </w:p>
    <w:p>
      <w:pPr/>
      <w:r>
        <w:rPr>
          <w:b/>
        </w:rPr>
        <w:t>Original future claim:</w:t>
      </w:r>
      <w:r>
        <w:t xml:space="preserve">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Abstract WMP47: Neighborhood Socio-Economic Status as a Predictor of All-Cause Long-Term Post-Stroke Mortality — https://doi.org/10.1161/str.55.suppl_1.wmp47</w:t>
      </w:r>
    </w:p>
    <w:p>
      <w:pPr>
        <w:pStyle w:val="SourceNote"/>
      </w:pPr>
      <w:r>
        <w:rPr>
          <w:b/>
        </w:rPr>
        <w:t>Review status:</w:t>
      </w:r>
      <w:r>
        <w:t xml:space="preserve"> unchecked — possible relationship only</w:t>
      </w:r>
    </w:p>
    <w:p>
      <w:pPr>
        <w:pStyle w:val="Heading2"/>
      </w:pPr>
      <w:r>
        <w:t>249. Claim + two later sources: Toward a Diagnostic Tool for Organizational Ethical Culture With Futures Thinking and Scenario Planning</w:t>
      </w:r>
    </w:p>
    <w:p>
      <w:pPr>
        <w:pStyle w:val="SourceNote"/>
      </w:pPr>
      <w:r>
        <w:rPr>
          <w:b/>
        </w:rPr>
        <w:t>Group ID:</w:t>
      </w:r>
      <w:r>
        <w:t xml:space="preserve"> group-cd418560fe3e31c5dec9</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Mapping the Evidence on Antimicrobial Resistance Transmission in Mass Gatherings: A Scoping Review — https://doi.org/10.17605/osf.io/9hq5t</w:t>
      </w:r>
    </w:p>
    <w:p>
      <w:pPr/>
      <w:r>
        <w:rPr>
          <w:b/>
        </w:rPr>
        <w:t>Later source:</w:t>
      </w:r>
      <w:r>
        <w:t xml:space="preserve"> Improved LEACH Model with Efficient Data Gathering Scheme for Mobile Internet of Things — https://doi.org/10.1109/icngcs64900.2025.11183334</w:t>
      </w:r>
    </w:p>
    <w:p>
      <w:pPr>
        <w:pStyle w:val="SourceNote"/>
      </w:pPr>
      <w:r>
        <w:rPr>
          <w:b/>
        </w:rPr>
        <w:t>Review status:</w:t>
      </w:r>
      <w:r>
        <w:t xml:space="preserve"> unchecked — possible relationship only</w:t>
      </w:r>
    </w:p>
    <w:p>
      <w:pPr>
        <w:pStyle w:val="Heading2"/>
      </w:pPr>
      <w:r>
        <w:t>250. Claim + two later sources: Scenarios for the Development of Multimodal Transport in the TRITIA Cross-Border Area</w:t>
      </w:r>
    </w:p>
    <w:p>
      <w:pPr>
        <w:pStyle w:val="SourceNote"/>
      </w:pPr>
      <w:r>
        <w:rPr>
          <w:b/>
        </w:rPr>
        <w:t>Group ID:</w:t>
      </w:r>
      <w:r>
        <w:t xml:space="preserve"> group-e62e486ade7bde1f1e4f</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Soil Governance in current European Union Law and in the European Green Deal — https://doi.org/10.1016/j.soisec.2022.100053</w:t>
      </w:r>
    </w:p>
    <w:p>
      <w:pPr/>
      <w:r>
        <w:rPr>
          <w:b/>
        </w:rPr>
        <w:t>Later source:</w:t>
      </w:r>
      <w:r>
        <w:t xml:space="preserve"> Nature-Based Solutions in Urban Areas: A European Analysis — https://doi.org/10.3390/app13010168</w:t>
      </w:r>
    </w:p>
    <w:p>
      <w:pPr>
        <w:pStyle w:val="SourceNote"/>
      </w:pPr>
      <w:r>
        <w:rPr>
          <w:b/>
        </w:rPr>
        <w:t>Review status:</w:t>
      </w:r>
      <w:r>
        <w:t xml:space="preserve"> unchecked — possible relationship only</w:t>
      </w:r>
    </w:p>
    <w:p>
      <w:pPr>
        <w:pStyle w:val="Heading2"/>
      </w:pPr>
      <w:r>
        <w:t>251. Claim + two later sources: Central Europe: Possible Scenarios</w:t>
      </w:r>
    </w:p>
    <w:p>
      <w:pPr>
        <w:pStyle w:val="SourceNote"/>
      </w:pPr>
      <w:r>
        <w:rPr>
          <w:b/>
        </w:rPr>
        <w:t>Group ID:</w:t>
      </w:r>
      <w:r>
        <w:t xml:space="preserve"> group-c289e79cd82c6bf99684</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How can Europe address its pressing AI compute infrastructure shortfall? — https://doi.org/10.64153/shia4474</w:t>
      </w:r>
    </w:p>
    <w:p>
      <w:pPr>
        <w:pStyle w:val="SourceNote"/>
      </w:pPr>
      <w:r>
        <w:rPr>
          <w:b/>
        </w:rPr>
        <w:t>Review status:</w:t>
      </w:r>
      <w:r>
        <w:t xml:space="preserve"> unchecked — possible relationship only</w:t>
      </w:r>
    </w:p>
    <w:p>
      <w:pPr>
        <w:pStyle w:val="Heading2"/>
      </w:pPr>
      <w:r>
        <w:t>252.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253. Claim + two later sources: Energy transition scenarios: What policies, societal attitudes, and technology developments will realize the EU Green Deal?</w:t>
      </w:r>
    </w:p>
    <w:p>
      <w:pPr>
        <w:pStyle w:val="SourceNote"/>
      </w:pPr>
      <w:r>
        <w:rPr>
          <w:b/>
        </w:rPr>
        <w:t>Group ID:</w:t>
      </w:r>
      <w:r>
        <w:t xml:space="preserve"> group-b4c8363bd667656b4b6c</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‘They Take Our Healthcare’: Health and Attitudes towards Immigration in Europe — https://doi.org/10.1177/00104140251342932</w:t>
      </w:r>
    </w:p>
    <w:p>
      <w:pPr>
        <w:pStyle w:val="SourceNote"/>
      </w:pPr>
      <w:r>
        <w:rPr>
          <w:b/>
        </w:rPr>
        <w:t>Review status:</w:t>
      </w:r>
      <w:r>
        <w:t xml:space="preserve"> unchecked — possible relationship only</w:t>
      </w:r>
    </w:p>
    <w:p>
      <w:pPr>
        <w:pStyle w:val="Heading2"/>
      </w:pPr>
      <w:r>
        <w:t>254. Claim + two later sources: Five transition pathways to renewable energy futures—scenarios from a Delphi study on key drivers and policy options</w:t>
      </w:r>
    </w:p>
    <w:p>
      <w:pPr>
        <w:pStyle w:val="SourceNote"/>
      </w:pPr>
      <w:r>
        <w:rPr>
          <w:b/>
        </w:rPr>
        <w:t>Group ID:</w:t>
      </w:r>
      <w:r>
        <w:t xml:space="preserve"> group-df4bf4129d58d2b5a30a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Renewable Energy, Sustainable Business Models, and Decarbonization in the European Union: Comparative Analysis of Corporate Sustainability Reports — https://doi.org/10.3390/su17083646</w:t>
      </w:r>
    </w:p>
    <w:p>
      <w:pPr/>
      <w:r>
        <w:rPr>
          <w:b/>
        </w:rPr>
        <w:t>Later source:</w:t>
      </w:r>
      <w:r>
        <w:t xml:space="preserve"> Five models and ten predictors for energy costs on farms in the European Union — https://doi.org/10.1515/opag-2025-0441</w:t>
      </w:r>
    </w:p>
    <w:p>
      <w:pPr>
        <w:pStyle w:val="SourceNote"/>
      </w:pPr>
      <w:r>
        <w:rPr>
          <w:b/>
        </w:rPr>
        <w:t>Review status:</w:t>
      </w:r>
      <w:r>
        <w:t xml:space="preserve"> unchecked — possible relationship only</w:t>
      </w:r>
    </w:p>
    <w:p>
      <w:pPr>
        <w:pStyle w:val="Heading2"/>
      </w:pPr>
      <w:r>
        <w:t>255. Claim + two later sources: European Union, transnational terrorism and the strategic choice of counterterrorism policies in democratic countries</w:t>
      </w:r>
    </w:p>
    <w:p>
      <w:pPr>
        <w:pStyle w:val="SourceNote"/>
      </w:pPr>
      <w:r>
        <w:rPr>
          <w:b/>
        </w:rPr>
        <w:t>Group ID:</w:t>
      </w:r>
      <w:r>
        <w:t xml:space="preserve"> group-aec516e45823612990ea</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Role of the European Union and the Council of Europe in Promoting Democracy: The Case of the South Caucasus States — https://doi.org/10.54503/2579-2903-2026.1-183</w:t>
      </w:r>
    </w:p>
    <w:p>
      <w:pPr/>
      <w:r>
        <w:rPr>
          <w:b/>
        </w:rPr>
        <w:t>Later source:</w:t>
      </w:r>
      <w:r>
        <w:t xml:space="preserve"> Cultural diplomacy and economic cooperation in Europe — https://doi.org/10.59295/dnwe2025.42</w:t>
      </w:r>
    </w:p>
    <w:p>
      <w:pPr>
        <w:pStyle w:val="SourceNote"/>
      </w:pPr>
      <w:r>
        <w:rPr>
          <w:b/>
        </w:rPr>
        <w:t>Review status:</w:t>
      </w:r>
      <w:r>
        <w:t xml:space="preserve"> unchecked — possible relationship only</w:t>
      </w:r>
    </w:p>
    <w:p>
      <w:pPr>
        <w:pStyle w:val="Heading2"/>
      </w:pPr>
      <w:r>
        <w:t>256. Claim + two later sources: Biotechnology versus agroecology: Entrenchments and surprise at a 2030 forecast scenario workshop</w:t>
      </w:r>
    </w:p>
    <w:p>
      <w:pPr>
        <w:pStyle w:val="SourceNote"/>
      </w:pPr>
      <w:r>
        <w:rPr>
          <w:b/>
        </w:rPr>
        <w:t>Group ID:</w:t>
      </w:r>
      <w:r>
        <w:t xml:space="preserve"> group-488509de24abbc95b71c</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Building Participatory Instant Messaging: Developing a Methodology for Online Workshops Using WhatsApp — https://doi.org/10.35844/001c.141333</w:t>
      </w:r>
    </w:p>
    <w:p>
      <w:pPr/>
      <w:r>
        <w:rPr>
          <w:b/>
        </w:rPr>
        <w:t>Later source:</w:t>
      </w:r>
      <w:r>
        <w:t xml:space="preserve"> Evaluating a research methodology workshop among postgraduate students using Kirkpatrick’s model — https://doi.org/10.4103/jehp.jehp_1026_23</w:t>
      </w:r>
    </w:p>
    <w:p>
      <w:pPr>
        <w:pStyle w:val="SourceNote"/>
      </w:pPr>
      <w:r>
        <w:rPr>
          <w:b/>
        </w:rPr>
        <w:t>Review status:</w:t>
      </w:r>
      <w:r>
        <w:t xml:space="preserve"> unchecked — possible relationship only</w:t>
      </w:r>
    </w:p>
    <w:p>
      <w:pPr>
        <w:pStyle w:val="Heading2"/>
      </w:pPr>
      <w:r>
        <w:t>257. Claim + two later sources: Occupational Structure in European Countries: What do Forecasts Predict?</w:t>
      </w:r>
    </w:p>
    <w:p>
      <w:pPr>
        <w:pStyle w:val="SourceNote"/>
      </w:pPr>
      <w:r>
        <w:rPr>
          <w:b/>
        </w:rPr>
        <w:t>Group ID:</w:t>
      </w:r>
      <w:r>
        <w:t xml:space="preserve"> group-3d5e00cb5a51a97e9eee</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Digital communication and occupational well-being in 25 European countries — https://doi.org/10.1007/s10111-026-00902-4</w:t>
      </w:r>
    </w:p>
    <w:p>
      <w:pPr/>
      <w:r>
        <w:rPr>
          <w:b/>
        </w:rPr>
        <w:t>Later source:</w:t>
      </w:r>
      <w:r>
        <w:t xml:space="preserve"> Telework and Occupational Segregation in Europe — https://doi.org/10.3390/economies13100292</w:t>
      </w:r>
    </w:p>
    <w:p>
      <w:pPr>
        <w:pStyle w:val="SourceNote"/>
      </w:pPr>
      <w:r>
        <w:rPr>
          <w:b/>
        </w:rPr>
        <w:t>Review status:</w:t>
      </w:r>
      <w:r>
        <w:t xml:space="preserve"> unchecked — possible relationship only</w:t>
      </w:r>
    </w:p>
    <w:p>
      <w:pPr>
        <w:pStyle w:val="Heading2"/>
      </w:pPr>
      <w:r>
        <w:t>258. Claim + two later sources: What energy infrastructure will be needed by 2050 in the EU to support 1.5°C scenarios?</w:t>
      </w:r>
    </w:p>
    <w:p>
      <w:pPr>
        <w:pStyle w:val="SourceNote"/>
      </w:pPr>
      <w:r>
        <w:rPr>
          <w:b/>
        </w:rPr>
        <w:t>Group ID:</w:t>
      </w:r>
      <w:r>
        <w:t xml:space="preserve"> group-a1add20492c58bd2ca79</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Energy and Emission Disutilities of Transport Modes Under Transport Innovation in the European Union — https://doi.org/10.3390/en19051346</w:t>
      </w:r>
    </w:p>
    <w:p>
      <w:pPr/>
      <w:r>
        <w:rPr>
          <w:b/>
        </w:rPr>
        <w:t>Later source:</w:t>
      </w:r>
      <w:r>
        <w:t xml:space="preserve"> Sustainability of the European Energy System: The Evolution of the Energy Transition, Renewable Energy, and Energy Conservation — https://doi.org/10.3390/su18084046</w:t>
      </w:r>
    </w:p>
    <w:p>
      <w:pPr>
        <w:pStyle w:val="SourceNote"/>
      </w:pPr>
      <w:r>
        <w:rPr>
          <w:b/>
        </w:rPr>
        <w:t>Review status:</w:t>
      </w:r>
      <w:r>
        <w:t xml:space="preserve"> unchecked — possible relationship only</w:t>
      </w:r>
    </w:p>
    <w:p>
      <w:pPr>
        <w:pStyle w:val="Heading2"/>
      </w:pPr>
      <w:r>
        <w:t>259. Claim + two later sources: About global forecast of European Parliament TO 2035</w:t>
      </w:r>
    </w:p>
    <w:p>
      <w:pPr>
        <w:pStyle w:val="SourceNote"/>
      </w:pPr>
      <w:r>
        <w:rPr>
          <w:b/>
        </w:rPr>
        <w:t>Group ID:</w:t>
      </w:r>
      <w:r>
        <w:t xml:space="preserve"> group-7aa621cb267db0d2dec7</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Parabolic Modeling Forecasts of Space and Time European Hydropower Production — https://doi.org/10.3390/pr12061098</w:t>
      </w:r>
    </w:p>
    <w:p>
      <w:pPr/>
      <w:r>
        <w:rPr>
          <w:b/>
        </w:rPr>
        <w:t>Later source:</w:t>
      </w:r>
      <w:r>
        <w:t xml:space="preserve"> European Mortality Forecasts: Are the Targets Still Moving? — https://doi.org/10.1007/978-3-030-42472-5_9</w:t>
      </w:r>
    </w:p>
    <w:p>
      <w:pPr>
        <w:pStyle w:val="SourceNote"/>
      </w:pPr>
      <w:r>
        <w:rPr>
          <w:b/>
        </w:rPr>
        <w:t>Review status:</w:t>
      </w:r>
      <w:r>
        <w:t xml:space="preserve"> unchecked — possible relationship only</w:t>
      </w:r>
    </w:p>
    <w:p>
      <w:pPr>
        <w:pStyle w:val="Heading2"/>
      </w:pPr>
      <w:r>
        <w:t>260. Claim + two later sources: Assessing the impacts of technology improvements on the deployment of marine energy in Europe with an energy system perspective</w:t>
      </w:r>
    </w:p>
    <w:p>
      <w:pPr>
        <w:pStyle w:val="SourceNote"/>
      </w:pPr>
      <w:r>
        <w:rPr>
          <w:b/>
        </w:rPr>
        <w:t>Group ID:</w:t>
      </w:r>
      <w:r>
        <w:t xml:space="preserve"> group-a25c41a48b4c1293b256</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Planning the Installation of Marine Renewable Energies in Portugal - a tool for decision making — https://doi.org/10.1088/1742-6596/2626/1/012074</w:t>
      </w:r>
    </w:p>
    <w:p>
      <w:pPr/>
      <w:r>
        <w:rPr>
          <w:b/>
        </w:rPr>
        <w:t>Later source:</w:t>
      </w:r>
      <w:r>
        <w:t xml:space="preserve"> Economic feasibility of marine renewable energy: Review — https://doi.org/10.3389/fmars.2022.988513</w:t>
      </w:r>
    </w:p>
    <w:p>
      <w:pPr>
        <w:pStyle w:val="SourceNote"/>
      </w:pPr>
      <w:r>
        <w:rPr>
          <w:b/>
        </w:rPr>
        <w:t>Review status:</w:t>
      </w:r>
      <w:r>
        <w:t xml:space="preserve"> unchecked — possible relationship only</w:t>
      </w:r>
    </w:p>
    <w:p>
      <w:pPr>
        <w:pStyle w:val="Heading2"/>
      </w:pPr>
      <w:r>
        <w:t>261. Claim + two later sources: Implementing Systemic Innovation Strategies for a More Sustainable Future: The Case of Three Overseas Countries and Territories</w:t>
      </w:r>
    </w:p>
    <w:p>
      <w:pPr>
        <w:pStyle w:val="SourceNote"/>
      </w:pPr>
      <w:r>
        <w:rPr>
          <w:b/>
        </w:rPr>
        <w:t>Group ID:</w:t>
      </w:r>
      <w:r>
        <w:t xml:space="preserve"> group-ac64c99253990b454627</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Concluding Remarks — https://doi.org/10.1017/9781009381437.012</w:t>
      </w:r>
    </w:p>
    <w:p>
      <w:pPr/>
      <w:r>
        <w:rPr>
          <w:b/>
        </w:rPr>
        <w:t>Later source:</w:t>
      </w:r>
      <w:r>
        <w:t xml:space="preserve"> When Replication Fails: What to Conclude and Not to Conclude? — https://doi.org/10.1177/25152459241268197</w:t>
      </w:r>
    </w:p>
    <w:p>
      <w:pPr>
        <w:pStyle w:val="SourceNote"/>
      </w:pPr>
      <w:r>
        <w:rPr>
          <w:b/>
        </w:rPr>
        <w:t>Review status:</w:t>
      </w:r>
      <w:r>
        <w:t xml:space="preserve"> unchecked — possible relationship only</w:t>
      </w:r>
    </w:p>
    <w:p>
      <w:pPr>
        <w:pStyle w:val="Heading2"/>
      </w:pPr>
      <w:r>
        <w:t>262. Claim + two later sources: Dynamics of the land use, land use change, and forestry sink in the European Union: the impacts of energy and climate targets for 2030</w:t>
      </w:r>
    </w:p>
    <w:p>
      <w:pPr>
        <w:pStyle w:val="SourceNote"/>
      </w:pPr>
      <w:r>
        <w:rPr>
          <w:b/>
        </w:rPr>
        <w:t>Group ID:</w:t>
      </w:r>
      <w:r>
        <w:t xml:space="preserve"> group-18802279e4e58b6123a7</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Balancing GHG mitigation and land-use conflicts: Alternative Northern European energy system scenarios — https://doi.org/10.1016/j.apenergy.2022.118557</w:t>
      </w:r>
    </w:p>
    <w:p>
      <w:pPr>
        <w:pStyle w:val="SourceNote"/>
      </w:pPr>
      <w:r>
        <w:rPr>
          <w:b/>
        </w:rPr>
        <w:t>Review status:</w:t>
      </w:r>
      <w:r>
        <w:t xml:space="preserve"> unchecked — possible relationship only</w:t>
      </w:r>
    </w:p>
    <w:p>
      <w:pPr>
        <w:pStyle w:val="Heading2"/>
      </w:pPr>
      <w:r>
        <w:t>263. Claim + two later sources: The future of the drug phenomenon and drug monitoring in Europe until 2030</w:t>
      </w:r>
    </w:p>
    <w:p>
      <w:pPr>
        <w:pStyle w:val="SourceNote"/>
      </w:pPr>
      <w:r>
        <w:rPr>
          <w:b/>
        </w:rPr>
        <w:t>Group ID:</w:t>
      </w:r>
      <w:r>
        <w:t xml:space="preserve"> group-f2b60d8b1f0bfedc229e</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Bridging the gap between research and decision making: A European survey to enhance cooperation in wastewater-based epidemiology (WBE) for illicit drugs — https://doi.org/10.1016/j.puhe.2025.02.009</w:t>
      </w:r>
    </w:p>
    <w:p>
      <w:pPr/>
      <w:r>
        <w:rPr>
          <w:b/>
        </w:rPr>
        <w:t>Later source:</w:t>
      </w:r>
      <w:r>
        <w:t xml:space="preserve"> A methodology to explore the road safety impact of fitness to drive solutions for commercial drivers: The PANACEA project — https://doi.org/10.1016/j.trpro.2023.02.241</w:t>
      </w:r>
    </w:p>
    <w:p>
      <w:pPr>
        <w:pStyle w:val="SourceNote"/>
      </w:pPr>
      <w:r>
        <w:rPr>
          <w:b/>
        </w:rPr>
        <w:t>Review status:</w:t>
      </w:r>
      <w:r>
        <w:t xml:space="preserve"> unchecked — possible relationship only</w:t>
      </w:r>
    </w:p>
    <w:p>
      <w:pPr>
        <w:pStyle w:val="Heading2"/>
      </w:pPr>
      <w:r>
        <w:t>264. Claim + two later sources: Macrofinancial linkages in Europe: Evidence from quantile local projections</w:t>
      </w:r>
    </w:p>
    <w:p>
      <w:pPr>
        <w:pStyle w:val="SourceNote"/>
      </w:pPr>
      <w:r>
        <w:rPr>
          <w:b/>
        </w:rPr>
        <w:t>Group ID:</w:t>
      </w:r>
      <w:r>
        <w:t xml:space="preserve"> group-edb1fd94d9b831a35477</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Extreme weather in Europe: Determinants and economic impact — https://doi.org/10.1016/j.euroecorev.2026.105327</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265. Claim + two later sources: Foresighting organizational learning equilibrium in European universities</w:t>
      </w:r>
    </w:p>
    <w:p>
      <w:pPr>
        <w:pStyle w:val="SourceNote"/>
      </w:pPr>
      <w:r>
        <w:rPr>
          <w:b/>
        </w:rPr>
        <w:t>Group ID:</w:t>
      </w:r>
      <w:r>
        <w:t xml:space="preserve"> group-469789aabdb601c38d79</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Effects of Climate Change on Areas Suitable for Maize Cultivation and Aflatoxin Contamination in Europe — https://doi.org/10.3390/toxins15100599</w:t>
      </w:r>
    </w:p>
    <w:p>
      <w:pPr/>
      <w:r>
        <w:rPr>
          <w:b/>
        </w:rPr>
        <w:t>Later source:</w:t>
      </w:r>
      <w:r>
        <w:t xml:space="preserve"> Heat stress risk in European dairy cattle husbandry under different climate change scenarios – uncertainties and potential impacts — https://doi.org/10.5194/esd-10-859-2019</w:t>
      </w:r>
    </w:p>
    <w:p>
      <w:pPr>
        <w:pStyle w:val="SourceNote"/>
      </w:pPr>
      <w:r>
        <w:rPr>
          <w:b/>
        </w:rPr>
        <w:t>Review status:</w:t>
      </w:r>
      <w:r>
        <w:t xml:space="preserve"> unchecked — possible relationship only</w:t>
      </w:r>
    </w:p>
    <w:p>
      <w:pPr>
        <w:pStyle w:val="Heading2"/>
      </w:pPr>
      <w:r>
        <w:t>266. Claim + two later sources: Backcasting scenarios for Finland 2050 of low emissions</w:t>
      </w:r>
    </w:p>
    <w:p>
      <w:pPr>
        <w:pStyle w:val="SourceNote"/>
      </w:pPr>
      <w:r>
        <w:rPr>
          <w:b/>
        </w:rPr>
        <w:t>Group ID:</w:t>
      </w:r>
      <w:r>
        <w:t xml:space="preserve"> group-170975bba1b0156262a2</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Is There a Crisis of Democracy in Europe? — https://doi.org/10.1007/s11615-020-00231-9</w:t>
      </w:r>
    </w:p>
    <w:p>
      <w:pPr/>
      <w:r>
        <w:rPr>
          <w:b/>
        </w:rPr>
        <w:t>Later source:</w:t>
      </w:r>
      <w:r>
        <w:t xml:space="preserve"> Social Innovation in Community Energy in Europe: A Review of the Evidence — https://doi.org/10.3389/fenrg.2019.00031</w:t>
      </w:r>
    </w:p>
    <w:p>
      <w:pPr>
        <w:pStyle w:val="SourceNote"/>
      </w:pPr>
      <w:r>
        <w:rPr>
          <w:b/>
        </w:rPr>
        <w:t>Review status:</w:t>
      </w:r>
      <w:r>
        <w:t xml:space="preserve"> unchecked — possible relationship only</w:t>
      </w:r>
    </w:p>
    <w:p>
      <w:pPr>
        <w:pStyle w:val="Heading2"/>
      </w:pPr>
      <w:r>
        <w:t>267.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268. Claim + two later sources: Towards net zero CO2 in 2050: An emission reduction pathway for organic soils in Germany</w:t>
      </w:r>
    </w:p>
    <w:p>
      <w:pPr>
        <w:pStyle w:val="SourceNote"/>
      </w:pPr>
      <w:r>
        <w:rPr>
          <w:b/>
        </w:rPr>
        <w:t>Group ID:</w:t>
      </w:r>
      <w:r>
        <w:t xml:space="preserve"> group-76f28ace58ab5862e8be</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Energy pathway variety and the progress of the energy transition in European countries — https://doi.org/10.48550/arxiv.2609.09607</w:t>
      </w:r>
    </w:p>
    <w:p>
      <w:pPr/>
      <w:r>
        <w:rPr>
          <w:b/>
        </w:rPr>
        <w:t>Later source:</w:t>
      </w:r>
      <w:r>
        <w:t xml:space="preserve"> Women’s Leadership in Organizations as a Pathway to Ukraine’s European Integration — https://doi.org/10.32983/2222-4459-2024-11-377-386</w:t>
      </w:r>
    </w:p>
    <w:p>
      <w:pPr>
        <w:pStyle w:val="SourceNote"/>
      </w:pPr>
      <w:r>
        <w:rPr>
          <w:b/>
        </w:rPr>
        <w:t>Review status:</w:t>
      </w:r>
      <w:r>
        <w:t xml:space="preserve"> unchecked — possible relationship only</w:t>
      </w:r>
    </w:p>
    <w:p>
      <w:pPr>
        <w:pStyle w:val="Heading2"/>
      </w:pPr>
      <w:r>
        <w:t>269. Claim + two later sources: Conservation biology research priorities for 2050: A Central-Eastern European perspective</w:t>
      </w:r>
    </w:p>
    <w:p>
      <w:pPr>
        <w:pStyle w:val="SourceNote"/>
      </w:pPr>
      <w:r>
        <w:rPr>
          <w:b/>
        </w:rPr>
        <w:t>Group ID:</w:t>
      </w:r>
      <w:r>
        <w:t xml:space="preserve"> group-f1dd99af848d02d231dc</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European Myeloma Network Group review and consensus statement on primary plasma cell leukemia — https://doi.org/10.1016/j.annonc.2025.01.022</w:t>
      </w:r>
    </w:p>
    <w:p>
      <w:pPr/>
      <w:r>
        <w:rPr>
          <w:b/>
        </w:rPr>
        <w:t>Later source:</w:t>
      </w:r>
      <w:r>
        <w:t xml:space="preserve"> Frequent questions and responses on the 2022 lipoprotein(a) consensus statement of the European Atherosclerosis Society — https://doi.org/10.1016/j.atherosclerosis.2023.04.012</w:t>
      </w:r>
    </w:p>
    <w:p>
      <w:pPr>
        <w:pStyle w:val="SourceNote"/>
      </w:pPr>
      <w:r>
        <w:rPr>
          <w:b/>
        </w:rPr>
        <w:t>Review status:</w:t>
      </w:r>
      <w:r>
        <w:t xml:space="preserve"> unchecked — possible relationship only</w:t>
      </w:r>
    </w:p>
    <w:p>
      <w:pPr>
        <w:pStyle w:val="Heading2"/>
      </w:pPr>
      <w:r>
        <w:t>270. Claim + two later sources: Financing Innovations for the Renewable Energy Transition in Europe</w:t>
      </w:r>
    </w:p>
    <w:p>
      <w:pPr>
        <w:pStyle w:val="SourceNote"/>
      </w:pPr>
      <w:r>
        <w:rPr>
          <w:b/>
        </w:rPr>
        <w:t>Group ID:</w:t>
      </w:r>
      <w:r>
        <w:t xml:space="preserve"> group-2a0ba67d9bef489fab71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Comparison of Excise Duties in the Member States of the European Union — https://openalex.org/W7128985412</w:t>
      </w:r>
    </w:p>
    <w:p>
      <w:pPr/>
      <w:r>
        <w:rPr>
          <w:b/>
        </w:rPr>
        <w:t>Later source:</w:t>
      </w:r>
      <w:r>
        <w:t xml:space="preserve"> Stronger Member States for a Stronger European Union — https://doi.org/10.62733/2024.2.143-161</w:t>
      </w:r>
    </w:p>
    <w:p>
      <w:pPr>
        <w:pStyle w:val="SourceNote"/>
      </w:pPr>
      <w:r>
        <w:rPr>
          <w:b/>
        </w:rPr>
        <w:t>Review status:</w:t>
      </w:r>
      <w:r>
        <w:t xml:space="preserve"> unchecked — possible relationship only</w:t>
      </w:r>
    </w:p>
    <w:p>
      <w:pPr>
        <w:pStyle w:val="Heading2"/>
      </w:pPr>
      <w:r>
        <w:t>271. Claim + two later sources: Medium-term forecast of European economic sustainable growth using Markov chains</w:t>
      </w:r>
    </w:p>
    <w:p>
      <w:pPr>
        <w:pStyle w:val="SourceNote"/>
      </w:pPr>
      <w:r>
        <w:rPr>
          <w:b/>
        </w:rPr>
        <w:t>Group ID:</w:t>
      </w:r>
      <w:r>
        <w:t xml:space="preserve"> group-c46bb4fe94e17b599134</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Digitalisation and Economic Growth in the European Union — https://doi.org/10.3390/electronics12071718</w:t>
      </w:r>
    </w:p>
    <w:p>
      <w:pPr/>
      <w:r>
        <w:rPr>
          <w:b/>
        </w:rPr>
        <w:t>Later source:</w:t>
      </w:r>
      <w:r>
        <w:t xml:space="preserve"> The impact of international economic sanctions on national economic growth. — https://openalex.org/W7125359130</w:t>
      </w:r>
    </w:p>
    <w:p>
      <w:pPr>
        <w:pStyle w:val="SourceNote"/>
      </w:pPr>
      <w:r>
        <w:rPr>
          <w:b/>
        </w:rPr>
        <w:t>Review status:</w:t>
      </w:r>
      <w:r>
        <w:t xml:space="preserve"> unchecked — possible relationship only</w:t>
      </w:r>
    </w:p>
    <w:p>
      <w:pPr>
        <w:pStyle w:val="Heading2"/>
      </w:pPr>
      <w:r>
        <w:t>272. Claim + two later sources: What We Hope, What We Fear, What We Expect: Possible Scenarios for the Future of the Eurozone</w:t>
      </w:r>
    </w:p>
    <w:p>
      <w:pPr>
        <w:pStyle w:val="SourceNote"/>
      </w:pPr>
      <w:r>
        <w:rPr>
          <w:b/>
        </w:rPr>
        <w:t>Group ID:</w:t>
      </w:r>
      <w:r>
        <w:t xml:space="preserve"> group-124276965cd7f0717978</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European Reform Movements and the Making of the International Congress, 1840–1860 — https://doi.org/10.1080/07075332.2020.1808506</w:t>
      </w:r>
    </w:p>
    <w:p>
      <w:pPr/>
      <w:r>
        <w:rPr>
          <w:b/>
        </w:rPr>
        <w:t>Later source:</w:t>
      </w:r>
      <w:r>
        <w:t xml:space="preserve"> Economic Reforms and the Burdens of Transition — https://doi.org/10.1017/9781108752466.005</w:t>
      </w:r>
    </w:p>
    <w:p>
      <w:pPr>
        <w:pStyle w:val="SourceNote"/>
      </w:pPr>
      <w:r>
        <w:rPr>
          <w:b/>
        </w:rPr>
        <w:t>Review status:</w:t>
      </w:r>
      <w:r>
        <w:t xml:space="preserve"> unchecked — possible relationship only</w:t>
      </w:r>
    </w:p>
    <w:p>
      <w:pPr>
        <w:pStyle w:val="Heading2"/>
      </w:pPr>
      <w:r>
        <w:t>273. Claim + two later sources: Mismatch, empowerment, fatigue or balance? Four scenarios of physical activity up to 2030 in Finland</w:t>
      </w:r>
    </w:p>
    <w:p>
      <w:pPr>
        <w:pStyle w:val="SourceNote"/>
      </w:pPr>
      <w:r>
        <w:rPr>
          <w:b/>
        </w:rPr>
        <w:t>Group ID:</w:t>
      </w:r>
      <w:r>
        <w:t xml:space="preserve"> group-751de3fe7e6ca938fe23</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Stakeholders’ Perceptions of Barriers, Benefits, and Drivers for Digital Building Logbook Adoption in Building Renovation Projects in Europe — https://doi.org/10.3390/su18062688</w:t>
      </w:r>
    </w:p>
    <w:p>
      <w:pPr/>
      <w:r>
        <w:rPr>
          <w:b/>
        </w:rPr>
        <w:t>Later source:</w:t>
      </w:r>
      <w:r>
        <w:t xml:space="preserve"> Building consensus on demand-led legume breeding in Europe: Evidence from a Delphi expert study — https://doi.org/10.1016/j.jafr.2026.103142</w:t>
      </w:r>
    </w:p>
    <w:p>
      <w:pPr>
        <w:pStyle w:val="SourceNote"/>
      </w:pPr>
      <w:r>
        <w:rPr>
          <w:b/>
        </w:rPr>
        <w:t>Review status:</w:t>
      </w:r>
      <w:r>
        <w:t xml:space="preserve"> unchecked — possible relationship only</w:t>
      </w:r>
    </w:p>
    <w:p>
      <w:pPr>
        <w:pStyle w:val="Heading2"/>
      </w:pPr>
      <w:r>
        <w:t>274. Claim + two later sources: Transport demand evolution in Europe – factors of change, scenarios and challenges</w:t>
      </w:r>
    </w:p>
    <w:p>
      <w:pPr>
        <w:pStyle w:val="SourceNote"/>
      </w:pPr>
      <w:r>
        <w:rPr>
          <w:b/>
        </w:rPr>
        <w:t>Group ID:</w:t>
      </w:r>
      <w:r>
        <w:t xml:space="preserve"> group-506d79f03deec0e33c19</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A review on Rail Transport in Europe and Italy — https://doi.org/10.1109/eeeic/icpseurope54979.2022.9854799</w:t>
      </w:r>
    </w:p>
    <w:p>
      <w:pPr>
        <w:pStyle w:val="SourceNote"/>
      </w:pPr>
      <w:r>
        <w:rPr>
          <w:b/>
        </w:rPr>
        <w:t>Review status:</w:t>
      </w:r>
      <w:r>
        <w:t xml:space="preserve"> unchecked — possible relationship only</w:t>
      </w:r>
    </w:p>
    <w:p>
      <w:pPr>
        <w:pStyle w:val="Heading2"/>
      </w:pPr>
      <w:r>
        <w:t>275.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possible relationship only</w:t>
      </w:r>
    </w:p>
    <w:p>
      <w:pPr>
        <w:pStyle w:val="Heading2"/>
      </w:pPr>
      <w:r>
        <w:t>276. Claim + two later sources: Long-Term Hydrocarbon Trade Options for the Maghreb Region and Europe—Renewable Energy Based Synthetic Fuels for a Net Zero Emissions World</w:t>
      </w:r>
    </w:p>
    <w:p>
      <w:pPr>
        <w:pStyle w:val="SourceNote"/>
      </w:pPr>
      <w:r>
        <w:rPr>
          <w:b/>
        </w:rPr>
        <w:t>Group ID:</w:t>
      </w:r>
      <w:r>
        <w:t xml:space="preserve"> group-7507f111ce25babd30da</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An Improved Spatiotemporal Weighted Mean Temperature Model over Europe Based on the Nonlinear Least Squares Estimation Method — https://doi.org/10.3390/rs14153609</w:t>
      </w:r>
    </w:p>
    <w:p>
      <w:pPr/>
      <w:r>
        <w:rPr>
          <w:b/>
        </w:rPr>
        <w:t>Later source:</w:t>
      </w:r>
      <w:r>
        <w:t xml:space="preserve"> Does it pay to be environmentally responsible? Investigating the effect on the weighted average cost of capital — https://doi.org/10.1002/csr.2164</w:t>
      </w:r>
    </w:p>
    <w:p>
      <w:pPr>
        <w:pStyle w:val="SourceNote"/>
      </w:pPr>
      <w:r>
        <w:rPr>
          <w:b/>
        </w:rPr>
        <w:t>Review status:</w:t>
      </w:r>
      <w:r>
        <w:t xml:space="preserve"> unchecked — possible relationship only</w:t>
      </w:r>
    </w:p>
    <w:p>
      <w:pPr>
        <w:pStyle w:val="Heading2"/>
      </w:pPr>
      <w:r>
        <w:t>277. Claim + two later sources: Exploring the Future of Universities Through Experimental Foresight</w:t>
      </w:r>
    </w:p>
    <w:p>
      <w:pPr>
        <w:pStyle w:val="SourceNote"/>
      </w:pPr>
      <w:r>
        <w:rPr>
          <w:b/>
        </w:rPr>
        <w:t>Group ID:</w:t>
      </w:r>
      <w:r>
        <w:t xml:space="preserve"> group-f271df44074c235a7f21</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Becoming a forerunner in foresight : Key elements of success in organizational foresight — https://openalex.org/W3175285991</w:t>
      </w:r>
    </w:p>
    <w:p>
      <w:pPr/>
      <w:r>
        <w:rPr>
          <w:b/>
        </w:rPr>
        <w:t>Later source:</w:t>
      </w:r>
      <w:r>
        <w:t xml:space="preserve"> Creativity, proactivity, and foresight — https://doi.org/10.1016/j.techfore.2021.121215</w:t>
      </w:r>
    </w:p>
    <w:p>
      <w:pPr>
        <w:pStyle w:val="SourceNote"/>
      </w:pPr>
      <w:r>
        <w:rPr>
          <w:b/>
        </w:rPr>
        <w:t>Review status:</w:t>
      </w:r>
      <w:r>
        <w:t xml:space="preserve"> unchecked — possible relationship only</w:t>
      </w:r>
    </w:p>
    <w:p>
      <w:pPr>
        <w:pStyle w:val="Heading2"/>
      </w:pPr>
      <w:r>
        <w:t>278. Claim + two later sources: Time banks, co-production and foresight: intertwined towards an alternative future</w:t>
      </w:r>
    </w:p>
    <w:p>
      <w:pPr>
        <w:pStyle w:val="SourceNote"/>
      </w:pPr>
      <w:r>
        <w:rPr>
          <w:b/>
        </w:rPr>
        <w:t>Group ID:</w:t>
      </w:r>
      <w:r>
        <w:t xml:space="preserve"> group-4f821bd3426036aefc52</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Willingness, motivators and barriers to time bank participation: A scoping review — https://doi.org/10.1371/journal.pone.0322760</w:t>
      </w:r>
    </w:p>
    <w:p>
      <w:pPr>
        <w:pStyle w:val="SourceNote"/>
      </w:pPr>
      <w:r>
        <w:rPr>
          <w:b/>
        </w:rPr>
        <w:t>Review status:</w:t>
      </w:r>
      <w:r>
        <w:t xml:space="preserve"> unchecked — possible relationship only</w:t>
      </w:r>
    </w:p>
    <w:p>
      <w:pPr>
        <w:pStyle w:val="Heading2"/>
      </w:pPr>
      <w:r>
        <w:t>279.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possible relationship only</w:t>
      </w:r>
    </w:p>
    <w:p>
      <w:pPr>
        <w:pStyle w:val="Heading2"/>
      </w:pPr>
      <w:r>
        <w:t>280. Claim + two later sources: Charging the future: Roadmaps and value tensions for mainstreaming prosumerism to 2030 and 2050</w:t>
      </w:r>
    </w:p>
    <w:p>
      <w:pPr>
        <w:pStyle w:val="SourceNote"/>
      </w:pPr>
      <w:r>
        <w:rPr>
          <w:b/>
        </w:rPr>
        <w:t>Group ID:</w:t>
      </w:r>
      <w:r>
        <w:t xml:space="preserve"> group-df3236ee1b2d1d62bb5c</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Discrimination of two-highlight versus single-highlight phantom echoes by bottlenose dolphins ( Tursiops truncatus ) — https://doi.org/10.1121/10.0043763</w:t>
      </w:r>
    </w:p>
    <w:p>
      <w:pPr/>
      <w:r>
        <w:rPr>
          <w:b/>
        </w:rPr>
        <w:t>Later source:</w:t>
      </w:r>
      <w:r>
        <w:t xml:space="preserve"> Three-dimensional third medium contact model for hyperelastic contact and pneumatically actuated systems — https://doi.org/10.48550/arxiv.2512.03181</w:t>
      </w:r>
    </w:p>
    <w:p>
      <w:pPr>
        <w:pStyle w:val="SourceNote"/>
      </w:pPr>
      <w:r>
        <w:rPr>
          <w:b/>
        </w:rPr>
        <w:t>Review status:</w:t>
      </w:r>
      <w:r>
        <w:t xml:space="preserve"> unchecked — possible relationship only</w:t>
      </w:r>
    </w:p>
    <w:p>
      <w:pPr>
        <w:pStyle w:val="Heading2"/>
      </w:pPr>
      <w:r>
        <w:t>281. Claim + two later sources: Organic farming in the European Union – perspectives for 2030</w:t>
      </w:r>
    </w:p>
    <w:p>
      <w:pPr>
        <w:pStyle w:val="SourceNote"/>
      </w:pPr>
      <w:r>
        <w:rPr>
          <w:b/>
        </w:rPr>
        <w:t>Group ID:</w:t>
      </w:r>
      <w:r>
        <w:t xml:space="preserve"> group-6c4a9d9cab90bb846055</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The Scramble for Europe — https://doi.org/10.1093/9780197781470.001.0001</w:t>
      </w:r>
    </w:p>
    <w:p>
      <w:pPr/>
      <w:r>
        <w:rPr>
          <w:b/>
        </w:rPr>
        <w:t>Later source:</w:t>
      </w:r>
      <w:r>
        <w:t xml:space="preserve"> The Role of the European Commission in Soil Protection in the European Union — https://doi.org/10.54515/lcp.2025.1.149-159</w:t>
      </w:r>
    </w:p>
    <w:p>
      <w:pPr>
        <w:pStyle w:val="SourceNote"/>
      </w:pPr>
      <w:r>
        <w:rPr>
          <w:b/>
        </w:rPr>
        <w:t>Review status:</w:t>
      </w:r>
      <w:r>
        <w:t xml:space="preserve"> unchecked — possible relationship only</w:t>
      </w:r>
    </w:p>
    <w:p>
      <w:pPr>
        <w:pStyle w:val="Heading2"/>
      </w:pPr>
      <w:r>
        <w:t>282.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group-796e17de2270e6385311</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Robust data integration methods for understanding associations between climate change and hantavirus infection in Europe are needed: A systematic-narrative hybrid literature review — https://doi.org/10.1016/j.envc.2026.101486</w:t>
      </w:r>
    </w:p>
    <w:p>
      <w:pPr/>
      <w:r>
        <w:rPr>
          <w:b/>
        </w:rPr>
        <w:t>Later source:</w:t>
      </w:r>
      <w:r>
        <w:t xml:space="preserve"> Climate Change Threatens Micronutrient Density of European Winter Wheat — https://doi.org/10.1002/advs.202513322</w:t>
      </w:r>
    </w:p>
    <w:p>
      <w:pPr>
        <w:pStyle w:val="SourceNote"/>
      </w:pPr>
      <w:r>
        <w:rPr>
          <w:b/>
        </w:rPr>
        <w:t>Review status:</w:t>
      </w:r>
      <w:r>
        <w:t xml:space="preserve"> unchecked — possible relationship only</w:t>
      </w:r>
    </w:p>
    <w:p>
      <w:pPr>
        <w:pStyle w:val="Heading2"/>
      </w:pPr>
      <w:r>
        <w:t>283. Claim + two later sources: Estimation and Forecasts for the Share of Renewable Energy Consumption in Final Energy Consumption by 2020 in the European Union</w:t>
      </w:r>
    </w:p>
    <w:p>
      <w:pPr>
        <w:pStyle w:val="SourceNote"/>
      </w:pPr>
      <w:r>
        <w:rPr>
          <w:b/>
        </w:rPr>
        <w:t>Group ID:</w:t>
      </w:r>
      <w:r>
        <w:t xml:space="preserve"> group-239e80810c56621410f4</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European Economic Forecast — https://doi.org/10.2765/0071034</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possible relationship only</w:t>
      </w:r>
    </w:p>
    <w:p>
      <w:pPr>
        <w:pStyle w:val="Heading2"/>
      </w:pPr>
      <w:r>
        <w:t>284.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285. Claim + two later sources: EUROPEAN UNION STRATEGIC AUTONOMY IN THE CONTEXT OF THE CONFERENCE ON THE FUTURE OF EUROPE</w:t>
      </w:r>
    </w:p>
    <w:p>
      <w:pPr>
        <w:pStyle w:val="SourceNote"/>
      </w:pPr>
      <w:r>
        <w:rPr>
          <w:b/>
        </w:rPr>
        <w:t>Group ID:</w:t>
      </w:r>
      <w:r>
        <w:t xml:space="preserve"> group-86103db568027b42ddf1</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Legal, Ethical, and Social Issues of AI and Law Enforcement in Europe — https://doi.org/10.1017/9781009367783.022</w:t>
      </w:r>
    </w:p>
    <w:p>
      <w:pPr/>
      <w:r>
        <w:rPr>
          <w:b/>
        </w:rPr>
        <w:t>Later source:</w:t>
      </w:r>
      <w:r>
        <w:t xml:space="preserve"> The European Union Development Policy and Achieving Sustainable Development Goals (SDGs) of the United Nations — https://doi.org/10.4018/979-8-3693-1742-6.ch020</w:t>
      </w:r>
    </w:p>
    <w:p>
      <w:pPr>
        <w:pStyle w:val="SourceNote"/>
      </w:pPr>
      <w:r>
        <w:rPr>
          <w:b/>
        </w:rPr>
        <w:t>Review status:</w:t>
      </w:r>
      <w:r>
        <w:t xml:space="preserve"> unchecked — possible relationship only</w:t>
      </w:r>
    </w:p>
    <w:p>
      <w:pPr>
        <w:pStyle w:val="Heading2"/>
      </w:pPr>
      <w:r>
        <w:t>286. Claim + two later sources: Assessing Energy Descent Scenarios for the Ecological Transition in Spain 2020–2030</w:t>
      </w:r>
    </w:p>
    <w:p>
      <w:pPr>
        <w:pStyle w:val="SourceNote"/>
      </w:pPr>
      <w:r>
        <w:rPr>
          <w:b/>
        </w:rPr>
        <w:t>Group ID:</w:t>
      </w:r>
      <w:r>
        <w:t xml:space="preserve"> group-e0e1fc1747d780ce6873</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Predictiveness and drivers of highly pathogenic avian influenza outbreaks in Europe — https://doi.org/10.1038/s41598-025-04624-x</w:t>
      </w:r>
    </w:p>
    <w:p>
      <w:pPr/>
      <w:r>
        <w:rPr>
          <w:b/>
        </w:rPr>
        <w:t>Later source:</w:t>
      </w:r>
      <w:r>
        <w:t xml:space="preserve"> Climate and host plant availability are favourable to the establishment of Lycorma delicatula in Europe — https://doi.org/10.1111/afe.12665</w:t>
      </w:r>
    </w:p>
    <w:p>
      <w:pPr>
        <w:pStyle w:val="SourceNote"/>
      </w:pPr>
      <w:r>
        <w:rPr>
          <w:b/>
        </w:rPr>
        <w:t>Review status:</w:t>
      </w:r>
      <w:r>
        <w:t xml:space="preserve"> unchecked — possible relationship only</w:t>
      </w:r>
    </w:p>
    <w:p>
      <w:pPr>
        <w:pStyle w:val="Heading2"/>
      </w:pPr>
      <w:r>
        <w:t>287. Claim + two later sources: Future prospects for personal security in travel by public transport</w:t>
      </w:r>
    </w:p>
    <w:p>
      <w:pPr>
        <w:pStyle w:val="SourceNote"/>
      </w:pPr>
      <w:r>
        <w:rPr>
          <w:b/>
        </w:rPr>
        <w:t>Group ID:</w:t>
      </w:r>
      <w:r>
        <w:t xml:space="preserve"> group-b449cb44296e9f0e0dc8</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The Tension of Retention and Retirement: A Narrative Study of Full-Time Nursing Faculty Within Five Years of Retirement at Public, Four-Year Institutions in Texas — https://openalex.org/W7221400456</w:t>
      </w:r>
    </w:p>
    <w:p>
      <w:pPr/>
      <w:r>
        <w:rPr>
          <w:b/>
        </w:rPr>
        <w:t>Later source:</w:t>
      </w:r>
      <w:r>
        <w:t xml:space="preserve"> Time and Narrative in Augustine’s City of God and Confessions — https://openalex.org/W7217744295</w:t>
      </w:r>
    </w:p>
    <w:p>
      <w:pPr>
        <w:pStyle w:val="SourceNote"/>
      </w:pPr>
      <w:r>
        <w:rPr>
          <w:b/>
        </w:rPr>
        <w:t>Review status:</w:t>
      </w:r>
      <w:r>
        <w:t xml:space="preserve"> unchecked — possible relationship only</w:t>
      </w:r>
    </w:p>
    <w:p>
      <w:pPr>
        <w:pStyle w:val="Heading2"/>
      </w:pPr>
      <w:r>
        <w:t>288. Claim + two later sources: Past and Future Trends in Refugee Migration on the Regional Level in Germany – An Analysis and Projection of Labor Market Effects</w:t>
      </w:r>
    </w:p>
    <w:p>
      <w:pPr>
        <w:pStyle w:val="SourceNote"/>
      </w:pPr>
      <w:r>
        <w:rPr>
          <w:b/>
        </w:rPr>
        <w:t>Group ID:</w:t>
      </w:r>
      <w:r>
        <w:t xml:space="preserve"> group-66650c41d7ecf395bf4a</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289. Claim + two later sources: The EU Decarbonisation Roadmap 2050—What way to walk?</w:t>
      </w:r>
    </w:p>
    <w:p>
      <w:pPr>
        <w:pStyle w:val="SourceNote"/>
      </w:pPr>
      <w:r>
        <w:rPr>
          <w:b/>
        </w:rPr>
        <w:t>Group ID:</w:t>
      </w:r>
      <w:r>
        <w:t xml:space="preserve"> group-6fcc95e031c2804c367d</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The clean development mechanism in Eastern Europe: an in-depth exploration — https://doi.org/10.1007/s11356-022-20988-3</w:t>
      </w:r>
    </w:p>
    <w:p>
      <w:pPr/>
      <w:r>
        <w:rPr>
          <w:b/>
        </w:rPr>
        <w:t>Later source:</w:t>
      </w:r>
      <w:r>
        <w:t xml:space="preserve"> 2014 European guideline on the management of syphilis — https://doi.org/10.1111/jdv.12734</w:t>
      </w:r>
    </w:p>
    <w:p>
      <w:pPr>
        <w:pStyle w:val="SourceNote"/>
      </w:pPr>
      <w:r>
        <w:rPr>
          <w:b/>
        </w:rPr>
        <w:t>Review status:</w:t>
      </w:r>
      <w:r>
        <w:t xml:space="preserve"> unchecked — possible relationship only</w:t>
      </w:r>
    </w:p>
    <w:p>
      <w:pPr>
        <w:pStyle w:val="Heading2"/>
      </w:pPr>
      <w:r>
        <w:t>290. Claim + two later sources: Food futures: system transitions towards UK food security</w:t>
      </w:r>
    </w:p>
    <w:p>
      <w:pPr>
        <w:pStyle w:val="SourceNote"/>
      </w:pPr>
      <w:r>
        <w:rPr>
          <w:b/>
        </w:rPr>
        <w:t>Group ID:</w:t>
      </w:r>
      <w:r>
        <w:t xml:space="preserve"> group-8f1d23a72887ff784beb</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Carbon capture and utilization under EU law: impermanent storage of CO2 in products and pre-combustion carbon capture — https://doi.org/10.1093/jwelb/jwae009</w:t>
      </w:r>
    </w:p>
    <w:p>
      <w:pPr/>
      <w:r>
        <w:rPr>
          <w:b/>
        </w:rPr>
        <w:t>Later source:</w:t>
      </w:r>
      <w:r>
        <w:t xml:space="preserve"> Article 89 — https://doi.org/10.1093/law/9780192864536.003.0110</w:t>
      </w:r>
    </w:p>
    <w:p>
      <w:pPr>
        <w:pStyle w:val="SourceNote"/>
      </w:pPr>
      <w:r>
        <w:rPr>
          <w:b/>
        </w:rPr>
        <w:t>Review status:</w:t>
      </w:r>
      <w:r>
        <w:t xml:space="preserve"> unchecked — possible relationship only</w:t>
      </w:r>
    </w:p>
    <w:p>
      <w:pPr>
        <w:pStyle w:val="Heading2"/>
      </w:pPr>
      <w:r>
        <w:t>291. Claim + two later sources: Scenario forecasting of consumption of main organic livestock products in Ukraine</w:t>
      </w:r>
    </w:p>
    <w:p>
      <w:pPr>
        <w:pStyle w:val="SourceNote"/>
      </w:pPr>
      <w:r>
        <w:rPr>
          <w:b/>
        </w:rPr>
        <w:t>Group ID:</w:t>
      </w:r>
      <w:r>
        <w:t xml:space="preserve"> group-f92096c410fd373c1157</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Influence of Multidrug Resistance 1 Gene Variants on Response to Intravenous Methylprednisolone Pulse in Systemic Lupus Erythematosus Patients: Preliminary Results — https://doi.org/10.2174/0115733971345970241107114732</w:t>
      </w:r>
    </w:p>
    <w:p>
      <w:pPr/>
      <w:r>
        <w:rPr>
          <w:b/>
        </w:rPr>
        <w:t>Later source:</w:t>
      </w:r>
      <w:r>
        <w:t xml:space="preserve"> Systemic effects of hypophosphatasia characterization of two novel variants in the ALPL gene — https://doi.org/10.3389/fendo.2023.1320516</w:t>
      </w:r>
    </w:p>
    <w:p>
      <w:pPr>
        <w:pStyle w:val="SourceNote"/>
      </w:pPr>
      <w:r>
        <w:rPr>
          <w:b/>
        </w:rPr>
        <w:t>Review status:</w:t>
      </w:r>
      <w:r>
        <w:t xml:space="preserve"> unchecked — possible relationship only</w:t>
      </w:r>
    </w:p>
    <w:p>
      <w:pPr>
        <w:pStyle w:val="Heading2"/>
      </w:pPr>
      <w:r>
        <w:t>292. Claim + two later sources: European electricity sector decarbonization under different levels of foresight</w:t>
      </w:r>
    </w:p>
    <w:p>
      <w:pPr>
        <w:pStyle w:val="SourceNote"/>
      </w:pPr>
      <w:r>
        <w:rPr>
          <w:b/>
        </w:rPr>
        <w:t>Group ID:</w:t>
      </w:r>
      <w:r>
        <w:t xml:space="preserve"> group-3cc191e10f147b1fc256</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The European Union and the Wider Europe — https://doi.org/10.1017/9781009230322.017</w:t>
      </w:r>
    </w:p>
    <w:p>
      <w:pPr/>
      <w:r>
        <w:rPr>
          <w:b/>
        </w:rPr>
        <w:t>Later source:</w:t>
      </w:r>
      <w:r>
        <w:t xml:space="preserve"> European Integration and the Treaties on European Union — https://doi.org/10.1017/9781009230322.008</w:t>
      </w:r>
    </w:p>
    <w:p>
      <w:pPr>
        <w:pStyle w:val="SourceNote"/>
      </w:pPr>
      <w:r>
        <w:rPr>
          <w:b/>
        </w:rPr>
        <w:t>Review status:</w:t>
      </w:r>
      <w:r>
        <w:t xml:space="preserve"> unchecked — possible relationship only</w:t>
      </w:r>
    </w:p>
    <w:p>
      <w:pPr>
        <w:pStyle w:val="Heading2"/>
      </w:pPr>
      <w:r>
        <w:t>293. Claim + two later sources: New opportunities for future tourism after 25 years of political and socioeconomic transformation – foresight in Poland’s tourism planning</w:t>
      </w:r>
    </w:p>
    <w:p>
      <w:pPr>
        <w:pStyle w:val="SourceNote"/>
      </w:pPr>
      <w:r>
        <w:rPr>
          <w:b/>
        </w:rPr>
        <w:t>Group ID:</w:t>
      </w:r>
      <w:r>
        <w:t xml:space="preserve"> group-c675d1f067ffbd73bd80</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From the Single European Act to the One Europe, One Market Agenda. — https://doi.org/10.22370/pe.2026.20.5851</w:t>
      </w:r>
    </w:p>
    <w:p>
      <w:pPr/>
      <w:r>
        <w:rPr>
          <w:b/>
        </w:rPr>
        <w:t>Later source:</w:t>
      </w:r>
      <w:r>
        <w:t xml:space="preserve"> The Main Concerns towards the European Union that Led the British to Vote for Brexit — https://doi.org/10.2478/eustu-2024-0008</w:t>
      </w:r>
    </w:p>
    <w:p>
      <w:pPr>
        <w:pStyle w:val="SourceNote"/>
      </w:pPr>
      <w:r>
        <w:rPr>
          <w:b/>
        </w:rPr>
        <w:t>Review status:</w:t>
      </w:r>
      <w:r>
        <w:t xml:space="preserve"> unchecked — possible relationship only</w:t>
      </w:r>
    </w:p>
    <w:p>
      <w:pPr>
        <w:pStyle w:val="Heading2"/>
      </w:pPr>
      <w:r>
        <w:t>294. Claim + two later sources: Central-East European employees on the labour market of London</w:t>
      </w:r>
    </w:p>
    <w:p>
      <w:pPr>
        <w:pStyle w:val="SourceNote"/>
      </w:pPr>
      <w:r>
        <w:rPr>
          <w:b/>
        </w:rPr>
        <w:t>Group ID:</w:t>
      </w:r>
      <w:r>
        <w:t xml:space="preserve"> group-2498258cbe36ea96e1e4</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THEORETICAL AND PRACTICAL ASPECTS REGARDING THE ISSUANCE OF EUROPEAN INVESTIGATION ORDER — https://openalex.org/W4365816987</w:t>
      </w:r>
    </w:p>
    <w:p>
      <w:pPr/>
      <w:r>
        <w:rPr>
          <w:b/>
        </w:rPr>
        <w:t>Later source:</w:t>
      </w:r>
      <w:r>
        <w:t xml:space="preserve"> Practical Implications From European Hospital Pharmacists on Prospective Risk Assessment for Medicine Shortages — https://doi.org/10.3389/fmed.2020.00407</w:t>
      </w:r>
    </w:p>
    <w:p>
      <w:pPr>
        <w:pStyle w:val="SourceNote"/>
      </w:pPr>
      <w:r>
        <w:rPr>
          <w:b/>
        </w:rPr>
        <w:t>Review status:</w:t>
      </w:r>
      <w:r>
        <w:t xml:space="preserve"> unchecked — possible relationship only</w:t>
      </w:r>
    </w:p>
    <w:p>
      <w:pPr>
        <w:pStyle w:val="Heading2"/>
      </w:pPr>
      <w:r>
        <w:t>295. Claim + two later sources: Scenarios of Automated Mobility in Austria: Implications for Future Transport Policy</w:t>
      </w:r>
    </w:p>
    <w:p>
      <w:pPr>
        <w:pStyle w:val="SourceNote"/>
      </w:pPr>
      <w:r>
        <w:rPr>
          <w:b/>
        </w:rPr>
        <w:t>Group ID:</w:t>
      </w:r>
      <w:r>
        <w:t xml:space="preserve"> group-00dbf2b9c736569ded82</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Attribution of flood impacts shows strong benefits of adaptation in Europe since 1950 — https://doi.org/10.1126/sciadv.adt7068</w:t>
      </w:r>
    </w:p>
    <w:p>
      <w:pPr>
        <w:pStyle w:val="SourceNote"/>
      </w:pPr>
      <w:r>
        <w:rPr>
          <w:b/>
        </w:rPr>
        <w:t>Review status:</w:t>
      </w:r>
      <w:r>
        <w:t xml:space="preserve"> unchecked — possible relationship only</w:t>
      </w:r>
    </w:p>
    <w:p>
      <w:pPr>
        <w:pStyle w:val="Heading2"/>
      </w:pPr>
      <w:r>
        <w:t>296. Claim + two later sources: Long term impact of residue management on soil organic carbon stocks and nitrous oxide emissions from European croplands</w:t>
      </w:r>
    </w:p>
    <w:p>
      <w:pPr>
        <w:pStyle w:val="SourceNote"/>
      </w:pPr>
      <w:r>
        <w:rPr>
          <w:b/>
        </w:rPr>
        <w:t>Group ID:</w:t>
      </w:r>
      <w:r>
        <w:t xml:space="preserve"> group-dcea2bc5111b3fe1a165</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Biophysical climate responses to albedo management for wheat residue retention, cover crops, and pale wheat across European croplands — https://doi.org/10.5194/egusphere-egu26-9895</w:t>
      </w:r>
    </w:p>
    <w:p>
      <w:pPr/>
      <w:r>
        <w:rPr>
          <w:b/>
        </w:rPr>
        <w:t>Later source:</w:t>
      </w:r>
      <w:r>
        <w:t xml:space="preserve"> Associations between landscape-scale cereal residue management and local biodiversity in Europe — https://doi.org/10.1016/j.agee.2026.110664</w:t>
      </w:r>
    </w:p>
    <w:p>
      <w:pPr>
        <w:pStyle w:val="SourceNote"/>
      </w:pPr>
      <w:r>
        <w:rPr>
          <w:b/>
        </w:rPr>
        <w:t>Review status:</w:t>
      </w:r>
      <w:r>
        <w:t xml:space="preserve"> unchecked — possible relationship only</w:t>
      </w:r>
    </w:p>
    <w:p>
      <w:pPr>
        <w:pStyle w:val="Heading2"/>
      </w:pPr>
      <w:r>
        <w:t>297. Claim + two later sources: Renewables in the European power system and the impact on system rotational inertia</w:t>
      </w:r>
    </w:p>
    <w:p>
      <w:pPr>
        <w:pStyle w:val="SourceNote"/>
      </w:pPr>
      <w:r>
        <w:rPr>
          <w:b/>
        </w:rPr>
        <w:t>Group ID:</w:t>
      </w:r>
      <w:r>
        <w:t xml:space="preserve"> group-c9587ffef6218db158a0</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ETS Price Signal in the Power Sector: Evidence on Decarbonisation and Policy Overlap — https://doi.org/10.32388/iogu7j</w:t>
      </w:r>
    </w:p>
    <w:p>
      <w:pPr/>
      <w:r>
        <w:rPr>
          <w:b/>
        </w:rPr>
        <w:t>Later source:</w:t>
      </w:r>
      <w:r>
        <w:t xml:space="preserve"> Discourse vs. Decarbonisation: Tracking the Alignment Between EU Climate Rhetoric and National Energy Patterns — https://doi.org/10.3390/en18195304</w:t>
      </w:r>
    </w:p>
    <w:p>
      <w:pPr>
        <w:pStyle w:val="SourceNote"/>
      </w:pPr>
      <w:r>
        <w:rPr>
          <w:b/>
        </w:rPr>
        <w:t>Review status:</w:t>
      </w:r>
      <w:r>
        <w:t xml:space="preserve"> unchecked — possible relationship only</w:t>
      </w:r>
    </w:p>
    <w:p>
      <w:pPr>
        <w:pStyle w:val="Heading2"/>
      </w:pPr>
      <w:r>
        <w:t>298. Claim + two later sources: Assessing the prospective resource base for enhanced geothermal systems in Europe</w:t>
      </w:r>
    </w:p>
    <w:p>
      <w:pPr>
        <w:pStyle w:val="SourceNote"/>
      </w:pPr>
      <w:r>
        <w:rPr>
          <w:b/>
        </w:rPr>
        <w:t>Group ID:</w:t>
      </w:r>
      <w:r>
        <w:t xml:space="preserve"> group-330faab070b85a7e0a04</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EGS development in Europe based on operational geothermal projects — https://doi.org/10.1201/9781003271475-2</w:t>
      </w:r>
    </w:p>
    <w:p>
      <w:pPr>
        <w:pStyle w:val="SourceNote"/>
      </w:pPr>
      <w:r>
        <w:rPr>
          <w:b/>
        </w:rPr>
        <w:t>Review status:</w:t>
      </w:r>
      <w:r>
        <w:t xml:space="preserve"> unchecked — possible relationship only</w:t>
      </w:r>
    </w:p>
    <w:p>
      <w:pPr>
        <w:pStyle w:val="Heading2"/>
      </w:pPr>
      <w:r>
        <w:t>299.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300. Claim + two later sources: Scenario planning as communicative action: Lessons from participatory exercises conducted for the Scottish livestock industry</w:t>
      </w:r>
    </w:p>
    <w:p>
      <w:pPr>
        <w:pStyle w:val="SourceNote"/>
      </w:pPr>
      <w:r>
        <w:rPr>
          <w:b/>
        </w:rPr>
        <w:t>Group ID:</w:t>
      </w:r>
      <w:r>
        <w:t xml:space="preserve"> group-a495d23f1cb58982fb8c</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Corporate Sustainability Adoption in the Hospitality Industry: A Case Study of Tourist Hotels in Sri Lanka — https://doi.org/10.47772/ijriss.2024.809007</w:t>
      </w:r>
    </w:p>
    <w:p>
      <w:pPr>
        <w:pStyle w:val="SourceNote"/>
      </w:pPr>
      <w:r>
        <w:rPr>
          <w:b/>
        </w:rPr>
        <w:t>Review status:</w:t>
      </w:r>
      <w:r>
        <w:t xml:space="preserve"> unchecked — possible relationship only</w:t>
      </w:r>
    </w:p>
    <w:p>
      <w:pPr>
        <w:pStyle w:val="Heading2"/>
      </w:pPr>
      <w:r>
        <w:t>301. Claim + two later sources: Toward Identification of the Priority Lines of Research in Nanotechnology on the Basis of the Technology Foresight NT for Podlaskie 2020</w:t>
      </w:r>
    </w:p>
    <w:p>
      <w:pPr>
        <w:pStyle w:val="SourceNote"/>
      </w:pPr>
      <w:r>
        <w:rPr>
          <w:b/>
        </w:rPr>
        <w:t>Group ID:</w:t>
      </w:r>
      <w:r>
        <w:t xml:space="preserve"> group-ffb5c12eaa3ae4542b49</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From Reaction to Foresight: EUPHA’s vision for health security in Europe — https://doi.org/10.1093/eurpub/ckaf071</w:t>
      </w:r>
    </w:p>
    <w:p>
      <w:pPr/>
      <w:r>
        <w:rPr>
          <w:b/>
        </w:rPr>
        <w:t>Later source:</w:t>
      </w:r>
      <w:r>
        <w:t xml:space="preserve"> Article: Project FORESIGHT and Return on Investment — https://doi.org/10.4324/9780429318528-14</w:t>
      </w:r>
    </w:p>
    <w:p>
      <w:pPr>
        <w:pStyle w:val="SourceNote"/>
      </w:pPr>
      <w:r>
        <w:rPr>
          <w:b/>
        </w:rPr>
        <w:t>Review status:</w:t>
      </w:r>
      <w:r>
        <w:t xml:space="preserve"> unchecked — possible relationship only</w:t>
      </w:r>
    </w:p>
    <w:p>
      <w:pPr>
        <w:pStyle w:val="Heading2"/>
      </w:pPr>
      <w:r>
        <w:t>302. Claim + two later sources: Foresight technologies of economic systems: evidence from the tourism sector of Ukraine</w:t>
      </w:r>
    </w:p>
    <w:p>
      <w:pPr>
        <w:pStyle w:val="SourceNote"/>
      </w:pPr>
      <w:r>
        <w:rPr>
          <w:b/>
        </w:rPr>
        <w:t>Group ID:</w:t>
      </w:r>
      <w:r>
        <w:t xml:space="preserve"> group-9656dff343fc15e7eb8d</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Criminal Liability Arising from the Use of Artificial Intelligence Applications — https://doi.org/10.5281/zenodo.19810638</w:t>
      </w:r>
    </w:p>
    <w:p>
      <w:pPr/>
      <w:r>
        <w:rPr>
          <w:b/>
        </w:rPr>
        <w:t>Later source:</w:t>
      </w:r>
      <w:r>
        <w:t xml:space="preserve"> THE CHARACTERISTICS OF LOSSES ARISING FROM THE MISUSE OF DEBTORS' PERSONAL DATA IN ONLINE LENDING AGREEMENTS — https://doi.org/10.28946/lexl.v8i1.3827</w:t>
      </w:r>
    </w:p>
    <w:p>
      <w:pPr>
        <w:pStyle w:val="SourceNote"/>
      </w:pPr>
      <w:r>
        <w:rPr>
          <w:b/>
        </w:rPr>
        <w:t>Review status:</w:t>
      </w:r>
      <w:r>
        <w:t xml:space="preserve"> unchecked — possible relationship only</w:t>
      </w:r>
    </w:p>
    <w:p>
      <w:pPr>
        <w:pStyle w:val="Heading2"/>
      </w:pPr>
      <w:r>
        <w:t>303. Claim + two later sources: The Dutch Public Health Foresight Study 2018: an example of a comprehensive foresight exercise</w:t>
      </w:r>
    </w:p>
    <w:p>
      <w:pPr>
        <w:pStyle w:val="SourceNote"/>
      </w:pPr>
      <w:r>
        <w:rPr>
          <w:b/>
        </w:rPr>
        <w:t>Group ID:</w:t>
      </w:r>
      <w:r>
        <w:t xml:space="preserve"> group-bc0af2a3eae6e562e902</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Short-term thinking, long-term costs: How managerial myopia undermines green innovation — https://doi.org/10.4102/sajbm.v57i1.5337</w:t>
      </w:r>
    </w:p>
    <w:p>
      <w:pPr/>
      <w:r>
        <w:rPr>
          <w:b/>
        </w:rPr>
        <w:t>Later source:</w:t>
      </w:r>
      <w:r>
        <w:t xml:space="preserve"> Conclusions…and Beginnings — https://doi.org/10.4324/9781003733386-7</w:t>
      </w:r>
    </w:p>
    <w:p>
      <w:pPr>
        <w:pStyle w:val="SourceNote"/>
      </w:pPr>
      <w:r>
        <w:rPr>
          <w:b/>
        </w:rPr>
        <w:t>Review status:</w:t>
      </w:r>
      <w:r>
        <w:t xml:space="preserve"> unchecked — possible relationship only</w:t>
      </w:r>
    </w:p>
    <w:p>
      <w:pPr>
        <w:pStyle w:val="Heading2"/>
      </w:pPr>
      <w:r>
        <w:t>304. Claim + two later sources: The future of the Mediterranean agri-food systems: Trends and perspectives from a Delphi survey</w:t>
      </w:r>
    </w:p>
    <w:p>
      <w:pPr>
        <w:pStyle w:val="SourceNote"/>
      </w:pPr>
      <w:r>
        <w:rPr>
          <w:b/>
        </w:rPr>
        <w:t>Group ID:</w:t>
      </w:r>
      <w:r>
        <w:t xml:space="preserve"> group-207d74d14fc87045bf09</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Identifying and Ranking the Eight Risks of AI for Each of the Six Main AI-Focused Fintech Business Models — https://doi.org/10.1007/978-3-032-18109-1_7</w:t>
      </w:r>
    </w:p>
    <w:p>
      <w:pPr/>
      <w:r>
        <w:rPr>
          <w:b/>
        </w:rPr>
        <w:t>Later source:</w:t>
      </w:r>
      <w:r>
        <w:t xml:space="preserve"> A Greedy First-Fit Heuristic for Reallocating Outpatient Surgeries from Main OR to Ambulatory Surgery Center — https://doi.org/10.46254/na11.20260153</w:t>
      </w:r>
    </w:p>
    <w:p>
      <w:pPr>
        <w:pStyle w:val="SourceNote"/>
      </w:pPr>
      <w:r>
        <w:rPr>
          <w:b/>
        </w:rPr>
        <w:t>Review status:</w:t>
      </w:r>
      <w:r>
        <w:t xml:space="preserve"> unchecked — possible relationship only</w:t>
      </w:r>
    </w:p>
    <w:p>
      <w:pPr>
        <w:pStyle w:val="Heading2"/>
      </w:pPr>
      <w:r>
        <w:t>305. Claim + two later sources: Implementing Dynamics of Immigration Integration in Labor Force Participation Projection in EU28</w:t>
      </w:r>
    </w:p>
    <w:p>
      <w:pPr>
        <w:pStyle w:val="SourceNote"/>
      </w:pPr>
      <w:r>
        <w:rPr>
          <w:b/>
        </w:rPr>
        <w:t>Group ID:</w:t>
      </w:r>
      <w:r>
        <w:t xml:space="preserve"> group-fdc3209370375e7fd674</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burden of informal family caregiving in Europe, 2000–2050: a microsimulation modelling study — https://doi.org/10.1016/j.lanepe.2025.101295</w:t>
      </w:r>
    </w:p>
    <w:p>
      <w:pPr/>
      <w:r>
        <w:rPr>
          <w:b/>
        </w:rPr>
        <w:t>Later source:</w:t>
      </w:r>
      <w:r>
        <w:t xml:space="preserve"> MicSim, a microsimulation model for population dynamics — https://doi.org/10.21203/rs.3.rs-2986170/v1</w:t>
      </w:r>
    </w:p>
    <w:p>
      <w:pPr>
        <w:pStyle w:val="SourceNote"/>
      </w:pPr>
      <w:r>
        <w:rPr>
          <w:b/>
        </w:rPr>
        <w:t>Review status:</w:t>
      </w:r>
      <w:r>
        <w:t xml:space="preserve"> unchecked — possible relationship only</w:t>
      </w:r>
    </w:p>
    <w:p>
      <w:pPr>
        <w:pStyle w:val="Heading2"/>
      </w:pPr>
      <w:r>
        <w:t>306. Claim + two later sources: Towards the European Union's Foreign Policy 2025 – Taking Stock of the Dahrendorf Foresight Project</w:t>
      </w:r>
    </w:p>
    <w:p>
      <w:pPr>
        <w:pStyle w:val="SourceNote"/>
      </w:pPr>
      <w:r>
        <w:rPr>
          <w:b/>
        </w:rPr>
        <w:t>Group ID:</w:t>
      </w:r>
      <w:r>
        <w:t xml:space="preserve"> group-40ed1f2c6c5dee0e3ef8</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Analysis of the current state of sewage sludge treatment from the perspective of current European directives — https://doi.org/10.1186/s12302-025-01097-7</w:t>
      </w:r>
    </w:p>
    <w:p>
      <w:pPr/>
      <w:r>
        <w:rPr>
          <w:b/>
        </w:rPr>
        <w:t>Later source:</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pStyle w:val="SourceNote"/>
      </w:pPr>
      <w:r>
        <w:rPr>
          <w:b/>
        </w:rPr>
        <w:t>Review status:</w:t>
      </w:r>
      <w:r>
        <w:t xml:space="preserve"> unchecked — possible relationship only</w:t>
      </w:r>
    </w:p>
    <w:p>
      <w:pPr>
        <w:pStyle w:val="Heading2"/>
      </w:pPr>
      <w:r>
        <w:t>307. Claim + two later sources: Prospects of labour migration pressure in Algeria, Morocco, Tunisia and Turkey</w:t>
      </w:r>
    </w:p>
    <w:p>
      <w:pPr>
        <w:pStyle w:val="SourceNote"/>
      </w:pPr>
      <w:r>
        <w:rPr>
          <w:b/>
        </w:rPr>
        <w:t>Group ID:</w:t>
      </w:r>
      <w:r>
        <w:t xml:space="preserve"> group-3b615ef855d121203731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A note on model selection using information criteria for general linear models estimated using REML — https://doi.org/10.1111/anzs.12254</w:t>
      </w:r>
    </w:p>
    <w:p>
      <w:pPr/>
      <w:r>
        <w:rPr>
          <w:b/>
        </w:rPr>
        <w:t>Later source:</w:t>
      </w:r>
      <w:r>
        <w:t xml:space="preserve"> AraVec: A set of Arabic Word Embedding Models for use in Arabic NLP — https://doi.org/10.1016/j.procs.2017.10.117</w:t>
      </w:r>
    </w:p>
    <w:p>
      <w:pPr>
        <w:pStyle w:val="SourceNote"/>
      </w:pPr>
      <w:r>
        <w:rPr>
          <w:b/>
        </w:rPr>
        <w:t>Review status:</w:t>
      </w:r>
      <w:r>
        <w:t xml:space="preserve"> unchecked — possible relationship only</w:t>
      </w:r>
    </w:p>
    <w:p>
      <w:pPr>
        <w:pStyle w:val="Heading2"/>
      </w:pPr>
      <w:r>
        <w:t>308.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309. Claim + two later sources: Health horizons: Future trends and technologies from the European Medicines Agency’s horizon scanning collaborations</w:t>
      </w:r>
    </w:p>
    <w:p>
      <w:pPr>
        <w:pStyle w:val="SourceNote"/>
      </w:pPr>
      <w:r>
        <w:rPr>
          <w:b/>
        </w:rPr>
        <w:t>Group ID:</w:t>
      </w:r>
      <w:r>
        <w:t xml:space="preserve"> group-c9e455213c90f38ff09e</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Artificial Intelligence for Regulatory Evidence: A Systematic Document Analysis of European Medicines Agency Regulatory Advice and Public Reports — https://doi.org/10.1002/cpt.70300</w:t>
      </w:r>
    </w:p>
    <w:p>
      <w:pPr>
        <w:pStyle w:val="SourceNote"/>
      </w:pPr>
      <w:r>
        <w:rPr>
          <w:b/>
        </w:rPr>
        <w:t>Review status:</w:t>
      </w:r>
      <w:r>
        <w:t xml:space="preserve"> unchecked — possible relationship only</w:t>
      </w:r>
    </w:p>
    <w:p>
      <w:pPr>
        <w:pStyle w:val="Heading2"/>
      </w:pPr>
      <w:r>
        <w:t>310. Claim + two later sources: The Public Health Status and Foresight report 2014: Four normative perspectives on a healthier Netherlands in 2040</w:t>
      </w:r>
    </w:p>
    <w:p>
      <w:pPr>
        <w:pStyle w:val="SourceNote"/>
      </w:pPr>
      <w:r>
        <w:rPr>
          <w:b/>
        </w:rPr>
        <w:t>Group ID:</w:t>
      </w:r>
      <w:r>
        <w:t xml:space="preserve"> group-10a54fca539fc39c8ef9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Editorial: European Optical Society Annual Meeting (EOSAM) 2023 — https://doi.org/10.1051/jeos/2024037</w:t>
      </w:r>
    </w:p>
    <w:p>
      <w:pPr>
        <w:pStyle w:val="SourceNote"/>
      </w:pPr>
      <w:r>
        <w:rPr>
          <w:b/>
        </w:rPr>
        <w:t>Review status:</w:t>
      </w:r>
      <w:r>
        <w:t xml:space="preserve"> unchecked — possible relationship only</w:t>
      </w:r>
    </w:p>
    <w:p>
      <w:pPr>
        <w:pStyle w:val="Heading2"/>
      </w:pPr>
      <w:r>
        <w:t>311. Claim + two later sources: Secular stagnation – are we stuck in Summers' long winter?</w:t>
      </w:r>
    </w:p>
    <w:p>
      <w:pPr>
        <w:pStyle w:val="SourceNote"/>
      </w:pPr>
      <w:r>
        <w:rPr>
          <w:b/>
        </w:rPr>
        <w:t>Group ID:</w:t>
      </w:r>
      <w:r>
        <w:t xml:space="preserve"> group-4f532d40a2f3fd0b5a7b</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Strong Inhibition of Ice Growth by Biomimetic Crowding Coacervates — https://doi.org/10.1002/anie.202311047</w:t>
      </w:r>
    </w:p>
    <w:p>
      <w:pPr/>
      <w:r>
        <w:rPr>
          <w:b/>
        </w:rPr>
        <w:t>Later source:</w:t>
      </w:r>
      <w:r>
        <w:t xml:space="preserve"> Morocco’s Quest for Stronger and Inclusive Growth — https://doi.org/10.5089/9798400225406.071</w:t>
      </w:r>
    </w:p>
    <w:p>
      <w:pPr>
        <w:pStyle w:val="SourceNote"/>
      </w:pPr>
      <w:r>
        <w:rPr>
          <w:b/>
        </w:rPr>
        <w:t>Review status:</w:t>
      </w:r>
      <w:r>
        <w:t xml:space="preserve"> unchecked — possible relationship only</w:t>
      </w:r>
    </w:p>
    <w:p>
      <w:pPr>
        <w:pStyle w:val="Heading2"/>
      </w:pPr>
      <w:r>
        <w:t>312.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group-4902d067c63189001a7d</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‘Learning lessons’: discussion, concluding thoughts and recommendations — https://doi.org/10.1332/policypress/9781447363385.003.0007</w:t>
      </w:r>
    </w:p>
    <w:p>
      <w:pPr>
        <w:pStyle w:val="SourceNote"/>
      </w:pPr>
      <w:r>
        <w:rPr>
          <w:b/>
        </w:rPr>
        <w:t>Review status:</w:t>
      </w:r>
      <w:r>
        <w:t xml:space="preserve"> unchecked — possible relationship only</w:t>
      </w:r>
    </w:p>
    <w:p>
      <w:pPr>
        <w:pStyle w:val="Heading2"/>
      </w:pPr>
      <w:r>
        <w:t>313. Claim + two later sources: (Re)politicization of climate change mitigating projects: environmental forms and motives of the Seine Nord Europe canal</w:t>
      </w:r>
    </w:p>
    <w:p>
      <w:pPr>
        <w:pStyle w:val="SourceNote"/>
      </w:pPr>
      <w:r>
        <w:rPr>
          <w:b/>
        </w:rPr>
        <w:t>Group ID:</w:t>
      </w:r>
      <w:r>
        <w:t xml:space="preserve"> group-189cafda90f8d6190dd4</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Place-based leadership and environmental conflicts in the European Union — https://doi.org/10.1080/00343404.2025.2486644</w:t>
      </w:r>
    </w:p>
    <w:p>
      <w:pPr/>
      <w:r>
        <w:rPr>
          <w:b/>
        </w:rPr>
        <w:t>Later source:</w:t>
      </w:r>
      <w:r>
        <w:t xml:space="preserve"> Environmental education on the European Green Deal. Implications and promotion of the concept through different channels in Romania — https://doi.org/10.33727/jriss.2025.1.20:193-203</w:t>
      </w:r>
    </w:p>
    <w:p>
      <w:pPr>
        <w:pStyle w:val="SourceNote"/>
      </w:pPr>
      <w:r>
        <w:rPr>
          <w:b/>
        </w:rPr>
        <w:t>Review status:</w:t>
      </w:r>
      <w:r>
        <w:t xml:space="preserve"> unchecked — possible relationship only</w:t>
      </w:r>
    </w:p>
    <w:p>
      <w:pPr>
        <w:pStyle w:val="Heading2"/>
      </w:pPr>
      <w:r>
        <w:t>314. Claim + two later sources: PROGNOZY WYDAJNOŚCI MLECZNEJ KRÓW W POLSCE I W UNII EUROPEJSKIEJ NA LATA 2030 I 2050</w:t>
      </w:r>
    </w:p>
    <w:p>
      <w:pPr>
        <w:pStyle w:val="SourceNote"/>
      </w:pPr>
      <w:r>
        <w:rPr>
          <w:b/>
        </w:rPr>
        <w:t>Group ID:</w:t>
      </w:r>
      <w:r>
        <w:t xml:space="preserve"> group-ee9b7c8bc8b96c0b1c89</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Lignocellulosic Crops in Europe: Integrating Crop Yield Potentials with Land Potentials — https://doi.org/10.6092/unibo/amsdottorato/7854</w:t>
      </w:r>
    </w:p>
    <w:p>
      <w:pPr>
        <w:pStyle w:val="SourceNote"/>
      </w:pPr>
      <w:r>
        <w:rPr>
          <w:b/>
        </w:rPr>
        <w:t>Review status:</w:t>
      </w:r>
      <w:r>
        <w:t xml:space="preserve"> unchecked — possible relationship only</w:t>
      </w:r>
    </w:p>
    <w:p>
      <w:pPr>
        <w:pStyle w:val="Heading2"/>
      </w:pPr>
      <w:r>
        <w:t>315.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316.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possible relationship only</w:t>
      </w:r>
    </w:p>
    <w:p>
      <w:pPr>
        <w:pStyle w:val="Heading2"/>
      </w:pPr>
      <w:r>
        <w:t>317. Claim + two later sources: Balancing GHG mitigation and land-use conflicts: Alternative Northern European energy system scenarios</w:t>
      </w:r>
    </w:p>
    <w:p>
      <w:pPr>
        <w:pStyle w:val="SourceNote"/>
      </w:pPr>
      <w:r>
        <w:rPr>
          <w:b/>
        </w:rPr>
        <w:t>Group ID:</w:t>
      </w:r>
      <w:r>
        <w:t xml:space="preserve"> group-681ec309809982c8974b</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Attribution of flood impacts shows strong benefits of adaptation in Europe since 1950 — https://doi.org/10.1126/sciadv.adt7068</w:t>
      </w:r>
    </w:p>
    <w:p>
      <w:pPr/>
      <w:r>
        <w:rPr>
          <w:b/>
        </w:rPr>
        <w:t>Later source:</w:t>
      </w:r>
      <w:r>
        <w:t xml:space="preserve"> Autarky penalty versus system cost effects for Europe of large-scale renewable energy imports from North Africa — https://doi.org/10.1016/j.esr.2023.101289</w:t>
      </w:r>
    </w:p>
    <w:p>
      <w:pPr>
        <w:pStyle w:val="SourceNote"/>
      </w:pPr>
      <w:r>
        <w:rPr>
          <w:b/>
        </w:rPr>
        <w:t>Review status:</w:t>
      </w:r>
      <w:r>
        <w:t xml:space="preserve"> unchecked — possible relationship only</w:t>
      </w:r>
    </w:p>
    <w:p>
      <w:pPr>
        <w:pStyle w:val="Heading2"/>
      </w:pPr>
      <w:r>
        <w:t>318.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319. Claim + two later sources: Scenarios for population health inequalities in 2030 in Europe: the EURO-HEALTHY project experience</w:t>
      </w:r>
    </w:p>
    <w:p>
      <w:pPr>
        <w:pStyle w:val="SourceNote"/>
      </w:pPr>
      <w:r>
        <w:rPr>
          <w:b/>
        </w:rPr>
        <w:t>Group ID:</w:t>
      </w:r>
      <w:r>
        <w:t xml:space="preserve"> group-b94b3fcb1dfdd11a8619</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Europe as a subject and object of epistemic reflection — https://doi.org/10.30574/wjarr.2025.27.1.2547</w:t>
      </w:r>
    </w:p>
    <w:p>
      <w:pPr>
        <w:pStyle w:val="SourceNote"/>
      </w:pPr>
      <w:r>
        <w:rPr>
          <w:b/>
        </w:rPr>
        <w:t>Review status:</w:t>
      </w:r>
      <w:r>
        <w:t xml:space="preserve"> unchecked — possible relationship only</w:t>
      </w:r>
    </w:p>
    <w:p>
      <w:pPr>
        <w:pStyle w:val="Heading2"/>
      </w:pPr>
      <w:r>
        <w:t>320. Claim + two later sources: Long-term scenarios for reaching climate targets and energy security in UK</w:t>
      </w:r>
    </w:p>
    <w:p>
      <w:pPr>
        <w:pStyle w:val="SourceNote"/>
      </w:pPr>
      <w:r>
        <w:rPr>
          <w:b/>
        </w:rPr>
        <w:t>Group ID:</w:t>
      </w:r>
      <w:r>
        <w:t xml:space="preserve"> group-e99d64b6114ea8fa8aa4</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Subgrid modelling for two-dimensional turbulence using neural networks — https://openalex.org/W3105245152</w:t>
      </w:r>
    </w:p>
    <w:p>
      <w:pPr/>
      <w:r>
        <w:rPr>
          <w:b/>
        </w:rPr>
        <w:t>Later source:</w:t>
      </w:r>
      <w:r>
        <w:t xml:space="preserve"> Subgrid modelling for two-dimensional turbulence using neural networks — https://doi.org/10.1017/jfm.2018.770</w:t>
      </w:r>
    </w:p>
    <w:p>
      <w:pPr>
        <w:pStyle w:val="SourceNote"/>
      </w:pPr>
      <w:r>
        <w:rPr>
          <w:b/>
        </w:rPr>
        <w:t>Review status:</w:t>
      </w:r>
      <w:r>
        <w:t xml:space="preserve"> unchecked — possible relationship only</w:t>
      </w:r>
    </w:p>
    <w:p>
      <w:pPr>
        <w:pStyle w:val="Heading2"/>
      </w:pPr>
      <w:r>
        <w:t>321. Claim + two later sources: How far away is hydrogen? Its role in the medium and long-term decarbonisation of the European energy system</w:t>
      </w:r>
    </w:p>
    <w:p>
      <w:pPr>
        <w:pStyle w:val="SourceNote"/>
      </w:pPr>
      <w:r>
        <w:rPr>
          <w:b/>
        </w:rPr>
        <w:t>Group ID:</w:t>
      </w:r>
      <w:r>
        <w:t xml:space="preserve"> group-f75b7cf8b32866ead73c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Monitoring the impact of EU F-gas regulation on HFC-134a emissions through a comparison of top-down and bottom-up estimates — https://doi.org/10.1186/s12302-025-01081-1</w:t>
      </w:r>
    </w:p>
    <w:p>
      <w:pPr/>
      <w:r>
        <w:rPr>
          <w:b/>
        </w:rPr>
        <w:t>Later source:</w:t>
      </w:r>
      <w:r>
        <w:t xml:space="preserve"> TIMES-Europe: An Integrated Energy System Model for Analyzing Europe’s Energy and Climate Challenges — https://doi.org/10.1007/s10666-024-09976-8</w:t>
      </w:r>
    </w:p>
    <w:p>
      <w:pPr>
        <w:pStyle w:val="SourceNote"/>
      </w:pPr>
      <w:r>
        <w:rPr>
          <w:b/>
        </w:rPr>
        <w:t>Review status:</w:t>
      </w:r>
      <w:r>
        <w:t xml:space="preserve"> unchecked — possible relationship only</w:t>
      </w:r>
    </w:p>
    <w:p>
      <w:pPr>
        <w:pStyle w:val="Heading2"/>
      </w:pPr>
      <w:r>
        <w:t>322. Claim + two later sources: Renewable and Sustainable Energy Transitions for Countries with Different Climates and Renewable Energy Sources Potentials</w:t>
      </w:r>
    </w:p>
    <w:p>
      <w:pPr>
        <w:pStyle w:val="SourceNote"/>
      </w:pPr>
      <w:r>
        <w:rPr>
          <w:b/>
        </w:rPr>
        <w:t>Group ID:</w:t>
      </w:r>
      <w:r>
        <w:t xml:space="preserve"> group-f00bf4ad38101740e4ae</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Developing a European Psychotherapy Consortium (EPoC): Towards adopting a single-item self-report outcome measure across European countries — https://doi.org/10.32872/cpe.13827</w:t>
      </w:r>
    </w:p>
    <w:p>
      <w:pPr/>
      <w:r>
        <w:rPr>
          <w:b/>
        </w:rPr>
        <w:t>Later source:</w:t>
      </w:r>
      <w:r>
        <w:t xml:space="preserve"> Understanding Public Support for European Protected Areas: A Review of the Literature and Proposing a New Approach for Policy Makers — https://doi.org/10.3390/land11050733</w:t>
      </w:r>
    </w:p>
    <w:p>
      <w:pPr>
        <w:pStyle w:val="SourceNote"/>
      </w:pPr>
      <w:r>
        <w:rPr>
          <w:b/>
        </w:rPr>
        <w:t>Review status:</w:t>
      </w:r>
      <w:r>
        <w:t xml:space="preserve"> unchecked — possible relationship only</w:t>
      </w:r>
    </w:p>
    <w:p>
      <w:pPr>
        <w:pStyle w:val="Heading2"/>
      </w:pPr>
      <w:r>
        <w:t>323. Claim + two later sources: Socio-technical transitions in UK electricity: part 1 – history, actors and pathways</w:t>
      </w:r>
    </w:p>
    <w:p>
      <w:pPr>
        <w:pStyle w:val="SourceNote"/>
      </w:pPr>
      <w:r>
        <w:rPr>
          <w:b/>
        </w:rPr>
        <w:t>Group ID:</w:t>
      </w:r>
      <w:r>
        <w:t xml:space="preserve"> group-b3361994a5273aef9a48</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Gender Norms and Leadership Exclusion with a Focus on Women’s Pathways to Power in Southern Nigeria — https://openalex.org/W7216889169</w:t>
      </w:r>
    </w:p>
    <w:p>
      <w:pPr>
        <w:pStyle w:val="SourceNote"/>
      </w:pPr>
      <w:r>
        <w:rPr>
          <w:b/>
        </w:rPr>
        <w:t>Review status:</w:t>
      </w:r>
      <w:r>
        <w:t xml:space="preserve"> unchecked — possible relationship only</w:t>
      </w:r>
    </w:p>
    <w:p>
      <w:pPr>
        <w:pStyle w:val="Heading2"/>
      </w:pPr>
      <w:r>
        <w:t>324. Claim + two later sources: THE EUROPEAN MIGRATION CRISIS – ECONOMIC AND POLITICAL FACTORS AND CHALLENGES FOR THE FUTURE</w:t>
      </w:r>
    </w:p>
    <w:p>
      <w:pPr>
        <w:pStyle w:val="SourceNote"/>
      </w:pPr>
      <w:r>
        <w:rPr>
          <w:b/>
        </w:rPr>
        <w:t>Group ID:</w:t>
      </w:r>
      <w:r>
        <w:t xml:space="preserve"> group-4f6544ac57dfe8c3bce7</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China-Central and Eastern European Countries Cooperation: Challenges and Restart — https://doi.org/10.18485/iipe_dijalozi_kina.2024.4.2.ch20</w:t>
      </w:r>
    </w:p>
    <w:p>
      <w:pPr/>
      <w:r>
        <w:rPr>
          <w:b/>
        </w:rPr>
        <w:t>Later source:</w:t>
      </w:r>
      <w:r>
        <w:t xml:space="preserve"> European IoT International Cooperation in Research and Innovation — https://doi.org/10.1201/9781003337966-10</w:t>
      </w:r>
    </w:p>
    <w:p>
      <w:pPr>
        <w:pStyle w:val="SourceNote"/>
      </w:pPr>
      <w:r>
        <w:rPr>
          <w:b/>
        </w:rPr>
        <w:t>Review status:</w:t>
      </w:r>
      <w:r>
        <w:t xml:space="preserve"> unchecked — possible relationship only</w:t>
      </w:r>
    </w:p>
    <w:p>
      <w:pPr>
        <w:pStyle w:val="Heading2"/>
      </w:pPr>
      <w:r>
        <w:t>325. Claim + two later sources: Future population ageing and productivity in Finland under different education and fertility scenarios</w:t>
      </w:r>
    </w:p>
    <w:p>
      <w:pPr>
        <w:pStyle w:val="SourceNote"/>
      </w:pPr>
      <w:r>
        <w:rPr>
          <w:b/>
        </w:rPr>
        <w:t>Group ID:</w:t>
      </w:r>
      <w:r>
        <w:t xml:space="preserve"> group-ad176a205e8f1780958f</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MULTIDIMENSIONAL LOCAL RESILIENCE – ANALYSIS OF ENVIRONMENTAL, DEMOGRAPHIC AND INFRASTRUCTURAL FACTORS — https://doi.org/10.29119/1641-3466.2026.244.3</w:t>
      </w:r>
    </w:p>
    <w:p>
      <w:pPr/>
      <w:r>
        <w:rPr>
          <w:b/>
        </w:rPr>
        <w:t>Later source:</w:t>
      </w:r>
      <w:r>
        <w:t xml:space="preserve"> Distinct profiles of free speech support and their demographic, ideological, and epistemic characteristics — https://doi.org/10.1016/j.paid.2026.114009</w:t>
      </w:r>
    </w:p>
    <w:p>
      <w:pPr>
        <w:pStyle w:val="SourceNote"/>
      </w:pPr>
      <w:r>
        <w:rPr>
          <w:b/>
        </w:rPr>
        <w:t>Review status:</w:t>
      </w:r>
      <w:r>
        <w:t xml:space="preserve"> unchecked — possible relationship only</w:t>
      </w:r>
    </w:p>
    <w:p>
      <w:pPr>
        <w:pStyle w:val="Heading2"/>
      </w:pPr>
      <w:r>
        <w:t>326. Claim + two later sources: Are the European manufacturing and energy sectors on track for achieving net-zero emissions in 2050? An empirical analysis</w:t>
      </w:r>
    </w:p>
    <w:p>
      <w:pPr>
        <w:pStyle w:val="SourceNote"/>
      </w:pPr>
      <w:r>
        <w:rPr>
          <w:b/>
        </w:rPr>
        <w:t>Group ID:</w:t>
      </w:r>
      <w:r>
        <w:t xml:space="preserve"> group-23348773ac49cbe7888a</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Achieving SDG 7 in the European Union: The Impact of Institutions and Macroeconomic Factors on Energy Conservation — https://doi.org/10.1002/sd.71042</w:t>
      </w:r>
    </w:p>
    <w:p>
      <w:pPr/>
      <w:r>
        <w:rPr>
          <w:b/>
        </w:rPr>
        <w:t>Later source:</w:t>
      </w:r>
      <w:r>
        <w:t xml:space="preserve"> Agriculture Contributions to Water Pollution and Sustainable Policy Solutions in Europe — https://doi.org/10.3390/earth7040115</w:t>
      </w:r>
    </w:p>
    <w:p>
      <w:pPr>
        <w:pStyle w:val="SourceNote"/>
      </w:pPr>
      <w:r>
        <w:rPr>
          <w:b/>
        </w:rPr>
        <w:t>Review status:</w:t>
      </w:r>
      <w:r>
        <w:t xml:space="preserve"> unchecked — possible relationship only</w:t>
      </w:r>
    </w:p>
    <w:p>
      <w:pPr>
        <w:pStyle w:val="Heading2"/>
      </w:pPr>
      <w:r>
        <w:t>327. Claim + two later sources: Scenarios for renewable energy deployment in North African countries and electricity exchange with Europe – A modelbased analysis for 2050</w:t>
      </w:r>
    </w:p>
    <w:p>
      <w:pPr>
        <w:pStyle w:val="SourceNote"/>
      </w:pPr>
      <w:r>
        <w:rPr>
          <w:b/>
        </w:rPr>
        <w:t>Group ID:</w:t>
      </w:r>
      <w:r>
        <w:t xml:space="preserve"> group-7082b983e141fba83641</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The Long‐term Socioeconomic Impacts of Renewable Energy Deployment: Lessons From Case Studies in European Rural Regions — https://doi.org/10.1111/jors.12775</w:t>
      </w:r>
    </w:p>
    <w:p>
      <w:pPr/>
      <w:r>
        <w:rPr>
          <w:b/>
        </w:rPr>
        <w:t>Later source:</w:t>
      </w:r>
      <w:r>
        <w:t xml:space="preserve"> Protectionism's adverse impact on renewable energy deployment: evidence from the European Union's import duties on China-made photovoltaic panels — https://doi.org/10.1016/j.enpol.2025.114789</w:t>
      </w:r>
    </w:p>
    <w:p>
      <w:pPr>
        <w:pStyle w:val="SourceNote"/>
      </w:pPr>
      <w:r>
        <w:rPr>
          <w:b/>
        </w:rPr>
        <w:t>Review status:</w:t>
      </w:r>
      <w:r>
        <w:t xml:space="preserve"> unchecked — possible relationship only</w:t>
      </w:r>
    </w:p>
    <w:p>
      <w:pPr>
        <w:pStyle w:val="Heading2"/>
      </w:pPr>
      <w:r>
        <w:t>328. Claim + two later sources: ClimateEU, scale-free climate normals, historical time series, and future projections for Europe</w:t>
      </w:r>
    </w:p>
    <w:p>
      <w:pPr>
        <w:pStyle w:val="SourceNote"/>
      </w:pPr>
      <w:r>
        <w:rPr>
          <w:b/>
        </w:rPr>
        <w:t>Group ID:</w:t>
      </w:r>
      <w:r>
        <w:t xml:space="preserve"> group-0a48edb710aa1039e190</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In temperate Europe, fire is already here: The case of The Netherlands — https://doi.org/10.1007/s13280-023-01960-y</w:t>
      </w:r>
    </w:p>
    <w:p>
      <w:pPr/>
      <w:r>
        <w:rPr>
          <w:b/>
        </w:rPr>
        <w:t>Later source:</w:t>
      </w:r>
      <w:r>
        <w:t xml:space="preserve"> The European Nucleotide Archive in 2024 — https://doi.org/10.1093/nar/gkae975</w:t>
      </w:r>
    </w:p>
    <w:p>
      <w:pPr>
        <w:pStyle w:val="SourceNote"/>
      </w:pPr>
      <w:r>
        <w:rPr>
          <w:b/>
        </w:rPr>
        <w:t>Review status:</w:t>
      </w:r>
      <w:r>
        <w:t xml:space="preserve"> unchecked — possible relationship only</w:t>
      </w:r>
    </w:p>
    <w:p>
      <w:pPr>
        <w:pStyle w:val="Heading2"/>
      </w:pPr>
      <w:r>
        <w:t>329. Claim + two later sources: Brexit and Its Impact on Poland’s Policy Towards Europe – An Attempt to Forecast</w:t>
      </w:r>
    </w:p>
    <w:p>
      <w:pPr>
        <w:pStyle w:val="SourceNote"/>
      </w:pPr>
      <w:r>
        <w:rPr>
          <w:b/>
        </w:rPr>
        <w:t>Group ID:</w:t>
      </w:r>
      <w:r>
        <w:t xml:space="preserve"> group-d2b05d7fec5c9af0efdc</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Differentiating early European psychobiography—An Eastern European contribution. — https://doi.org/10.1037/hop0000317</w:t>
      </w:r>
    </w:p>
    <w:p>
      <w:pPr/>
      <w:r>
        <w:rPr>
          <w:b/>
        </w:rPr>
        <w:t>Later source:</w:t>
      </w:r>
      <w:r>
        <w:t xml:space="preserve"> Freedom of Expression and speech threatened in Europe — https://doi.org/10.52224/21845263/rev45a4</w:t>
      </w:r>
    </w:p>
    <w:p>
      <w:pPr>
        <w:pStyle w:val="SourceNote"/>
      </w:pPr>
      <w:r>
        <w:rPr>
          <w:b/>
        </w:rPr>
        <w:t>Review status:</w:t>
      </w:r>
      <w:r>
        <w:t xml:space="preserve"> unchecked — possible relationship only</w:t>
      </w:r>
    </w:p>
    <w:p>
      <w:pPr>
        <w:pStyle w:val="Heading2"/>
      </w:pPr>
      <w:r>
        <w:t>330. Claim + two later sources: The use of probabilistic weather generator information for climate change adaptation in the UK water sector</w:t>
      </w:r>
    </w:p>
    <w:p>
      <w:pPr>
        <w:pStyle w:val="SourceNote"/>
      </w:pPr>
      <w:r>
        <w:rPr>
          <w:b/>
        </w:rPr>
        <w:t>Group ID:</w:t>
      </w:r>
      <w:r>
        <w:t xml:space="preserve"> group-9434fd0e59879986ccf1</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Response to Comment on “Soluble Receptor for Advanced Glycation End Products and Incident Hypertension in REGARDS” — https://doi.org/10.1093/ajh/hpaf229</w:t>
      </w:r>
    </w:p>
    <w:p>
      <w:pPr/>
      <w:r>
        <w:rPr>
          <w:b/>
        </w:rPr>
        <w:t>Later source:</w:t>
      </w:r>
      <w:r>
        <w:t xml:space="preserve"> Interpretation of Second Law of Thermodynamics in Extended Procedures for the Exploitation of the Entropy Inequality: Korteweg Fluids and Strain-Gradient Elasticity as Examples — https://doi.org/10.3390/e26040293</w:t>
      </w:r>
    </w:p>
    <w:p>
      <w:pPr>
        <w:pStyle w:val="SourceNote"/>
      </w:pPr>
      <w:r>
        <w:rPr>
          <w:b/>
        </w:rPr>
        <w:t>Review status:</w:t>
      </w:r>
      <w:r>
        <w:t xml:space="preserve"> unchecked — possible relationship only</w:t>
      </w:r>
    </w:p>
    <w:p>
      <w:pPr>
        <w:pStyle w:val="Heading2"/>
      </w:pPr>
      <w:r>
        <w:t>331. Claim + two later sources: Renewable jet fuel supply scenarios in the European Union in 2021–2030 in the context of proposed biofuel policy and competing biomass demand</w:t>
      </w:r>
    </w:p>
    <w:p>
      <w:pPr>
        <w:pStyle w:val="SourceNote"/>
      </w:pPr>
      <w:r>
        <w:rPr>
          <w:b/>
        </w:rPr>
        <w:t>Group ID:</w:t>
      </w:r>
      <w:r>
        <w:t xml:space="preserve"> group-d3cc6cd6d64cf6cd51f7</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A review of product safety regulations in the European Union — https://doi.org/10.1365/s43439-022-00057-8</w:t>
      </w:r>
    </w:p>
    <w:p>
      <w:pPr/>
      <w:r>
        <w:rPr>
          <w:b/>
        </w:rPr>
        <w:t>Later source:</w:t>
      </w:r>
      <w:r>
        <w:t xml:space="preserve"> Actual and potential new fuel types in Europe and Austria — https://doi.org/10.34726/hss.2020.73189</w:t>
      </w:r>
    </w:p>
    <w:p>
      <w:pPr>
        <w:pStyle w:val="SourceNote"/>
      </w:pPr>
      <w:r>
        <w:rPr>
          <w:b/>
        </w:rPr>
        <w:t>Review status:</w:t>
      </w:r>
      <w:r>
        <w:t xml:space="preserve"> unchecked — possible relationship only</w:t>
      </w:r>
    </w:p>
    <w:p>
      <w:pPr>
        <w:pStyle w:val="Heading2"/>
      </w:pPr>
      <w:r>
        <w:t>332. Claim + two later sources: Making sense of the future: visions and transition pathways of laypeople and professionals from six EU countries</w:t>
      </w:r>
    </w:p>
    <w:p>
      <w:pPr>
        <w:pStyle w:val="SourceNote"/>
      </w:pPr>
      <w:r>
        <w:rPr>
          <w:b/>
        </w:rPr>
        <w:t>Group ID:</w:t>
      </w:r>
      <w:r>
        <w:t xml:space="preserve"> group-c05091c600dac9df2c7a</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Nonlinearity and Asymmetry of the ENSO Stratospheric Pathway to North Atlantic and Europe, Revisited — https://doi.org/10.1029/2023jd039992</w:t>
      </w:r>
    </w:p>
    <w:p>
      <w:pPr>
        <w:pStyle w:val="SourceNote"/>
      </w:pPr>
      <w:r>
        <w:rPr>
          <w:b/>
        </w:rPr>
        <w:t>Review status:</w:t>
      </w:r>
      <w:r>
        <w:t xml:space="preserve"> unchecked — possible relationship only</w:t>
      </w:r>
    </w:p>
    <w:p>
      <w:pPr>
        <w:pStyle w:val="Heading2"/>
      </w:pPr>
      <w:r>
        <w:t>333. Claim + two later sources: Energy Community in Action—Energy Citizenship Contract as Tool for Climate Neutrality</w:t>
      </w:r>
    </w:p>
    <w:p>
      <w:pPr>
        <w:pStyle w:val="SourceNote"/>
      </w:pPr>
      <w:r>
        <w:rPr>
          <w:b/>
        </w:rPr>
        <w:t>Group ID:</w:t>
      </w:r>
      <w:r>
        <w:t xml:space="preserve"> group-2103fc4ff1363b476697</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Legal Limits on the ECB’s Actions: Is the PEPP a Bridge too Far? — https://doi.org/10.36969/njel.v9i1.28373</w:t>
      </w:r>
    </w:p>
    <w:p>
      <w:pPr>
        <w:pStyle w:val="SourceNote"/>
      </w:pPr>
      <w:r>
        <w:rPr>
          <w:b/>
        </w:rPr>
        <w:t>Review status:</w:t>
      </w:r>
      <w:r>
        <w:t xml:space="preserve"> unchecked — possible relationship only</w:t>
      </w:r>
    </w:p>
    <w:p>
      <w:pPr>
        <w:pStyle w:val="Heading2"/>
      </w:pPr>
      <w:r>
        <w:t>334. Claim + two later sources: The impact of EU Climate/Energy policies on Belgium’s energy dependence up to 2050</w:t>
      </w:r>
    </w:p>
    <w:p>
      <w:pPr>
        <w:pStyle w:val="SourceNote"/>
      </w:pPr>
      <w:r>
        <w:rPr>
          <w:b/>
        </w:rPr>
        <w:t>Group ID:</w:t>
      </w:r>
      <w:r>
        <w:t xml:space="preserve"> group-c038335ce14d00d95087</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 rôle du commerce pour une adaptation résiliente au changement climatique dans l’agriculture africaine — https://doi.org/10.3917/edd.363.0041</w:t>
      </w:r>
    </w:p>
    <w:p>
      <w:pPr/>
      <w:r>
        <w:rPr>
          <w:b/>
        </w:rPr>
        <w:t>Later source:</w:t>
      </w:r>
      <w:r>
        <w:t xml:space="preserve"> Un virus mis en scène par son vaccin ? La prise en charge du HPV et des pathologies associées en belgique — https://doi.org/10.1684/sss.2021.0211</w:t>
      </w:r>
    </w:p>
    <w:p>
      <w:pPr>
        <w:pStyle w:val="SourceNote"/>
      </w:pPr>
      <w:r>
        <w:rPr>
          <w:b/>
        </w:rPr>
        <w:t>Review status:</w:t>
      </w:r>
      <w:r>
        <w:t xml:space="preserve"> unchecked — possible relationship only</w:t>
      </w:r>
    </w:p>
    <w:p>
      <w:pPr>
        <w:pStyle w:val="Heading2"/>
      </w:pPr>
      <w:r>
        <w:t>335. Claim + two later sources: The Future of European Labour Law and the Right to Employability</w:t>
      </w:r>
    </w:p>
    <w:p>
      <w:pPr>
        <w:pStyle w:val="SourceNote"/>
      </w:pPr>
      <w:r>
        <w:rPr>
          <w:b/>
        </w:rPr>
        <w:t>Group ID:</w:t>
      </w:r>
      <w:r>
        <w:t xml:space="preserve"> group-15279ee17d33f213394a</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A critical perspective on the European Commission’s publications ‘Evaluating the impact of nature-based solutions’ — https://doi.org/10.1016/j.nbsj.2022.100027</w:t>
      </w:r>
    </w:p>
    <w:p>
      <w:pPr/>
      <w:r>
        <w:rPr>
          <w:b/>
        </w:rPr>
        <w:t>Later source:</w:t>
      </w:r>
      <w:r>
        <w:t xml:space="preserve"> The expected impact of cultivated and plant-based meats on jobs: the views of experts from Brazil, the United States and Europe — https://doi.org/10.1057/s41599-022-01316-z</w:t>
      </w:r>
    </w:p>
    <w:p>
      <w:pPr>
        <w:pStyle w:val="SourceNote"/>
      </w:pPr>
      <w:r>
        <w:rPr>
          <w:b/>
        </w:rPr>
        <w:t>Review status:</w:t>
      </w:r>
      <w:r>
        <w:t xml:space="preserve"> unchecked — possible relationship only</w:t>
      </w:r>
    </w:p>
    <w:p>
      <w:pPr>
        <w:pStyle w:val="Heading2"/>
      </w:pPr>
      <w:r>
        <w:t>336. Claim + two later sources: UK-EU RELATIONSHIP AFTER BREXIT: AN EXERCISE IN SCENARIO-BUILDING</w:t>
      </w:r>
    </w:p>
    <w:p>
      <w:pPr>
        <w:pStyle w:val="SourceNote"/>
      </w:pPr>
      <w:r>
        <w:rPr>
          <w:b/>
        </w:rPr>
        <w:t>Group ID:</w:t>
      </w:r>
      <w:r>
        <w:t xml:space="preserve"> group-334bbc355d1441e0ae7b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Unsettling mainstream academic debates on community-based energy governance: Exploring the Japanese experience — https://doi.org/10.1016/j.rser.2024.114994</w:t>
      </w:r>
    </w:p>
    <w:p>
      <w:pPr/>
      <w:r>
        <w:rPr>
          <w:b/>
        </w:rPr>
        <w:t>Later source:</w:t>
      </w:r>
      <w:r>
        <w:t xml:space="preserve"> Sustainable development in the European Union — https://doi.org/10.4324/9780429262081-25</w:t>
      </w:r>
    </w:p>
    <w:p>
      <w:pPr>
        <w:pStyle w:val="SourceNote"/>
      </w:pPr>
      <w:r>
        <w:rPr>
          <w:b/>
        </w:rPr>
        <w:t>Review status:</w:t>
      </w:r>
      <w:r>
        <w:t xml:space="preserve"> unchecked — possible relationship only</w:t>
      </w:r>
    </w:p>
    <w:p>
      <w:pPr>
        <w:pStyle w:val="Heading2"/>
      </w:pPr>
      <w:r>
        <w:t>337. Claim + two later sources: Potential of extensification of European agriculture for a more sustainable food system, focusing on nitrogen</w:t>
      </w:r>
    </w:p>
    <w:p>
      <w:pPr>
        <w:pStyle w:val="SourceNote"/>
      </w:pPr>
      <w:r>
        <w:rPr>
          <w:b/>
        </w:rPr>
        <w:t>Group ID:</w:t>
      </w:r>
      <w:r>
        <w:t xml:space="preserve"> group-4e87f3ff58e648ca3019</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Trends within Sustainability in Food Loss and Waste in EU27 Countries — https://doi.org/10.2478/crdj-2025-0003</w:t>
      </w:r>
    </w:p>
    <w:p>
      <w:pPr/>
      <w:r>
        <w:rPr>
          <w:b/>
        </w:rPr>
        <w:t>Later source:</w:t>
      </w:r>
      <w:r>
        <w:t xml:space="preserve"> Research Performance on the UN Sustainable Development Goals in the EU27 (2019–2023) — https://doi.org/10.3390/admsci15090361</w:t>
      </w:r>
    </w:p>
    <w:p>
      <w:pPr>
        <w:pStyle w:val="SourceNote"/>
      </w:pPr>
      <w:r>
        <w:rPr>
          <w:b/>
        </w:rPr>
        <w:t>Review status:</w:t>
      </w:r>
      <w:r>
        <w:t xml:space="preserve"> unchecked — possible relationship only</w:t>
      </w:r>
    </w:p>
    <w:p>
      <w:pPr>
        <w:pStyle w:val="Heading2"/>
      </w:pPr>
      <w:r>
        <w:t>338. Claim + two later sources: Efficiency of the European Union farm types: Scenarios with and without the 2013 CAP measures</w:t>
      </w:r>
    </w:p>
    <w:p>
      <w:pPr>
        <w:pStyle w:val="SourceNote"/>
      </w:pPr>
      <w:r>
        <w:rPr>
          <w:b/>
        </w:rPr>
        <w:t>Group ID:</w:t>
      </w:r>
      <w:r>
        <w:t xml:space="preserve"> group-48684f5668d8179e2db6</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ANALYSIS OF FARMS IN ROMANIA IN THE CONTEXT OF THE EUROPEAN UNION — https://doi.org/10.46793/zbiep25.153ms</w:t>
      </w:r>
    </w:p>
    <w:p>
      <w:pPr>
        <w:pStyle w:val="SourceNote"/>
      </w:pPr>
      <w:r>
        <w:rPr>
          <w:b/>
        </w:rPr>
        <w:t>Review status:</w:t>
      </w:r>
      <w:r>
        <w:t xml:space="preserve"> unchecked — possible relationship only</w:t>
      </w:r>
    </w:p>
    <w:p>
      <w:pPr>
        <w:pStyle w:val="Heading2"/>
      </w:pPr>
      <w:r>
        <w:t>339. Claim + two later sources: Towards a decarbonised building stock by 2050: The meaning and the role of zero emission buildings (ZEBs) in Europe</w:t>
      </w:r>
    </w:p>
    <w:p>
      <w:pPr>
        <w:pStyle w:val="SourceNote"/>
      </w:pPr>
      <w:r>
        <w:rPr>
          <w:b/>
        </w:rPr>
        <w:t>Group ID:</w:t>
      </w:r>
      <w:r>
        <w:t xml:space="preserve"> group-9f4e8ade4fbf3316294c</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Enhancing the Energy Transition of European Cities through Energy Communities — https://doi.org/10.1007/s11067-026-09759-6</w:t>
      </w:r>
    </w:p>
    <w:p>
      <w:pPr>
        <w:pStyle w:val="SourceNote"/>
      </w:pPr>
      <w:r>
        <w:rPr>
          <w:b/>
        </w:rPr>
        <w:t>Review status:</w:t>
      </w:r>
      <w:r>
        <w:t xml:space="preserve"> unchecked — possible relationship only</w:t>
      </w:r>
    </w:p>
    <w:p>
      <w:pPr>
        <w:pStyle w:val="Heading2"/>
      </w:pPr>
      <w:r>
        <w:t>340. Claim + two later sources: New European socio-economic scenarios for climate change research: operationalising concepts to extend the shared socio-economic pathways</w:t>
      </w:r>
    </w:p>
    <w:p>
      <w:pPr>
        <w:pStyle w:val="SourceNote"/>
      </w:pPr>
      <w:r>
        <w:rPr>
          <w:b/>
        </w:rPr>
        <w:t>Group ID:</w:t>
      </w:r>
      <w:r>
        <w:t xml:space="preserve"> group-f4e87e4e369099fdddfd</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Nitrogen palaeo-isoscapes: Changing spatial gradients of faunal δ15N in late Pleistocene and early Holocene Europe — https://doi.org/10.1371/journal.pone.0268607</w:t>
      </w:r>
    </w:p>
    <w:p>
      <w:pPr>
        <w:pStyle w:val="SourceNote"/>
      </w:pPr>
      <w:r>
        <w:rPr>
          <w:b/>
        </w:rPr>
        <w:t>Review status:</w:t>
      </w:r>
      <w:r>
        <w:t xml:space="preserve"> unchecked — possible relationship only</w:t>
      </w:r>
    </w:p>
    <w:p>
      <w:pPr>
        <w:pStyle w:val="Heading2"/>
      </w:pPr>
      <w:r>
        <w:t>341. Claim + two later sources: On European metropolisation scenarios and the future course of metropolitan development in Poland</w:t>
      </w:r>
    </w:p>
    <w:p>
      <w:pPr>
        <w:pStyle w:val="SourceNote"/>
      </w:pPr>
      <w:r>
        <w:rPr>
          <w:b/>
        </w:rPr>
        <w:t>Group ID:</w:t>
      </w:r>
      <w:r>
        <w:t xml:space="preserve"> group-50cbaa30f45e675f30b7</w:t>
      </w:r>
    </w:p>
    <w:p>
      <w:pPr>
        <w:pStyle w:val="SourceNote"/>
      </w:pPr>
      <w:r>
        <w:rPr>
          <w:b/>
        </w:rPr>
        <w:t>Original source:</w:t>
      </w:r>
      <w:r>
        <w:t xml:space="preserve"> https://doi.org/10.7163/gpol.0008</w:t>
      </w:r>
    </w:p>
    <w:p>
      <w:pPr/>
      <w:r>
        <w:rPr>
          <w:b/>
        </w:rPr>
        <w:t>Original future claim:</w:t>
      </w:r>
      <w:r>
        <w:t xml:space="preserve">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pPr/>
      <w:r>
        <w:rPr>
          <w:b/>
        </w:rPr>
        <w:t>Later source:</w:t>
      </w:r>
      <w:r>
        <w:t xml:space="preserve"> Tracing the Feminist Maternal in a European Context: A Review — https://doi.org/10.1017/hyp.2024.26</w:t>
      </w:r>
    </w:p>
    <w:p>
      <w:pPr/>
      <w:r>
        <w:rPr>
          <w:b/>
        </w:rPr>
        <w:t>Later source:</w:t>
      </w:r>
      <w:r>
        <w:t xml:space="preserve"> LEGAL BASES OF PUBLIC ADMINISTRATION IN THE CONTEXT OF EUROPEAN INTEGRATION OF UKRAINE: QUESTIONS OF FORMATION OF A PERSONNEL RESERVE — https://openalex.org/W3210655204</w:t>
      </w:r>
    </w:p>
    <w:p>
      <w:pPr>
        <w:pStyle w:val="SourceNote"/>
      </w:pPr>
      <w:r>
        <w:rPr>
          <w:b/>
        </w:rPr>
        <w:t>Review status:</w:t>
      </w:r>
      <w:r>
        <w:t xml:space="preserve"> unchecked — possible relationship only</w:t>
      </w:r>
    </w:p>
    <w:p>
      <w:pPr>
        <w:pStyle w:val="Heading2"/>
      </w:pPr>
      <w:r>
        <w:t>342. Claim + two later sources: Convergence of Population Structures of the European Union Member States—The Past and the Future</w:t>
      </w:r>
    </w:p>
    <w:p>
      <w:pPr>
        <w:pStyle w:val="SourceNote"/>
      </w:pPr>
      <w:r>
        <w:rPr>
          <w:b/>
        </w:rPr>
        <w:t>Group ID:</w:t>
      </w:r>
      <w:r>
        <w:t xml:space="preserve"> group-b325d9677298fef2bc39</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Impact of climate change on human mortality patterns — https://doi.org/10.48676/unibo/amsdottorato/13040</w:t>
      </w:r>
    </w:p>
    <w:p>
      <w:pPr>
        <w:pStyle w:val="SourceNote"/>
      </w:pPr>
      <w:r>
        <w:rPr>
          <w:b/>
        </w:rPr>
        <w:t>Review status:</w:t>
      </w:r>
      <w:r>
        <w:t xml:space="preserve"> unchecked — possible relationship only</w:t>
      </w:r>
    </w:p>
    <w:p>
      <w:pPr>
        <w:pStyle w:val="Heading2"/>
      </w:pPr>
      <w:r>
        <w:t>343. Claim + two later sources: More green infrastructure is required to maintain ecosystem services under current trends in land-use change in Europe</w:t>
      </w:r>
    </w:p>
    <w:p>
      <w:pPr>
        <w:pStyle w:val="SourceNote"/>
      </w:pPr>
      <w:r>
        <w:rPr>
          <w:b/>
        </w:rPr>
        <w:t>Group ID:</w:t>
      </w:r>
      <w:r>
        <w:t xml:space="preserve"> group-3b4028b93a99d23c2060</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Health impacts methodology in the European Commission — https://doi.org/10.1093/eurpub/ckae144.120</w:t>
      </w:r>
    </w:p>
    <w:p>
      <w:pPr>
        <w:pStyle w:val="SourceNote"/>
      </w:pPr>
      <w:r>
        <w:rPr>
          <w:b/>
        </w:rPr>
        <w:t>Review status:</w:t>
      </w:r>
      <w:r>
        <w:t xml:space="preserve"> unchecked — possible relationship only</w:t>
      </w:r>
    </w:p>
    <w:p>
      <w:pPr>
        <w:pStyle w:val="Heading2"/>
      </w:pPr>
      <w:r>
        <w:t>344. Claim + two later sources: Finland-Russia rail transport deregulation: future scenarios of market development</w:t>
      </w:r>
    </w:p>
    <w:p>
      <w:pPr>
        <w:pStyle w:val="SourceNote"/>
      </w:pPr>
      <w:r>
        <w:rPr>
          <w:b/>
        </w:rPr>
        <w:t>Group ID:</w:t>
      </w:r>
      <w:r>
        <w:t xml:space="preserve"> group-03abd0295d71d0f4693e</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Kinds, Essences, and Natures — https://doi.org/10.4324/9781315709604-14</w:t>
      </w:r>
    </w:p>
    <w:p>
      <w:pPr/>
      <w:r>
        <w:rPr>
          <w:b/>
        </w:rPr>
        <w:t>Later source:</w:t>
      </w:r>
      <w:r>
        <w:t xml:space="preserve"> Spatial Patterns in Actual Evapotranspiration Climatologies for Europe — https://doi.org/10.3390/rs13122410</w:t>
      </w:r>
    </w:p>
    <w:p>
      <w:pPr>
        <w:pStyle w:val="SourceNote"/>
      </w:pPr>
      <w:r>
        <w:rPr>
          <w:b/>
        </w:rPr>
        <w:t>Review status:</w:t>
      </w:r>
      <w:r>
        <w:t xml:space="preserve"> unchecked — possible relationship only</w:t>
      </w:r>
    </w:p>
    <w:p>
      <w:pPr>
        <w:pStyle w:val="Heading2"/>
      </w:pPr>
      <w:r>
        <w:t>345. Claim + two later sources: Futuribles of learning 2030 - Delphi supports the reform of the core curricula in Finland</w:t>
      </w:r>
    </w:p>
    <w:p>
      <w:pPr>
        <w:pStyle w:val="SourceNote"/>
      </w:pPr>
      <w:r>
        <w:rPr>
          <w:b/>
        </w:rPr>
        <w:t>Group ID:</w:t>
      </w:r>
      <w:r>
        <w:t xml:space="preserve"> group-582631827835ad7a482d</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A Review of the AGE Barometer 2023: EU Good Practices and Barriers in the Empowerment of Elderly in the Labour Market - The Case of Hungary — https://doi.org/10.47225/mg/15/42/14315</w:t>
      </w:r>
    </w:p>
    <w:p>
      <w:pPr/>
      <w:r>
        <w:rPr>
          <w:b/>
        </w:rPr>
        <w:t>Later source:</w:t>
      </w:r>
      <w:r>
        <w:t xml:space="preserve"> Seabird sentinels: The barometer for island conservation in a changing world — https://openalex.org/W2810691331</w:t>
      </w:r>
    </w:p>
    <w:p>
      <w:pPr>
        <w:pStyle w:val="SourceNote"/>
      </w:pPr>
      <w:r>
        <w:rPr>
          <w:b/>
        </w:rPr>
        <w:t>Review status:</w:t>
      </w:r>
      <w:r>
        <w:t xml:space="preserve"> unchecked — possible relationship only</w:t>
      </w:r>
    </w:p>
    <w:p>
      <w:pPr>
        <w:pStyle w:val="Heading2"/>
      </w:pPr>
      <w:r>
        <w:t>346. Claim + two later sources: Making or breaking climate targets: The AMPERE study on staged accession scenarios for climate policy</w:t>
      </w:r>
    </w:p>
    <w:p>
      <w:pPr>
        <w:pStyle w:val="SourceNote"/>
      </w:pPr>
      <w:r>
        <w:rPr>
          <w:b/>
        </w:rPr>
        <w:t>Group ID:</w:t>
      </w:r>
      <w:r>
        <w:t xml:space="preserve"> group-3071cd88d609b01c0503</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China Image Construction during the Covid-19 Epidemic: Multimodal Discourse Analysis based on the China-Related Front Cover of The Economist — https://doi.org/10.61935/asder.1.1.2023.p194</w:t>
      </w:r>
    </w:p>
    <w:p>
      <w:pPr/>
      <w:r>
        <w:rPr>
          <w:b/>
        </w:rPr>
        <w:t>Later source:</w:t>
      </w:r>
      <w:r>
        <w:t xml:space="preserve"> Observations of near-inertial oscillations trapped at inclined front on continental shelf of the northwestern South China Sea — https://doi.org/10.5194/egusphere-2024-3909</w:t>
      </w:r>
    </w:p>
    <w:p>
      <w:pPr>
        <w:pStyle w:val="SourceNote"/>
      </w:pPr>
      <w:r>
        <w:rPr>
          <w:b/>
        </w:rPr>
        <w:t>Review status:</w:t>
      </w:r>
      <w:r>
        <w:t xml:space="preserve"> unchecked — possible relationship only</w:t>
      </w:r>
    </w:p>
    <w:p>
      <w:pPr>
        <w:pStyle w:val="Heading2"/>
      </w:pPr>
      <w:r>
        <w:t>347. Claim + two later sources: Impact of demographic changes and screening colonoscopy on long-term projection of incident colorectal cancer cases in Germany: A modelling study</w:t>
      </w:r>
    </w:p>
    <w:p>
      <w:pPr>
        <w:pStyle w:val="SourceNote"/>
      </w:pPr>
      <w:r>
        <w:rPr>
          <w:b/>
        </w:rPr>
        <w:t>Group ID:</w:t>
      </w:r>
      <w:r>
        <w:t xml:space="preserve"> group-423f0e158a335fcb98b1</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The Price of Speed: Estimating the Impact of List Prices on Time to Availability of New Medicines in 18 European Countries — https://doi.org/10.1007/s40258-026-01053-3</w:t>
      </w:r>
    </w:p>
    <w:p>
      <w:pPr>
        <w:pStyle w:val="SourceNote"/>
      </w:pPr>
      <w:r>
        <w:rPr>
          <w:b/>
        </w:rPr>
        <w:t>Review status:</w:t>
      </w:r>
      <w:r>
        <w:t xml:space="preserve"> unchecked — possible relationship only</w:t>
      </w:r>
    </w:p>
    <w:p>
      <w:pPr>
        <w:pStyle w:val="Heading2"/>
      </w:pPr>
      <w:r>
        <w:t>348. Claim + two later sources: Potential for hydrogen and Power-to-Liquid in a low-carbon EU energy system using cost optimization</w:t>
      </w:r>
    </w:p>
    <w:p>
      <w:pPr>
        <w:pStyle w:val="SourceNote"/>
      </w:pPr>
      <w:r>
        <w:rPr>
          <w:b/>
        </w:rPr>
        <w:t>Group ID:</w:t>
      </w:r>
      <w:r>
        <w:t xml:space="preserve"> group-c6803f4222d78d280ea3</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Regional Pathways to Internationalization: The Role of Erasmus+ in European HEIs — https://doi.org/10.3390/urbansci9050144</w:t>
      </w:r>
    </w:p>
    <w:p>
      <w:pPr/>
      <w:r>
        <w:rPr>
          <w:b/>
        </w:rPr>
        <w:t>Later source:</w:t>
      </w:r>
      <w:r>
        <w:t xml:space="preserve"> The potential role of a hydrogen network in Europe — https://doi.org/10.1016/j.joule.2023.06.016</w:t>
      </w:r>
    </w:p>
    <w:p>
      <w:pPr>
        <w:pStyle w:val="SourceNote"/>
      </w:pPr>
      <w:r>
        <w:rPr>
          <w:b/>
        </w:rPr>
        <w:t>Review status:</w:t>
      </w:r>
      <w:r>
        <w:t xml:space="preserve"> unchecked — possible relationship only</w:t>
      </w:r>
    </w:p>
    <w:p>
      <w:pPr>
        <w:pStyle w:val="Heading2"/>
      </w:pPr>
      <w:r>
        <w:t>349. Claim + two later sources: Multi-model ensemble simulations of olive pollen distribution in Europe in 2014: current status and outlook</w:t>
      </w:r>
    </w:p>
    <w:p>
      <w:pPr>
        <w:pStyle w:val="SourceNote"/>
      </w:pPr>
      <w:r>
        <w:rPr>
          <w:b/>
        </w:rPr>
        <w:t>Group ID:</w:t>
      </w:r>
      <w:r>
        <w:t xml:space="preserve"> group-436167e808b9e61b6ea2</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Factors explaining adolescents’ digital skills in Europe — https://doi.org/10.1057/s41599-025-05241-9</w:t>
      </w:r>
    </w:p>
    <w:p>
      <w:pPr/>
      <w:r>
        <w:rPr>
          <w:b/>
        </w:rPr>
        <w:t>Later source:</w:t>
      </w:r>
      <w:r>
        <w:t xml:space="preserve"> The Determinants of Internet User Skills in Europe — https://doi.org/10.20944/preprints202205.0263.v1</w:t>
      </w:r>
    </w:p>
    <w:p>
      <w:pPr>
        <w:pStyle w:val="SourceNote"/>
      </w:pPr>
      <w:r>
        <w:rPr>
          <w:b/>
        </w:rPr>
        <w:t>Review status:</w:t>
      </w:r>
      <w:r>
        <w:t xml:space="preserve"> unchecked — possible relationship only</w:t>
      </w:r>
    </w:p>
    <w:p>
      <w:pPr>
        <w:pStyle w:val="Heading2"/>
      </w:pPr>
      <w:r>
        <w:t>350. Claim + two later sources: Policy insights and modelling challenges: The case of passenger car powertrain technology transition in the European Union</w:t>
      </w:r>
    </w:p>
    <w:p>
      <w:pPr>
        <w:pStyle w:val="SourceNote"/>
      </w:pPr>
      <w:r>
        <w:rPr>
          <w:b/>
        </w:rPr>
        <w:t>Group ID:</w:t>
      </w:r>
      <w:r>
        <w:t xml:space="preserve"> group-ee7f5e71050da5edeb49</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Media Policy Transfer in Europe — https://doi.org/10.1017/9781009568159.013</w:t>
      </w:r>
    </w:p>
    <w:p>
      <w:pPr/>
      <w:r>
        <w:rPr>
          <w:b/>
        </w:rPr>
        <w:t>Later source:</w:t>
      </w:r>
      <w:r>
        <w:t xml:space="preserve"> Transfer of Green Policies from European Union to its Member States — https://openalex.org/W7165424889</w:t>
      </w:r>
    </w:p>
    <w:p>
      <w:pPr>
        <w:pStyle w:val="SourceNote"/>
      </w:pPr>
      <w:r>
        <w:rPr>
          <w:b/>
        </w:rPr>
        <w:t>Review status:</w:t>
      </w:r>
      <w:r>
        <w:t xml:space="preserve"> unchecked — possible relationship only</w:t>
      </w:r>
    </w:p>
    <w:p>
      <w:pPr>
        <w:pStyle w:val="Heading2"/>
      </w:pPr>
      <w:r>
        <w:t>351. Claim + two later sources: Soil Governance in current European Union Law and in the European Green Deal</w:t>
      </w:r>
    </w:p>
    <w:p>
      <w:pPr>
        <w:pStyle w:val="SourceNote"/>
      </w:pPr>
      <w:r>
        <w:rPr>
          <w:b/>
        </w:rPr>
        <w:t>Group ID:</w:t>
      </w:r>
      <w:r>
        <w:t xml:space="preserve"> group-1d2fa38f64774551efa2</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Critical materials and manufacturing: Comparing China, the European Union, Japan, and the United States — https://doi.org/10.1016/j.rcradv.2025.200250</w:t>
      </w:r>
    </w:p>
    <w:p>
      <w:pPr/>
      <w:r>
        <w:rPr>
          <w:b/>
        </w:rPr>
        <w:t>Later source:</w:t>
      </w:r>
      <w:r>
        <w:t xml:space="preserve"> A systematic review of regulatory strategies and transparency mandates in AI regulation in Europe, the United States, and Canada — https://doi.org/10.1017/dap.2024.54</w:t>
      </w:r>
    </w:p>
    <w:p>
      <w:pPr>
        <w:pStyle w:val="SourceNote"/>
      </w:pPr>
      <w:r>
        <w:rPr>
          <w:b/>
        </w:rPr>
        <w:t>Review status:</w:t>
      </w:r>
      <w:r>
        <w:t xml:space="preserve"> unchecked — possible relationship only</w:t>
      </w:r>
    </w:p>
    <w:p>
      <w:pPr>
        <w:pStyle w:val="Heading2"/>
      </w:pPr>
      <w:r>
        <w:t>352.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group-42492d149d40a047be18</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Housing affordability and poverty in Europe: on the deteriorating position of market renters — https://doi.org/10.1017/s0047279423000703</w:t>
      </w:r>
    </w:p>
    <w:p>
      <w:pPr/>
      <w:r>
        <w:rPr>
          <w:b/>
        </w:rPr>
        <w:t>Later source:</w:t>
      </w:r>
      <w:r>
        <w:t xml:space="preserve"> Storm and fire disturbances in Europe: Distribution and trends — https://doi.org/10.1111/gcb.15679</w:t>
      </w:r>
    </w:p>
    <w:p>
      <w:pPr>
        <w:pStyle w:val="SourceNote"/>
      </w:pPr>
      <w:r>
        <w:rPr>
          <w:b/>
        </w:rPr>
        <w:t>Review status:</w:t>
      </w:r>
      <w:r>
        <w:t xml:space="preserve"> unchecked — possible relationship only</w:t>
      </w:r>
    </w:p>
    <w:p>
      <w:pPr>
        <w:pStyle w:val="Heading2"/>
      </w:pPr>
      <w:r>
        <w:t>353.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group-493a87c30fc5e2dc427c</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Convergence of accounting systems through the lens of accounting theory and harmonization paradigms — https://doi.org/10.17072/1994-9960-2024-3-300-325</w:t>
      </w:r>
    </w:p>
    <w:p>
      <w:pPr>
        <w:pStyle w:val="SourceNote"/>
      </w:pPr>
      <w:r>
        <w:rPr>
          <w:b/>
        </w:rPr>
        <w:t>Review status:</w:t>
      </w:r>
      <w:r>
        <w:t xml:space="preserve"> unchecked — possible relationship only</w:t>
      </w:r>
    </w:p>
    <w:p>
      <w:pPr>
        <w:pStyle w:val="Heading2"/>
      </w:pPr>
      <w:r>
        <w:t>354. Claim + two later sources: Achieving agricultural greenhouse gas emission reductions in the EU post‐2030: What options do we have?</w:t>
      </w:r>
    </w:p>
    <w:p>
      <w:pPr>
        <w:pStyle w:val="SourceNote"/>
      </w:pPr>
      <w:r>
        <w:rPr>
          <w:b/>
        </w:rPr>
        <w:t>Group ID:</w:t>
      </w:r>
      <w:r>
        <w:t xml:space="preserve"> group-e20228c4f0b63f550c9c</w:t>
      </w:r>
    </w:p>
    <w:p>
      <w:pPr>
        <w:pStyle w:val="SourceNote"/>
      </w:pPr>
      <w:r>
        <w:rPr>
          <w:b/>
        </w:rPr>
        <w:t>Original source:</w:t>
      </w:r>
      <w:r>
        <w:t xml:space="preserve"> https://doi.org/10.1111/reel.12448</w:t>
      </w:r>
    </w:p>
    <w:p>
      <w:pPr/>
      <w:r>
        <w:rPr>
          <w:b/>
        </w:rPr>
        <w:t>Original future claim:</w:t>
      </w:r>
      <w:r>
        <w:t xml:space="preserve">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Regulatory Landscape of Nutraceuticals in the European Union — https://doi.org/10.1201/9781003465041-9</w:t>
      </w:r>
    </w:p>
    <w:p>
      <w:pPr/>
      <w:r>
        <w:rPr>
          <w:b/>
        </w:rPr>
        <w:t>Later source:</w:t>
      </w:r>
      <w:r>
        <w:t xml:space="preserve"> Accounting regulation in the European Union — https://doi.org/10.1007/s11142-025-09909-0</w:t>
      </w:r>
    </w:p>
    <w:p>
      <w:pPr>
        <w:pStyle w:val="SourceNote"/>
      </w:pPr>
      <w:r>
        <w:rPr>
          <w:b/>
        </w:rPr>
        <w:t>Review status:</w:t>
      </w:r>
      <w:r>
        <w:t xml:space="preserve"> unchecked — possible relationship only</w:t>
      </w:r>
    </w:p>
    <w:p>
      <w:pPr>
        <w:pStyle w:val="Heading2"/>
      </w:pPr>
      <w:r>
        <w:t>355. Claim + two later sources: Carrying out a multi-model integrated assessment of European energy transition pathways: Challenges and benefits</w:t>
      </w:r>
    </w:p>
    <w:p>
      <w:pPr>
        <w:pStyle w:val="SourceNote"/>
      </w:pPr>
      <w:r>
        <w:rPr>
          <w:b/>
        </w:rPr>
        <w:t>Group ID:</w:t>
      </w:r>
      <w:r>
        <w:t xml:space="preserve"> group-6d5611ddf317450b976e</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Federated learning in Healthcare across Europe: Challenges and Insights from the BETTER Project — https://openalex.org/W7204062183</w:t>
      </w:r>
    </w:p>
    <w:p>
      <w:pPr/>
      <w:r>
        <w:rPr>
          <w:b/>
        </w:rPr>
        <w:t>Later source:</w:t>
      </w:r>
      <w:r>
        <w:t xml:space="preserve"> Can democratic innovations tackle social-ecological challenges? Gaining insights on transformative governance across European cases — https://doi.org/10.1007/s42532-025-00225-0</w:t>
      </w:r>
    </w:p>
    <w:p>
      <w:pPr>
        <w:pStyle w:val="SourceNote"/>
      </w:pPr>
      <w:r>
        <w:rPr>
          <w:b/>
        </w:rPr>
        <w:t>Review status:</w:t>
      </w:r>
      <w:r>
        <w:t xml:space="preserve"> unchecked — possible relationship only</w:t>
      </w:r>
    </w:p>
    <w:p>
      <w:pPr>
        <w:pStyle w:val="Heading2"/>
      </w:pPr>
      <w:r>
        <w:t>356.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group-7298c935e7cded879ace</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European manual on strategic culture — https://openalex.org/W7163482322</w:t>
      </w:r>
    </w:p>
    <w:p>
      <w:pPr/>
      <w:r>
        <w:rPr>
          <w:b/>
        </w:rPr>
        <w:t>Later source:</w:t>
      </w:r>
      <w:r>
        <w:t xml:space="preserve"> European strategic antinomy — https://doi.org/10.1016/j.polgeo.2026.103616</w:t>
      </w:r>
    </w:p>
    <w:p>
      <w:pPr>
        <w:pStyle w:val="SourceNote"/>
      </w:pPr>
      <w:r>
        <w:rPr>
          <w:b/>
        </w:rPr>
        <w:t>Review status:</w:t>
      </w:r>
      <w:r>
        <w:t xml:space="preserve"> unchecked — possible relationship only</w:t>
      </w:r>
    </w:p>
    <w:p>
      <w:pPr>
        <w:pStyle w:val="Heading2"/>
      </w:pPr>
      <w:r>
        <w:t>357. Claim + two later sources: Systemic Design for Policy-Making: Towards the Next Circular Regions</w:t>
      </w:r>
    </w:p>
    <w:p>
      <w:pPr>
        <w:pStyle w:val="SourceNote"/>
      </w:pPr>
      <w:r>
        <w:rPr>
          <w:b/>
        </w:rPr>
        <w:t>Group ID:</w:t>
      </w:r>
      <w:r>
        <w:t xml:space="preserve"> group-9b075c41fc6f521c488c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Business Model Innovation for Circular Transformation in the Built Environment — https://doi.org/10.1007/978-3-032-35104-3_109</w:t>
      </w:r>
    </w:p>
    <w:p>
      <w:pPr/>
      <w:r>
        <w:rPr>
          <w:b/>
        </w:rPr>
        <w:t>Later source:</w:t>
      </w:r>
      <w:r>
        <w:t xml:space="preserve"> ECONOMIC MONITORING OF THE CIRCULAR TRANSFORMATION AS A CHALLENGE FOR MECHANICAL ENGINEERING — https://openalex.org/W7215135237</w:t>
      </w:r>
    </w:p>
    <w:p>
      <w:pPr>
        <w:pStyle w:val="SourceNote"/>
      </w:pPr>
      <w:r>
        <w:rPr>
          <w:b/>
        </w:rPr>
        <w:t>Review status:</w:t>
      </w:r>
      <w:r>
        <w:t xml:space="preserve"> unchecked — possible relationship only</w:t>
      </w:r>
    </w:p>
    <w:p>
      <w:pPr>
        <w:pStyle w:val="Heading2"/>
      </w:pPr>
      <w:r>
        <w:t>358. Claim + two later sources: O4-2.1 Foresight tackling obesities: future choices</w:t>
      </w:r>
    </w:p>
    <w:p>
      <w:pPr>
        <w:pStyle w:val="SourceNote"/>
      </w:pPr>
      <w:r>
        <w:rPr>
          <w:b/>
        </w:rPr>
        <w:t>Group ID:</w:t>
      </w:r>
      <w:r>
        <w:t xml:space="preserve"> group-8e6bc20df9e5af601c89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Accuracy of subject-specific prediction of end-systolic time in MRI across a range of RR intervals — https://doi.org/10.1371/journal.pone.0179011</w:t>
      </w:r>
    </w:p>
    <w:p>
      <w:pPr/>
      <w:r>
        <w:rPr>
          <w:b/>
        </w:rPr>
        <w:t>Later source:</w:t>
      </w:r>
      <w:r>
        <w:t xml:space="preserve"> Muscle Synergies Facilitate Computational Prediction of Subject-Specific Walking Motions — https://doi.org/10.3389/fbioe.2016.00077</w:t>
      </w:r>
    </w:p>
    <w:p>
      <w:pPr>
        <w:pStyle w:val="SourceNote"/>
      </w:pPr>
      <w:r>
        <w:rPr>
          <w:b/>
        </w:rPr>
        <w:t>Review status:</w:t>
      </w:r>
      <w:r>
        <w:t xml:space="preserve"> unchecked — possible relationship only</w:t>
      </w:r>
    </w:p>
    <w:p>
      <w:pPr>
        <w:pStyle w:val="Heading2"/>
      </w:pPr>
      <w:r>
        <w:t>359. Claim + two later sources: A 2050 perspective on the role for carbon capture and storage in the European power system and industry sector</w:t>
      </w:r>
    </w:p>
    <w:p>
      <w:pPr>
        <w:pStyle w:val="SourceNote"/>
      </w:pPr>
      <w:r>
        <w:rPr>
          <w:b/>
        </w:rPr>
        <w:t>Group ID:</w:t>
      </w:r>
      <w:r>
        <w:t xml:space="preserve"> group-e3543df5ce1c10f539b0</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Modelling of Soil Multifunctionality Across Europe — https://doi.org/10.1111/sum.70147</w:t>
      </w:r>
    </w:p>
    <w:p>
      <w:pPr/>
      <w:r>
        <w:rPr>
          <w:b/>
        </w:rPr>
        <w:t>Later source:</w:t>
      </w:r>
      <w:r>
        <w:t xml:space="preserve"> A unifying modelling of multiple land degradation pathways in Europe — https://doi.org/10.1038/s41467-024-48252-x</w:t>
      </w:r>
    </w:p>
    <w:p>
      <w:pPr>
        <w:pStyle w:val="SourceNote"/>
      </w:pPr>
      <w:r>
        <w:rPr>
          <w:b/>
        </w:rPr>
        <w:t>Review status:</w:t>
      </w:r>
      <w:r>
        <w:t xml:space="preserve"> unchecked — possible relationship only</w:t>
      </w:r>
    </w:p>
    <w:p>
      <w:pPr>
        <w:pStyle w:val="Heading2"/>
      </w:pPr>
      <w:r>
        <w:t>360. Claim + two later sources: Impact of climate change on ozone-related mortality and morbidity in Europe</w:t>
      </w:r>
    </w:p>
    <w:p>
      <w:pPr>
        <w:pStyle w:val="SourceNote"/>
      </w:pPr>
      <w:r>
        <w:rPr>
          <w:b/>
        </w:rPr>
        <w:t>Group ID:</w:t>
      </w:r>
      <w:r>
        <w:t xml:space="preserve"> group-f03a621d7d211f3c88e9</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Emerging new climate extremes over Europe — https://doi.org/10.1007/s00382-021-05917-3</w:t>
      </w:r>
    </w:p>
    <w:p>
      <w:pPr>
        <w:pStyle w:val="SourceNote"/>
      </w:pPr>
      <w:r>
        <w:rPr>
          <w:b/>
        </w:rPr>
        <w:t>Review status:</w:t>
      </w:r>
      <w:r>
        <w:t xml:space="preserve"> unchecked — possible relationship only</w:t>
      </w:r>
    </w:p>
    <w:p>
      <w:pPr>
        <w:pStyle w:val="Heading2"/>
      </w:pPr>
      <w:r>
        <w:t>361. Claim + two later sources: Perspectives from 2037—Can Environmental Impact Assessment be the Solution for an Early Consideration of Climate Change-related Impacts?</w:t>
      </w:r>
    </w:p>
    <w:p>
      <w:pPr>
        <w:pStyle w:val="SourceNote"/>
      </w:pPr>
      <w:r>
        <w:rPr>
          <w:b/>
        </w:rPr>
        <w:t>Group ID:</w:t>
      </w:r>
      <w:r>
        <w:t xml:space="preserve"> group-5864fc5c7fa04d206188</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Exploring the Narrative and Aesthetic Aspects of Huanglong Opera in Nong'an County Jilin Province China — https://doi.org/10.60027/ijsasr.2024.3930</w:t>
      </w:r>
    </w:p>
    <w:p>
      <w:pPr/>
      <w:r>
        <w:rPr>
          <w:b/>
        </w:rPr>
        <w:t>Later source:</w:t>
      </w:r>
      <w:r>
        <w:t xml:space="preserve"> Elaborating, sharing, narrating: a narrative analysis of three approaches to health communication — https://doi.org/10.1590/interface.230172</w:t>
      </w:r>
    </w:p>
    <w:p>
      <w:pPr>
        <w:pStyle w:val="SourceNote"/>
      </w:pPr>
      <w:r>
        <w:rPr>
          <w:b/>
        </w:rPr>
        <w:t>Review status:</w:t>
      </w:r>
      <w:r>
        <w:t xml:space="preserve"> unchecked — possible relationship only</w:t>
      </w:r>
    </w:p>
    <w:p>
      <w:pPr>
        <w:pStyle w:val="Heading2"/>
      </w:pPr>
      <w:r>
        <w:t>362.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363. Claim + two later sources: Forecasting turbulence in the Asian and European stock market using regime-switching models</w:t>
      </w:r>
    </w:p>
    <w:p>
      <w:pPr>
        <w:pStyle w:val="SourceNote"/>
      </w:pPr>
      <w:r>
        <w:rPr>
          <w:b/>
        </w:rPr>
        <w:t>Group ID:</w:t>
      </w:r>
      <w:r>
        <w:t xml:space="preserve"> group-1adbb0659ede7fe92be9</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 https://openalex.org/W7164620270</w:t>
      </w:r>
    </w:p>
    <w:p>
      <w:pPr/>
      <w:r>
        <w:rPr>
          <w:b/>
        </w:rPr>
        <w:t>Later source:</w:t>
      </w:r>
      <w:r>
        <w:t xml:space="preserve"> Predicting Healthcare System Stress in the European Union: An Early Warning System Using Panel Data — https://openalex.org/W7221839855</w:t>
      </w:r>
    </w:p>
    <w:p>
      <w:pPr>
        <w:pStyle w:val="SourceNote"/>
      </w:pPr>
      <w:r>
        <w:rPr>
          <w:b/>
        </w:rPr>
        <w:t>Review status:</w:t>
      </w:r>
      <w:r>
        <w:t xml:space="preserve"> unchecked — possible relationship only</w:t>
      </w:r>
    </w:p>
    <w:p>
      <w:pPr>
        <w:pStyle w:val="Heading2"/>
      </w:pPr>
      <w:r>
        <w:t>364. Claim + two later sources: Modelling sustainable energy futures for the UK</w:t>
      </w:r>
    </w:p>
    <w:p>
      <w:pPr>
        <w:pStyle w:val="SourceNote"/>
      </w:pPr>
      <w:r>
        <w:rPr>
          <w:b/>
        </w:rPr>
        <w:t>Group ID:</w:t>
      </w:r>
      <w:r>
        <w:t xml:space="preserve"> group-5a51d82e16053bbd2e45</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A Comprehensive Analysis of Kyoto Protocol — https://openalex.org/W7216616326</w:t>
      </w:r>
    </w:p>
    <w:p>
      <w:pPr/>
      <w:r>
        <w:rPr>
          <w:b/>
        </w:rPr>
        <w:t>Later source:</w:t>
      </w:r>
      <w:r>
        <w:t xml:space="preserve"> Environmental and economic effectiveness of the Kyoto Protocol — https://doi.org/10.1371/journal.pone.0236299</w:t>
      </w:r>
    </w:p>
    <w:p>
      <w:pPr>
        <w:pStyle w:val="SourceNote"/>
      </w:pPr>
      <w:r>
        <w:rPr>
          <w:b/>
        </w:rPr>
        <w:t>Review status:</w:t>
      </w:r>
      <w:r>
        <w:t xml:space="preserve"> unchecked — possible relationship only</w:t>
      </w:r>
    </w:p>
    <w:p>
      <w:pPr>
        <w:pStyle w:val="Heading2"/>
      </w:pPr>
      <w:r>
        <w:t>365. Claim + two later sources: Futures and foresight of Croatian cultural heritage</w:t>
      </w:r>
    </w:p>
    <w:p>
      <w:pPr>
        <w:pStyle w:val="SourceNote"/>
      </w:pPr>
      <w:r>
        <w:rPr>
          <w:b/>
        </w:rPr>
        <w:t>Group ID:</w:t>
      </w:r>
      <w:r>
        <w:t xml:space="preserve"> group-a83a35ed021de1bddc86</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Two papal Europes: Benedict XVI, Francis and competing Christian imaginaries of Europe — https://doi.org/10.1080/14782804.2026.2718750</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366. Claim + two later sources: Soft-linking of a behavioral model for transport with energy system cost optimization applied to hydrogen in EU</w:t>
      </w:r>
    </w:p>
    <w:p>
      <w:pPr>
        <w:pStyle w:val="SourceNote"/>
      </w:pPr>
      <w:r>
        <w:rPr>
          <w:b/>
        </w:rPr>
        <w:t>Group ID:</w:t>
      </w:r>
      <w:r>
        <w:t xml:space="preserve"> group-3d7048a92a72e29e04d9</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EU Energy Securitisation: Ukraine's Place in the European Energy System — https://doi.org/10.53317/2786-4774-2024-1-8</w:t>
      </w:r>
    </w:p>
    <w:p>
      <w:pPr/>
      <w:r>
        <w:rPr>
          <w:b/>
        </w:rPr>
        <w:t>Later source:</w:t>
      </w:r>
      <w:r>
        <w:t xml:space="preserve"> Investigation of European modular façade system utilizing renewable energy — https://doi.org/10.1093/ijlct/ctab101</w:t>
      </w:r>
    </w:p>
    <w:p>
      <w:pPr>
        <w:pStyle w:val="SourceNote"/>
      </w:pPr>
      <w:r>
        <w:rPr>
          <w:b/>
        </w:rPr>
        <w:t>Review status:</w:t>
      </w:r>
      <w:r>
        <w:t xml:space="preserve"> unchecked — possible relationship only</w:t>
      </w:r>
    </w:p>
    <w:p>
      <w:pPr>
        <w:pStyle w:val="Heading2"/>
      </w:pPr>
      <w:r>
        <w:t>367. Claim + two later sources: Facilitating transformative science education through futures thinking</w:t>
      </w:r>
    </w:p>
    <w:p>
      <w:pPr>
        <w:pStyle w:val="SourceNote"/>
      </w:pPr>
      <w:r>
        <w:rPr>
          <w:b/>
        </w:rPr>
        <w:t>Group ID:</w:t>
      </w:r>
      <w:r>
        <w:t xml:space="preserve"> group-b109c52999dbe02ac04b</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Aging and HIV: Recent Findings in Contributing Factors — https://doi.org/10.1155/arat/8814760</w:t>
      </w:r>
    </w:p>
    <w:p>
      <w:pPr/>
      <w:r>
        <w:rPr>
          <w:b/>
        </w:rPr>
        <w:t>Later source:</w:t>
      </w:r>
      <w:r>
        <w:t xml:space="preserve"> Anti-Inflammatory Activity of Thymol and Thymol-Rich Essential Oils: Mechanisms, Applications, and Recent Findings — https://doi.org/10.3390/molecules30112450</w:t>
      </w:r>
    </w:p>
    <w:p>
      <w:pPr>
        <w:pStyle w:val="SourceNote"/>
      </w:pPr>
      <w:r>
        <w:rPr>
          <w:b/>
        </w:rPr>
        <w:t>Review status:</w:t>
      </w:r>
      <w:r>
        <w:t xml:space="preserve"> unchecked — possible relationship only</w:t>
      </w:r>
    </w:p>
    <w:p>
      <w:pPr>
        <w:pStyle w:val="Heading2"/>
      </w:pPr>
      <w:r>
        <w:t>368. Claim + two later sources: TRANSPORT PROJECT EVALUATION: FEASIBILITY RISK ASSESSMENT AND SCENARIO FORECASTING</w:t>
      </w:r>
    </w:p>
    <w:p>
      <w:pPr>
        <w:pStyle w:val="SourceNote"/>
      </w:pPr>
      <w:r>
        <w:rPr>
          <w:b/>
        </w:rPr>
        <w:t>Group ID:</w:t>
      </w:r>
      <w:r>
        <w:t xml:space="preserve"> group-2228e8a84964d769be2c</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Exploring the Potential of Innovation on Rice Straw Fluff (RSF) in Roofing System — https://doi.org/10.32722/arcee.v4i02.5235</w:t>
      </w:r>
    </w:p>
    <w:p>
      <w:pPr/>
      <w:r>
        <w:rPr>
          <w:b/>
        </w:rPr>
        <w:t>Later source:</w:t>
      </w:r>
      <w:r>
        <w:t xml:space="preserve"> Identifying and correcting spatial bias in opportunistic citizen science data for wild ungulates in Norway — https://doi.org/10.1002/ece3.8200</w:t>
      </w:r>
    </w:p>
    <w:p>
      <w:pPr>
        <w:pStyle w:val="SourceNote"/>
      </w:pPr>
      <w:r>
        <w:rPr>
          <w:b/>
        </w:rPr>
        <w:t>Review status:</w:t>
      </w:r>
      <w:r>
        <w:t xml:space="preserve"> unchecked — possible relationship only</w:t>
      </w:r>
    </w:p>
    <w:p>
      <w:pPr>
        <w:pStyle w:val="Heading2"/>
      </w:pPr>
      <w:r>
        <w:t>369. Claim + two later sources: Investigating European Union Decarbonization Strategies: Evaluating the Pathway to Carbon Neutrality by 2050</w:t>
      </w:r>
    </w:p>
    <w:p>
      <w:pPr>
        <w:pStyle w:val="SourceNote"/>
      </w:pPr>
      <w:r>
        <w:rPr>
          <w:b/>
        </w:rPr>
        <w:t>Group ID:</w:t>
      </w:r>
      <w:r>
        <w:t xml:space="preserve"> group-e224fd0ad82062ce3ab8</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Multicultural Issues: A Comparison of India and Europe — https://doi.org/10.54103/milanoup.196.c365</w:t>
      </w:r>
    </w:p>
    <w:p>
      <w:pPr/>
      <w:r>
        <w:rPr>
          <w:b/>
        </w:rPr>
        <w:t>Later source:</w:t>
      </w:r>
      <w:r>
        <w:t xml:space="preserve"> Prediction of the Methane Yield From Extensively Managed, Flower‐Rich Fen Grassland Based on NIRS Data — https://doi.org/10.1111/gcbb.70046</w:t>
      </w:r>
    </w:p>
    <w:p>
      <w:pPr>
        <w:pStyle w:val="SourceNote"/>
      </w:pPr>
      <w:r>
        <w:rPr>
          <w:b/>
        </w:rPr>
        <w:t>Review status:</w:t>
      </w:r>
      <w:r>
        <w:t xml:space="preserve"> unchecked — possible relationship only</w:t>
      </w:r>
    </w:p>
    <w:p>
      <w:pPr>
        <w:pStyle w:val="Heading2"/>
      </w:pPr>
      <w:r>
        <w:t>370. Claim + two later sources: The European Unions Strategic Gas Supply Options and the Prevalence of the Southern Corridor</w:t>
      </w:r>
    </w:p>
    <w:p>
      <w:pPr>
        <w:pStyle w:val="SourceNote"/>
      </w:pPr>
      <w:r>
        <w:rPr>
          <w:b/>
        </w:rPr>
        <w:t>Group ID:</w:t>
      </w:r>
      <w:r>
        <w:t xml:space="preserve"> group-54f2deb92973e6afad3d</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Assessment of IMERG Precipitation Estimates over Europe — https://doi.org/10.3390/rs11212470</w:t>
      </w:r>
    </w:p>
    <w:p>
      <w:pPr/>
      <w:r>
        <w:rPr>
          <w:b/>
        </w:rPr>
        <w:t>Later source:</w:t>
      </w:r>
      <w:r>
        <w:t xml:space="preserve"> Predicting Medical Students’ Current Attitudes Toward Psychiatry, Interest in Psychiatry, and Estimated Likelihood of Working in Psychiatry: A Cross-Sectional Study in Four European Countries — https://doi.org/10.3389/fpsyt.2018.00049</w:t>
      </w:r>
    </w:p>
    <w:p>
      <w:pPr>
        <w:pStyle w:val="SourceNote"/>
      </w:pPr>
      <w:r>
        <w:rPr>
          <w:b/>
        </w:rPr>
        <w:t>Review status:</w:t>
      </w:r>
      <w:r>
        <w:t xml:space="preserve"> unchecked — possible relationship only</w:t>
      </w:r>
    </w:p>
    <w:p>
      <w:pPr>
        <w:pStyle w:val="Heading2"/>
      </w:pPr>
      <w:r>
        <w:t>371.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372. Claim + two later sources: Climate change, extreme weather events, air pollution and respiratory health in Europe</w:t>
      </w:r>
    </w:p>
    <w:p>
      <w:pPr>
        <w:pStyle w:val="SourceNote"/>
      </w:pPr>
      <w:r>
        <w:rPr>
          <w:b/>
        </w:rPr>
        <w:t>Group ID:</w:t>
      </w:r>
      <w:r>
        <w:t xml:space="preserve"> group-d39860cc0cc2fac0b941</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The obstacles and changes in Sino-European trade routes in the twenty-first century due to climate change and geopolitical risks — https://doi.org/10.1057/s41599-026-08607-9</w:t>
      </w:r>
    </w:p>
    <w:p>
      <w:pPr>
        <w:pStyle w:val="SourceNote"/>
      </w:pPr>
      <w:r>
        <w:rPr>
          <w:b/>
        </w:rPr>
        <w:t>Review status:</w:t>
      </w:r>
      <w:r>
        <w:t xml:space="preserve"> unchecked — possible relationship only</w:t>
      </w:r>
    </w:p>
    <w:p>
      <w:pPr>
        <w:pStyle w:val="Heading2"/>
      </w:pPr>
      <w:r>
        <w:t>373. Claim + two later sources: Implementation of the 2030 sustainable development goals - affordable and clean energy in the European Union</w:t>
      </w:r>
    </w:p>
    <w:p>
      <w:pPr>
        <w:pStyle w:val="SourceNote"/>
      </w:pPr>
      <w:r>
        <w:rPr>
          <w:b/>
        </w:rPr>
        <w:t>Group ID:</w:t>
      </w:r>
      <w:r>
        <w:t xml:space="preserve"> group-fa28d16c2eb17d09d8b4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European protection order: the question of a predictive toolkit for the protection of victims of criminal offences — https://doi.org/10.24144/2788-6018.2024.02.109</w:t>
      </w:r>
    </w:p>
    <w:p>
      <w:pPr/>
      <w:r>
        <w:rPr>
          <w:b/>
        </w:rPr>
        <w:t>Later source:</w:t>
      </w:r>
      <w:r>
        <w:t xml:space="preserve"> Projecting traffic flows for road-based passenger transport in Europe for the analysis of climate impact — https://doi.org/10.1186/s12544-024-00652-2</w:t>
      </w:r>
    </w:p>
    <w:p>
      <w:pPr>
        <w:pStyle w:val="SourceNote"/>
      </w:pPr>
      <w:r>
        <w:rPr>
          <w:b/>
        </w:rPr>
        <w:t>Review status:</w:t>
      </w:r>
      <w:r>
        <w:t xml:space="preserve"> unchecked — possible relationship only</w:t>
      </w:r>
    </w:p>
    <w:p>
      <w:pPr>
        <w:pStyle w:val="Heading2"/>
      </w:pPr>
      <w:r>
        <w:t>374. Claim + two later sources: Focused Futures from Finland</w:t>
      </w:r>
    </w:p>
    <w:p>
      <w:pPr>
        <w:pStyle w:val="SourceNote"/>
      </w:pPr>
      <w:r>
        <w:rPr>
          <w:b/>
        </w:rPr>
        <w:t>Group ID:</w:t>
      </w:r>
      <w:r>
        <w:t xml:space="preserve"> group-d41f7bcfb10f7f3b5487</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end of China’s romance with Central and Eastern Europe — https://doi.org/10.1177/2059436421994442</w:t>
      </w:r>
    </w:p>
    <w:p>
      <w:pPr/>
      <w:r>
        <w:rPr>
          <w:b/>
        </w:rPr>
        <w:t>Later source:</w:t>
      </w:r>
      <w:r>
        <w:t xml:space="preserve"> European Union Litigation — https://doi.org/10.1515/ercl-2021-2028</w:t>
      </w:r>
    </w:p>
    <w:p>
      <w:pPr>
        <w:pStyle w:val="SourceNote"/>
      </w:pPr>
      <w:r>
        <w:rPr>
          <w:b/>
        </w:rPr>
        <w:t>Review status:</w:t>
      </w:r>
      <w:r>
        <w:t xml:space="preserve"> unchecked — possible relationship only</w:t>
      </w:r>
    </w:p>
    <w:p>
      <w:pPr>
        <w:pStyle w:val="Heading2"/>
      </w:pPr>
      <w:r>
        <w:t>375. Claim + two later sources: On the Future(s) of Energy Communities in the German Energy Transition: A Derivation of Transformation Pathways</w:t>
      </w:r>
    </w:p>
    <w:p>
      <w:pPr>
        <w:pStyle w:val="SourceNote"/>
      </w:pPr>
      <w:r>
        <w:rPr>
          <w:b/>
        </w:rPr>
        <w:t>Group ID:</w:t>
      </w:r>
      <w:r>
        <w:t xml:space="preserve"> group-9c5a752a99a22cd533d0</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The European Union: A Sui Generis Legal Order: Prospects for Development — https://doi.org/10.54237/profnet.2025.azsvlbffde_6</w:t>
      </w:r>
    </w:p>
    <w:p>
      <w:pPr/>
      <w:r>
        <w:rPr>
          <w:b/>
        </w:rPr>
        <w:t>Later source:</w:t>
      </w:r>
      <w:r>
        <w:t xml:space="preserve"> MODELLING THE RELATIONSHIP BETWEEN RETAIL DEVELOPMENT AND ECONOMIC INDICATORS IN EUROPEAN COUNTRIES — https://doi.org/10.29038/2786-4618-2024-01-124-134</w:t>
      </w:r>
    </w:p>
    <w:p>
      <w:pPr>
        <w:pStyle w:val="SourceNote"/>
      </w:pPr>
      <w:r>
        <w:rPr>
          <w:b/>
        </w:rPr>
        <w:t>Review status:</w:t>
      </w:r>
      <w:r>
        <w:t xml:space="preserve"> unchecked — possible relationship only</w:t>
      </w:r>
    </w:p>
    <w:p>
      <w:pPr>
        <w:pStyle w:val="Heading2"/>
      </w:pPr>
      <w:r>
        <w:t>376. Claim + two later sources: A new approach on renewable energy as a support for regional economic development among the European Union</w:t>
      </w:r>
    </w:p>
    <w:p>
      <w:pPr>
        <w:pStyle w:val="SourceNote"/>
      </w:pPr>
      <w:r>
        <w:rPr>
          <w:b/>
        </w:rPr>
        <w:t>Group ID:</w:t>
      </w:r>
      <w:r>
        <w:t xml:space="preserve"> group-680004338ce8f7491865</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Architecting IT governance: A value-alignment model for IT-enabled public innovation — https://doi.org/10.59490/6a91ad516096c5874dfb3702</w:t>
      </w:r>
    </w:p>
    <w:p>
      <w:pPr>
        <w:pStyle w:val="SourceNote"/>
      </w:pPr>
      <w:r>
        <w:rPr>
          <w:b/>
        </w:rPr>
        <w:t>Review status:</w:t>
      </w:r>
      <w:r>
        <w:t xml:space="preserve"> unchecked — possible relationship only</w:t>
      </w:r>
    </w:p>
    <w:p>
      <w:pPr>
        <w:pStyle w:val="Heading2"/>
      </w:pPr>
      <w:r>
        <w:t>377. Claim + two later sources: Foresighting addiction and lifestyles in Europe 2030+</w:t>
      </w:r>
    </w:p>
    <w:p>
      <w:pPr>
        <w:pStyle w:val="SourceNote"/>
      </w:pPr>
      <w:r>
        <w:rPr>
          <w:b/>
        </w:rPr>
        <w:t>Group ID:</w:t>
      </w:r>
      <w:r>
        <w:t xml:space="preserve"> group-32789dc937485686f1b2</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Later source:</w:t>
      </w:r>
      <w:r>
        <w:t xml:space="preserve"> Radiographer tips for gaining European research funding-our experience with the SAFE EUROPE project — https://openalex.org/W3202602997</w:t>
      </w:r>
    </w:p>
    <w:p>
      <w:pPr>
        <w:pStyle w:val="SourceNote"/>
      </w:pPr>
      <w:r>
        <w:rPr>
          <w:b/>
        </w:rPr>
        <w:t>Review status:</w:t>
      </w:r>
      <w:r>
        <w:t xml:space="preserve"> unchecked — possible relationship only</w:t>
      </w:r>
    </w:p>
    <w:p>
      <w:pPr>
        <w:pStyle w:val="Heading2"/>
      </w:pPr>
      <w:r>
        <w:t>378. Claim + two later sources: The Future of Internationalization of Higher Education in Europe</w:t>
      </w:r>
    </w:p>
    <w:p>
      <w:pPr>
        <w:pStyle w:val="SourceNote"/>
      </w:pPr>
      <w:r>
        <w:rPr>
          <w:b/>
        </w:rPr>
        <w:t>Group ID:</w:t>
      </w:r>
      <w:r>
        <w:t xml:space="preserve"> group-8de280421e0371800fb8</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Regional Pathways to Internationalization: The Role of Erasmus+ in European HEIs — https://doi.org/10.3390/urbansci9050144</w:t>
      </w:r>
    </w:p>
    <w:p>
      <w:pPr/>
      <w:r>
        <w:rPr>
          <w:b/>
        </w:rPr>
        <w:t>Later source:</w:t>
      </w:r>
      <w:r>
        <w:t xml:space="preserve"> Entry modes used in the internationalization process of automotive enterprises — https://doi.org/10.29119/1641-3466.2023.180.16</w:t>
      </w:r>
    </w:p>
    <w:p>
      <w:pPr>
        <w:pStyle w:val="SourceNote"/>
      </w:pPr>
      <w:r>
        <w:rPr>
          <w:b/>
        </w:rPr>
        <w:t>Review status:</w:t>
      </w:r>
      <w:r>
        <w:t xml:space="preserve"> unchecked — possible relationship only</w:t>
      </w:r>
    </w:p>
    <w:p>
      <w:pPr>
        <w:pStyle w:val="Heading2"/>
      </w:pPr>
      <w:r>
        <w:t>379. Claim + two later sources: Situational analysis of EU renewable energy legislation</w:t>
      </w:r>
    </w:p>
    <w:p>
      <w:pPr>
        <w:pStyle w:val="SourceNote"/>
      </w:pPr>
      <w:r>
        <w:rPr>
          <w:b/>
        </w:rPr>
        <w:t>Group ID:</w:t>
      </w:r>
      <w:r>
        <w:t xml:space="preserve"> group-2558565f16e3b23af3fa</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The EASL–Lancet Liver Commission: protecting the next generation of Europeans against liver disease complications and premature mortality — https://doi.org/10.1016/s0140-6736(21)01701-3</w:t>
      </w:r>
    </w:p>
    <w:p>
      <w:pPr/>
      <w:r>
        <w:rPr>
          <w:b/>
        </w:rPr>
        <w:t>Later source:</w:t>
      </w:r>
      <w:r>
        <w:t xml:space="preserve"> Social Innovation in Community Energy in Europe: A Review of the Evidence — https://doi.org/10.3389/fenrg.2019.00031</w:t>
      </w:r>
    </w:p>
    <w:p>
      <w:pPr>
        <w:pStyle w:val="SourceNote"/>
      </w:pPr>
      <w:r>
        <w:rPr>
          <w:b/>
        </w:rPr>
        <w:t>Review status:</w:t>
      </w:r>
      <w:r>
        <w:t xml:space="preserve"> unchecked — possible relationship only</w:t>
      </w:r>
    </w:p>
    <w:p>
      <w:pPr>
        <w:pStyle w:val="Heading2"/>
      </w:pPr>
      <w:r>
        <w:t>380.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group-41a0cad215b6a914579d</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Was there a notion of ‘enough’ in the European Green Deal? Sufficiency in the European Union’s sustainability discourse — https://doi.org/10.1108/sampj-10-2024-1103</w:t>
      </w:r>
    </w:p>
    <w:p>
      <w:pPr/>
      <w:r>
        <w:rPr>
          <w:b/>
        </w:rPr>
        <w:t>Later source:</w:t>
      </w:r>
      <w:r>
        <w:t xml:space="preserve"> Feasible solutions for sustainable diets with adequate protein intake : modelling diets for the Netherlands and Europe — https://doi.org/10.18174/681865</w:t>
      </w:r>
    </w:p>
    <w:p>
      <w:pPr>
        <w:pStyle w:val="SourceNote"/>
      </w:pPr>
      <w:r>
        <w:rPr>
          <w:b/>
        </w:rPr>
        <w:t>Review status:</w:t>
      </w:r>
      <w:r>
        <w:t xml:space="preserve"> unchecked — possible relationship only</w:t>
      </w:r>
    </w:p>
    <w:p>
      <w:pPr>
        <w:pStyle w:val="Heading2"/>
      </w:pPr>
      <w:r>
        <w:t>381. Claim + two later sources: Grassland futures in Great Britain – Productivity assessment and scenarios for land use change opportunities</w:t>
      </w:r>
    </w:p>
    <w:p>
      <w:pPr>
        <w:pStyle w:val="SourceNote"/>
      </w:pPr>
      <w:r>
        <w:rPr>
          <w:b/>
        </w:rPr>
        <w:t>Group ID:</w:t>
      </w:r>
      <w:r>
        <w:t xml:space="preserve"> group-fd7ba4d517b626d6a398</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The effects of climate change on mental health — https://doi.org/10.3238/arztebl.m2022.0403</w:t>
      </w:r>
    </w:p>
    <w:p>
      <w:pPr/>
      <w:r>
        <w:rPr>
          <w:b/>
        </w:rPr>
        <w:t>Later source:</w:t>
      </w:r>
      <w:r>
        <w:t xml:space="preserve"> Effects of Climate Change on Invasive Species — https://doi.org/10.1007/978-3-030-45367-1_4</w:t>
      </w:r>
    </w:p>
    <w:p>
      <w:pPr>
        <w:pStyle w:val="SourceNote"/>
      </w:pPr>
      <w:r>
        <w:rPr>
          <w:b/>
        </w:rPr>
        <w:t>Review status:</w:t>
      </w:r>
      <w:r>
        <w:t xml:space="preserve"> unchecked — possible relationship only</w:t>
      </w:r>
    </w:p>
    <w:p>
      <w:pPr>
        <w:pStyle w:val="Heading2"/>
      </w:pPr>
      <w:r>
        <w:t>382. Claim + two later sources: Demographic change and the European income distribution</w:t>
      </w:r>
    </w:p>
    <w:p>
      <w:pPr>
        <w:pStyle w:val="SourceNote"/>
      </w:pPr>
      <w:r>
        <w:rPr>
          <w:b/>
        </w:rPr>
        <w:t>Group ID:</w:t>
      </w:r>
      <w:r>
        <w:t xml:space="preserve"> group-fb6c095bd3599c0839e1</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key pillars of psychosocial disability: a European perspective on challenges and solutions — https://doi.org/10.3389/fpsyt.2025.1574301</w:t>
      </w:r>
    </w:p>
    <w:p>
      <w:pPr/>
      <w:r>
        <w:rPr>
          <w:b/>
        </w:rPr>
        <w:t>Later source:</w:t>
      </w:r>
      <w:r>
        <w:t xml:space="preserve"> Modelling the effect of context-specific greenhouse gas and nitrogen emission mitigation options in key European dairy farming systems — https://doi.org/10.1007/s13593-023-00940-6</w:t>
      </w:r>
    </w:p>
    <w:p>
      <w:pPr>
        <w:pStyle w:val="SourceNote"/>
      </w:pPr>
      <w:r>
        <w:rPr>
          <w:b/>
        </w:rPr>
        <w:t>Review status:</w:t>
      </w:r>
      <w:r>
        <w:t xml:space="preserve"> unchecked — possible relationship only</w:t>
      </w:r>
    </w:p>
    <w:p>
      <w:pPr>
        <w:pStyle w:val="Heading2"/>
      </w:pPr>
      <w:r>
        <w:t>383. Claim + two later sources: A decision support system to find the best water allocation strategies in a Mediterranean river basin in future scenarios of global change</w:t>
      </w:r>
    </w:p>
    <w:p>
      <w:pPr>
        <w:pStyle w:val="SourceNote"/>
      </w:pPr>
      <w:r>
        <w:rPr>
          <w:b/>
        </w:rPr>
        <w:t>Group ID:</w:t>
      </w:r>
      <w:r>
        <w:t xml:space="preserve"> group-d8e29891361eedf185b0</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Evaluation of a constructed wetland for wastewater treatment: Addressing emerging organic contaminants and antibiotic resistant bacteria — https://doi.org/10.1016/j.nbt.2019.05.006</w:t>
      </w:r>
    </w:p>
    <w:p>
      <w:pPr>
        <w:pStyle w:val="SourceNote"/>
      </w:pPr>
      <w:r>
        <w:rPr>
          <w:b/>
        </w:rPr>
        <w:t>Review status:</w:t>
      </w:r>
      <w:r>
        <w:t xml:space="preserve"> unchecked — possible relationship only</w:t>
      </w:r>
    </w:p>
    <w:p>
      <w:pPr>
        <w:pStyle w:val="Heading2"/>
      </w:pPr>
      <w:r>
        <w:t>384. Claim + two later sources: GLOBAL FORECAST OF US NATIONAL INTELLIGENCE COUNCIL</w:t>
      </w:r>
    </w:p>
    <w:p>
      <w:pPr>
        <w:pStyle w:val="SourceNote"/>
      </w:pPr>
      <w:r>
        <w:rPr>
          <w:b/>
        </w:rPr>
        <w:t>Group ID:</w:t>
      </w:r>
      <w:r>
        <w:t xml:space="preserve"> group-77e929bde6fee70f5601</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Digital transformation: theoretical backgrounds of digital change — https://doi.org/10.15611/ms.2019.4.05</w:t>
      </w:r>
    </w:p>
    <w:p>
      <w:pPr/>
      <w:r>
        <w:rPr>
          <w:b/>
        </w:rPr>
        <w:t>Later source:</w:t>
      </w:r>
      <w:r>
        <w:t xml:space="preserve"> Adapting the Multilingual Assessment Instrument for Narratives (MAIN) to Torwali — https://doi.org/10.21248/zaspil.64.2020.583</w:t>
      </w:r>
    </w:p>
    <w:p>
      <w:pPr>
        <w:pStyle w:val="SourceNote"/>
      </w:pPr>
      <w:r>
        <w:rPr>
          <w:b/>
        </w:rPr>
        <w:t>Review status:</w:t>
      </w:r>
      <w:r>
        <w:t xml:space="preserve"> unchecked — possible relationship only</w:t>
      </w:r>
    </w:p>
    <w:p>
      <w:pPr>
        <w:pStyle w:val="Heading2"/>
      </w:pPr>
      <w:r>
        <w:t>385. Claim + two later sources: Prediction of population with Alzheimer's disease in the European Union using a system dynamics model</w:t>
      </w:r>
    </w:p>
    <w:p>
      <w:pPr>
        <w:pStyle w:val="SourceNote"/>
      </w:pPr>
      <w:r>
        <w:rPr>
          <w:b/>
        </w:rPr>
        <w:t>Group ID:</w:t>
      </w:r>
      <w:r>
        <w:t xml:space="preserve"> group-d215e4d0cb9c2d741966</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Effects of Immigrants, Health, and Ageing on Economic Growth in the European Union — https://doi.org/10.3390/ijerph20010224</w:t>
      </w:r>
    </w:p>
    <w:p>
      <w:pPr/>
      <w:r>
        <w:rPr>
          <w:b/>
        </w:rPr>
        <w:t>Later source:</w:t>
      </w:r>
      <w:r>
        <w:t xml:space="preserve"> CO2 Emissions Scenarios in the European Union—The Urgency of Carbon Capture and Controlled Economic Growth — https://doi.org/10.3390/su18021043</w:t>
      </w:r>
    </w:p>
    <w:p>
      <w:pPr>
        <w:pStyle w:val="SourceNote"/>
      </w:pPr>
      <w:r>
        <w:rPr>
          <w:b/>
        </w:rPr>
        <w:t>Review status:</w:t>
      </w:r>
      <w:r>
        <w:t xml:space="preserve"> unchecked — possible relationship only</w:t>
      </w:r>
    </w:p>
    <w:p>
      <w:pPr>
        <w:pStyle w:val="Heading2"/>
      </w:pPr>
      <w:r>
        <w:t>386.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accepted — possible relationship only</w:t>
      </w:r>
    </w:p>
    <w:p>
      <w:pPr>
        <w:pStyle w:val="Heading2"/>
      </w:pPr>
      <w:r>
        <w:t>387. Claim + two later sources: Improved Consistency of Climate Projections over Europe after Accounting for Atmospheric Circulation Variability</w:t>
      </w:r>
    </w:p>
    <w:p>
      <w:pPr>
        <w:pStyle w:val="SourceNote"/>
      </w:pPr>
      <w:r>
        <w:rPr>
          <w:b/>
        </w:rPr>
        <w:t>Group ID:</w:t>
      </w:r>
      <w:r>
        <w:t xml:space="preserve"> group-1651e6d02af7a23af2d1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Climatological characteristics and atmospheric circulation associated with 3D heat wave types in European regions — https://doi.org/10.5194/egusphere-egu25-9748</w:t>
      </w:r>
    </w:p>
    <w:p>
      <w:pPr/>
      <w:r>
        <w:rPr>
          <w:b/>
        </w:rPr>
        <w:t>Later source:</w:t>
      </w:r>
      <w:r>
        <w:t xml:space="preserve"> Links to atmospheric circulation vary for individual heat wave types in Middle Europe — https://doi.org/10.5194/egusphere-egu25-9815</w:t>
      </w:r>
    </w:p>
    <w:p>
      <w:pPr>
        <w:pStyle w:val="SourceNote"/>
      </w:pPr>
      <w:r>
        <w:rPr>
          <w:b/>
        </w:rPr>
        <w:t>Review status:</w:t>
      </w:r>
      <w:r>
        <w:t xml:space="preserve"> unchecked — possible relationship only</w:t>
      </w:r>
    </w:p>
    <w:p>
      <w:pPr>
        <w:pStyle w:val="Heading2"/>
      </w:pPr>
      <w:r>
        <w:t>388.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389. Claim + two later sources: Energy futures as societal futures: Co-evolutionary scenarios linking futures of society and decarbonized energy systems in Switzerland 2050</w:t>
      </w:r>
    </w:p>
    <w:p>
      <w:pPr>
        <w:pStyle w:val="SourceNote"/>
      </w:pPr>
      <w:r>
        <w:rPr>
          <w:b/>
        </w:rPr>
        <w:t>Group ID:</w:t>
      </w:r>
      <w:r>
        <w:t xml:space="preserve"> group-1d515ba60236b9fbc060</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Polyendocrine metabolic ovarian syndrome, the new name for polycystic ovary syndrome: a multistep global consensus process — https://doi.org/10.1016/s0140-6736(26)00717-8</w:t>
      </w:r>
    </w:p>
    <w:p>
      <w:pPr/>
      <w:r>
        <w:rPr>
          <w:b/>
        </w:rPr>
        <w:t>Later source:</w:t>
      </w:r>
      <w:r>
        <w:t xml:space="preserve"> Global Consensus Recommendations for Metabolic Dysfunction-Associated Steatotic Liver Disease and Steatohepatitis — https://doi.org/10.1053/j.gastro.2025.02.044</w:t>
      </w:r>
    </w:p>
    <w:p>
      <w:pPr>
        <w:pStyle w:val="SourceNote"/>
      </w:pPr>
      <w:r>
        <w:rPr>
          <w:b/>
        </w:rPr>
        <w:t>Review status:</w:t>
      </w:r>
      <w:r>
        <w:t xml:space="preserve"> unchecked — possible relationship only</w:t>
      </w:r>
    </w:p>
    <w:p>
      <w:pPr>
        <w:pStyle w:val="Heading2"/>
      </w:pPr>
      <w:r>
        <w:t>390. Claim + two later sources: Imaginary scenarios: Literature and Democracy in Europe</w:t>
      </w:r>
    </w:p>
    <w:p>
      <w:pPr>
        <w:pStyle w:val="SourceNote"/>
      </w:pPr>
      <w:r>
        <w:rPr>
          <w:b/>
        </w:rPr>
        <w:t>Group ID:</w:t>
      </w:r>
      <w:r>
        <w:t xml:space="preserve"> group-2497419c6f54b683a33b</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Law, biomedical technoscience, and imaginaries — https://doi.org/10.1093/jlb/lsaa088</w:t>
      </w:r>
    </w:p>
    <w:p>
      <w:pPr>
        <w:pStyle w:val="SourceNote"/>
      </w:pPr>
      <w:r>
        <w:rPr>
          <w:b/>
        </w:rPr>
        <w:t>Review status:</w:t>
      </w:r>
      <w:r>
        <w:t xml:space="preserve"> unchecked — possible relationship only</w:t>
      </w:r>
    </w:p>
    <w:p>
      <w:pPr>
        <w:pStyle w:val="Heading2"/>
      </w:pPr>
      <w:r>
        <w:t>391. Claim + two later sources: Possible Futures towards a Wood-Based Bioeconomy: A Scenario Analysis for Germany</w:t>
      </w:r>
    </w:p>
    <w:p>
      <w:pPr>
        <w:pStyle w:val="SourceNote"/>
      </w:pPr>
      <w:r>
        <w:rPr>
          <w:b/>
        </w:rPr>
        <w:t>Group ID:</w:t>
      </w:r>
      <w:r>
        <w:t xml:space="preserve"> group-6c1df4af52e193a790db</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What Factors Drive a Sustainable Energy Transition in Europe? A Data-Driven Exploration of Economic and Policy Influences — https://doi.org/10.22541/au.175883292.27456920/v1</w:t>
      </w:r>
    </w:p>
    <w:p>
      <w:pPr/>
      <w:r>
        <w:rPr>
          <w:b/>
        </w:rPr>
        <w:t>Later source:</w:t>
      </w:r>
      <w:r>
        <w:t xml:space="preserve"> Europe Pet Food Ingredients Market: Growth Dynamics, Trends, and Regional Insights — https://doi.org/10.5281/zenodo.17731410</w:t>
      </w:r>
    </w:p>
    <w:p>
      <w:pPr>
        <w:pStyle w:val="SourceNote"/>
      </w:pPr>
      <w:r>
        <w:rPr>
          <w:b/>
        </w:rPr>
        <w:t>Review status:</w:t>
      </w:r>
      <w:r>
        <w:t xml:space="preserve"> unchecked — possible relationship only</w:t>
      </w:r>
    </w:p>
    <w:p>
      <w:pPr>
        <w:pStyle w:val="Heading2"/>
      </w:pPr>
      <w:r>
        <w:t>392. Claim + two later sources: The Boundaries of Scientific Innovation in the EU Green Deal Context</w:t>
      </w:r>
    </w:p>
    <w:p>
      <w:pPr>
        <w:pStyle w:val="SourceNote"/>
      </w:pPr>
      <w:r>
        <w:rPr>
          <w:b/>
        </w:rPr>
        <w:t>Group ID:</w:t>
      </w:r>
      <w:r>
        <w:t xml:space="preserve"> group-40a3978b664aec55ac8d</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New Role of the European Union and Its Global Projects — https://doi.org/10.46340/eppd.2026.13.3.2</w:t>
      </w:r>
    </w:p>
    <w:p>
      <w:pPr/>
      <w:r>
        <w:rPr>
          <w:b/>
        </w:rPr>
        <w:t>Later source:</w:t>
      </w:r>
      <w:r>
        <w:t xml:space="preserve"> The European Union — https://doi.org/10.60054/peu.2026.13.20-34</w:t>
      </w:r>
    </w:p>
    <w:p>
      <w:pPr>
        <w:pStyle w:val="SourceNote"/>
      </w:pPr>
      <w:r>
        <w:rPr>
          <w:b/>
        </w:rPr>
        <w:t>Review status:</w:t>
      </w:r>
      <w:r>
        <w:t xml:space="preserve"> unchecked — possible relationship only</w:t>
      </w:r>
    </w:p>
    <w:p>
      <w:pPr>
        <w:pStyle w:val="Heading2"/>
      </w:pPr>
      <w:r>
        <w:t>393. Claim + two later sources: EUHFORIA: European heliospheric forecasting information asset</w:t>
      </w:r>
    </w:p>
    <w:p>
      <w:pPr>
        <w:pStyle w:val="SourceNote"/>
      </w:pPr>
      <w:r>
        <w:rPr>
          <w:b/>
        </w:rPr>
        <w:t>Group ID:</w:t>
      </w:r>
      <w:r>
        <w:t xml:space="preserve"> group-47b1bbb9f16f72812637</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7.L. Workshop: New roles and innovative skill-mix in nursing across Europe: trends and lessons for implementation — https://doi.org/10.1093/eurpub/ckac129.446</w:t>
      </w:r>
    </w:p>
    <w:p>
      <w:pPr/>
      <w:r>
        <w:rPr>
          <w:b/>
        </w:rPr>
        <w:t>Later source:</w:t>
      </w:r>
      <w:r>
        <w:t xml:space="preserve"> Implementation of circular economy on the basis of European experience — https://doi.org/10.23939/smeu2021.02.280</w:t>
      </w:r>
    </w:p>
    <w:p>
      <w:pPr>
        <w:pStyle w:val="SourceNote"/>
      </w:pPr>
      <w:r>
        <w:rPr>
          <w:b/>
        </w:rPr>
        <w:t>Review status:</w:t>
      </w:r>
      <w:r>
        <w:t xml:space="preserve"> unchecked — possible relationship only</w:t>
      </w:r>
    </w:p>
    <w:p>
      <w:pPr>
        <w:pStyle w:val="Heading2"/>
      </w:pPr>
      <w:r>
        <w:t>394. Claim + two later sources: Potential implications of future climate and land‐cover changes for the fate and distribution of persistent organic pollutants in Europe</w:t>
      </w:r>
    </w:p>
    <w:p>
      <w:pPr>
        <w:pStyle w:val="SourceNote"/>
      </w:pPr>
      <w:r>
        <w:rPr>
          <w:b/>
        </w:rPr>
        <w:t>Group ID:</w:t>
      </w:r>
      <w:r>
        <w:t xml:space="preserve"> group-a052efbf76726da53b52</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Twenty Years of Land Accounts in Europe — https://doi.org/10.3390/land13091350</w:t>
      </w:r>
    </w:p>
    <w:p>
      <w:pPr>
        <w:pStyle w:val="SourceNote"/>
      </w:pPr>
      <w:r>
        <w:rPr>
          <w:b/>
        </w:rPr>
        <w:t>Review status:</w:t>
      </w:r>
      <w:r>
        <w:t xml:space="preserve"> unchecked — possible relationship only</w:t>
      </w:r>
    </w:p>
    <w:p>
      <w:pPr>
        <w:pStyle w:val="Heading2"/>
      </w:pPr>
      <w:r>
        <w:t>395.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396. Claim + two later sources: EUropean Heliospheric FORecasting Information Asset 2.0</w:t>
      </w:r>
    </w:p>
    <w:p>
      <w:pPr>
        <w:pStyle w:val="SourceNote"/>
      </w:pPr>
      <w:r>
        <w:rPr>
          <w:b/>
        </w:rPr>
        <w:t>Group ID:</w:t>
      </w:r>
      <w:r>
        <w:t xml:space="preserve"> group-1f93d7a4c591564c9a8e</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Exploring Hybrid Forecasting Frameworks for Subseasonal Low Flow Predictions in the European Alps — https://doi.org/10.5194/egusphere-2025-3411</w:t>
      </w:r>
    </w:p>
    <w:p>
      <w:pPr/>
      <w:r>
        <w:rPr>
          <w:b/>
        </w:rPr>
        <w:t>Later source:</w:t>
      </w:r>
      <w:r>
        <w:t xml:space="preserve"> Explainable artificial intelligence for reliable water demand forecasting to increase trust in predictions — https://doi.org/10.1016/j.watres.2024.122779</w:t>
      </w:r>
    </w:p>
    <w:p>
      <w:pPr>
        <w:pStyle w:val="SourceNote"/>
      </w:pPr>
      <w:r>
        <w:rPr>
          <w:b/>
        </w:rPr>
        <w:t>Review status:</w:t>
      </w:r>
      <w:r>
        <w:t xml:space="preserve"> unchecked — possible relationship only</w:t>
      </w:r>
    </w:p>
    <w:p>
      <w:pPr>
        <w:pStyle w:val="Heading2"/>
      </w:pPr>
      <w:r>
        <w:t>397. Claim + two later sources: Application of the UK Foresight Obesity Model in Ireland: The Health and Economic Consequences of Projected Obesity Trends in Ireland</w:t>
      </w:r>
    </w:p>
    <w:p>
      <w:pPr>
        <w:pStyle w:val="SourceNote"/>
      </w:pPr>
      <w:r>
        <w:rPr>
          <w:b/>
        </w:rPr>
        <w:t>Group ID:</w:t>
      </w:r>
      <w:r>
        <w:t xml:space="preserve"> group-dd8cde9aab7325f5ebd7</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DIRECT HOSPITAL COSTS PER CASE FOR PERIPROSTHETHIC HIP AND KNEE JOINT INFECTION IN EUROPE: A SYSTEMATIC REVIEW — https://doi.org/10.1302/1358-992x.2023.17.052</w:t>
      </w:r>
    </w:p>
    <w:p>
      <w:pPr/>
      <w:r>
        <w:rPr>
          <w:b/>
        </w:rPr>
        <w:t>Later source:</w:t>
      </w:r>
      <w:r>
        <w:t xml:space="preserve"> Healthcare resource utilisation and medical costs for children with interstitial lung diseases (chILD) in Europe — https://doi.org/10.1136/thoraxjnl-2021-217751</w:t>
      </w:r>
    </w:p>
    <w:p>
      <w:pPr>
        <w:pStyle w:val="SourceNote"/>
      </w:pPr>
      <w:r>
        <w:rPr>
          <w:b/>
        </w:rPr>
        <w:t>Review status:</w:t>
      </w:r>
      <w:r>
        <w:t xml:space="preserve"> unchecked — possible relationship only</w:t>
      </w:r>
    </w:p>
    <w:p>
      <w:pPr>
        <w:pStyle w:val="Heading2"/>
      </w:pPr>
      <w:r>
        <w:t>398. Claim + two later sources: Solar Photovoltaic Electricity Generation: A Lifeline for the European Coal Regions in Transition</w:t>
      </w:r>
    </w:p>
    <w:p>
      <w:pPr>
        <w:pStyle w:val="SourceNote"/>
      </w:pPr>
      <w:r>
        <w:rPr>
          <w:b/>
        </w:rPr>
        <w:t>Group ID:</w:t>
      </w:r>
      <w:r>
        <w:t xml:space="preserve"> group-4ca6cccf55553885299a</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Empowering whose future? A European policy analysis of children in energy poverty — https://doi.org/10.1016/j.erss.2023.103328</w:t>
      </w:r>
    </w:p>
    <w:p>
      <w:pPr/>
      <w:r>
        <w:rPr>
          <w:b/>
        </w:rPr>
        <w:t>Later source:</w:t>
      </w:r>
      <w:r>
        <w:t xml:space="preserve"> UKRAINE IN THE INTERNATIONAL ENERGY COORDINATE SYSTEM — https://doi.org/10.20998/2313-8890.2023.01.04</w:t>
      </w:r>
    </w:p>
    <w:p>
      <w:pPr>
        <w:pStyle w:val="SourceNote"/>
      </w:pPr>
      <w:r>
        <w:rPr>
          <w:b/>
        </w:rPr>
        <w:t>Review status:</w:t>
      </w:r>
      <w:r>
        <w:t xml:space="preserve"> unchecked — possible relationship only</w:t>
      </w:r>
    </w:p>
    <w:p>
      <w:pPr>
        <w:pStyle w:val="Heading2"/>
      </w:pPr>
      <w:r>
        <w:t>399. Claim + two later sources: When will European Muslim population be majority and in which country?</w:t>
      </w:r>
    </w:p>
    <w:p>
      <w:pPr>
        <w:pStyle w:val="SourceNote"/>
      </w:pPr>
      <w:r>
        <w:rPr>
          <w:b/>
        </w:rPr>
        <w:t>Group ID:</w:t>
      </w:r>
      <w:r>
        <w:t xml:space="preserve"> group-cf42276fd17d0242824d</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CSR and cost of debt in three European countries — https://doi.org/10.1007/s43621-026-03822-5</w:t>
      </w:r>
    </w:p>
    <w:p>
      <w:pPr>
        <w:pStyle w:val="SourceNote"/>
      </w:pPr>
      <w:r>
        <w:rPr>
          <w:b/>
        </w:rPr>
        <w:t>Review status:</w:t>
      </w:r>
      <w:r>
        <w:t xml:space="preserve"> unchecked — possible relationship only</w:t>
      </w:r>
    </w:p>
    <w:p>
      <w:pPr>
        <w:pStyle w:val="Heading2"/>
      </w:pPr>
      <w:r>
        <w:t>400. Claim + two later sources: Future life expectancy in 35 industrialised countries: projections with a Bayesian model ensemble</w:t>
      </w:r>
    </w:p>
    <w:p>
      <w:pPr>
        <w:pStyle w:val="SourceNote"/>
      </w:pPr>
      <w:r>
        <w:rPr>
          <w:b/>
        </w:rPr>
        <w:t>Group ID:</w:t>
      </w:r>
      <w:r>
        <w:t xml:space="preserve"> group-10d0d04d669a12fccff7</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Deciphering the sex gap in global life expectancy: the impact of female-specific cancers 1990-2019 — https://doi.org/10.1093/jnci/djae191</w:t>
      </w:r>
    </w:p>
    <w:p>
      <w:pPr/>
      <w:r>
        <w:rPr>
          <w:b/>
        </w:rPr>
        <w:t>Later source:</w:t>
      </w:r>
      <w:r>
        <w:t xml:space="preserve"> Seasonality in mortality and its impact on life expectancy levels and trends across Europe — https://doi.org/10.1136/jech-2024-223050</w:t>
      </w:r>
    </w:p>
    <w:p>
      <w:pPr>
        <w:pStyle w:val="SourceNote"/>
      </w:pPr>
      <w:r>
        <w:rPr>
          <w:b/>
        </w:rPr>
        <w:t>Review status:</w:t>
      </w:r>
      <w:r>
        <w:t xml:space="preserve"> unchecked — possible relationship only</w:t>
      </w:r>
    </w:p>
    <w:p>
      <w:pPr>
        <w:pStyle w:val="Heading2"/>
      </w:pPr>
      <w:r>
        <w:t>401. Claim + two later sources: The Role of BECCS in Achieving Climate Neutrality in the European Union</w:t>
      </w:r>
    </w:p>
    <w:p>
      <w:pPr>
        <w:pStyle w:val="SourceNote"/>
      </w:pPr>
      <w:r>
        <w:rPr>
          <w:b/>
        </w:rPr>
        <w:t>Group ID:</w:t>
      </w:r>
      <w:r>
        <w:t xml:space="preserve"> group-e99ff2a608564cd9f63b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CLIMATE NEUTRALITY IN THE EUROPEAN UNION: LEGAL CHALLENGES AND NATIONAL STRATEGIES — https://doi.org/10.17721/apmv.2025.163.1.78-85</w:t>
      </w:r>
    </w:p>
    <w:p>
      <w:pPr/>
      <w:r>
        <w:rPr>
          <w:b/>
        </w:rPr>
        <w:t>Later source:</w:t>
      </w:r>
      <w:r>
        <w:t xml:space="preserve"> Cluster Analysis of the Transition to Climate Neutrality in the European Union — https://doi.org/10.1002/sd.70064</w:t>
      </w:r>
    </w:p>
    <w:p>
      <w:pPr>
        <w:pStyle w:val="SourceNote"/>
      </w:pPr>
      <w:r>
        <w:rPr>
          <w:b/>
        </w:rPr>
        <w:t>Review status:</w:t>
      </w:r>
      <w:r>
        <w:t xml:space="preserve"> unchecked — possible relationship only</w:t>
      </w:r>
    </w:p>
    <w:p>
      <w:pPr>
        <w:pStyle w:val="Heading2"/>
      </w:pPr>
      <w:r>
        <w:t>402. Claim + two later sources: Ecosystem service provision in a changing Europe: adapting to the impacts of combined climate and socio-economic change</w:t>
      </w:r>
    </w:p>
    <w:p>
      <w:pPr>
        <w:pStyle w:val="SourceNote"/>
      </w:pPr>
      <w:r>
        <w:rPr>
          <w:b/>
        </w:rPr>
        <w:t>Group ID:</w:t>
      </w:r>
      <w:r>
        <w:t xml:space="preserve"> group-7c0e29cc7c71b0685f02</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Developing a cloud-based service offering actionable coastal climate risk and adaptation data across Europe — https://doi.org/10.1016/j.cliser.2026.100678</w:t>
      </w:r>
    </w:p>
    <w:p>
      <w:pPr>
        <w:pStyle w:val="SourceNote"/>
      </w:pPr>
      <w:r>
        <w:rPr>
          <w:b/>
        </w:rPr>
        <w:t>Review status:</w:t>
      </w:r>
      <w:r>
        <w:t xml:space="preserve"> unchecked — possible relationship only</w:t>
      </w:r>
    </w:p>
    <w:p>
      <w:pPr>
        <w:pStyle w:val="Heading2"/>
      </w:pPr>
      <w:r>
        <w:t>403. Claim + two later sources: Future scenarios for a depressed region of England: the role of education in creating alternative futures</w:t>
      </w:r>
    </w:p>
    <w:p>
      <w:pPr>
        <w:pStyle w:val="SourceNote"/>
      </w:pPr>
      <w:r>
        <w:rPr>
          <w:b/>
        </w:rPr>
        <w:t>Group ID:</w:t>
      </w:r>
      <w:r>
        <w:t xml:space="preserve"> group-c35799e78a69048df98a</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Relationship between Seminars and Employee Performance in Level Four Hospitals in South-Rift Region, Kenya — https://doi.org/10.47772/ijriss.2024.8100084</w:t>
      </w:r>
    </w:p>
    <w:p>
      <w:pPr>
        <w:pStyle w:val="SourceNote"/>
      </w:pPr>
      <w:r>
        <w:rPr>
          <w:b/>
        </w:rPr>
        <w:t>Review status:</w:t>
      </w:r>
      <w:r>
        <w:t xml:space="preserve"> unchecked — possible relationship only</w:t>
      </w:r>
    </w:p>
    <w:p>
      <w:pPr>
        <w:pStyle w:val="Heading2"/>
      </w:pPr>
      <w:r>
        <w:t>404. Claim + two later sources: Future mobility in an ageing society – Where are we heading?</w:t>
      </w:r>
    </w:p>
    <w:p>
      <w:pPr>
        <w:pStyle w:val="SourceNote"/>
      </w:pPr>
      <w:r>
        <w:rPr>
          <w:b/>
        </w:rPr>
        <w:t>Group ID:</w:t>
      </w:r>
      <w:r>
        <w:t xml:space="preserve"> group-36bde5ec0d0d6c999c67</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The synergy of exercise and a planned diet in mitigating oxidative stress — https://doi.org/10.22271/journalofsport.2025.v10.i1d.3043</w:t>
      </w:r>
    </w:p>
    <w:p>
      <w:pPr/>
      <w:r>
        <w:rPr>
          <w:b/>
        </w:rPr>
        <w:t>Later source:</w:t>
      </w:r>
      <w:r>
        <w:t xml:space="preserve"> Bodily maps of exercise-induced feelings — https://doi.org/10.1038/s41598-025-07246-5</w:t>
      </w:r>
    </w:p>
    <w:p>
      <w:pPr>
        <w:pStyle w:val="SourceNote"/>
      </w:pPr>
      <w:r>
        <w:rPr>
          <w:b/>
        </w:rPr>
        <w:t>Review status:</w:t>
      </w:r>
      <w:r>
        <w:t xml:space="preserve"> unchecked — possible relationship only</w:t>
      </w:r>
    </w:p>
    <w:p>
      <w:pPr>
        <w:pStyle w:val="Heading2"/>
      </w:pPr>
      <w:r>
        <w:t>405. Claim + two later sources: The Economic Impact of Investment in Renewables in Croatia by 2030</w:t>
      </w:r>
    </w:p>
    <w:p>
      <w:pPr>
        <w:pStyle w:val="SourceNote"/>
      </w:pPr>
      <w:r>
        <w:rPr>
          <w:b/>
        </w:rPr>
        <w:t>Group ID:</w:t>
      </w:r>
      <w:r>
        <w:t xml:space="preserve"> group-781f0723aa5f814e58f5</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THE HUSSITE MOVEMENT IN THE CZECH REPUBLIC — https://doi.org/10.31470/2786-8583-2024-4-105-110</w:t>
      </w:r>
    </w:p>
    <w:p>
      <w:pPr/>
      <w:r>
        <w:rPr>
          <w:b/>
        </w:rPr>
        <w:t>Later source:</w:t>
      </w:r>
      <w:r>
        <w:t xml:space="preserve"> European policy of the Republic of Türkiye: stages, priorities, transformations — https://doi.org/10.17721/2524-048x.2025.32.1</w:t>
      </w:r>
    </w:p>
    <w:p>
      <w:pPr>
        <w:pStyle w:val="SourceNote"/>
      </w:pPr>
      <w:r>
        <w:rPr>
          <w:b/>
        </w:rPr>
        <w:t>Review status:</w:t>
      </w:r>
      <w:r>
        <w:t xml:space="preserve"> unchecked — possible relationship only</w:t>
      </w:r>
    </w:p>
    <w:p>
      <w:pPr>
        <w:pStyle w:val="Heading2"/>
      </w:pPr>
      <w:r>
        <w:t>406. Claim + two later sources: Use of Counterfactual Population Projections for Assessing the Demographic Determinants of Population Ageing</w:t>
      </w:r>
    </w:p>
    <w:p>
      <w:pPr>
        <w:pStyle w:val="SourceNote"/>
      </w:pPr>
      <w:r>
        <w:rPr>
          <w:b/>
        </w:rPr>
        <w:t>Group ID:</w:t>
      </w:r>
      <w:r>
        <w:t xml:space="preserve"> group-c0f205ac91831a73c304</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Regional Disparities in Ageing and Longevity in Nepal: A Comprehensive Analysis by Province and Ecological Zone — https://doi.org/10.3126/oj.v3i4.91080</w:t>
      </w:r>
    </w:p>
    <w:p>
      <w:pPr/>
      <w:r>
        <w:rPr>
          <w:b/>
        </w:rPr>
        <w:t>Later source:</w:t>
      </w:r>
      <w:r>
        <w:t xml:space="preserve"> Inconsistent findings of ageing across different feather-quality indices in a wild passerine — https://doi.org/10.32942/x28953</w:t>
      </w:r>
    </w:p>
    <w:p>
      <w:pPr>
        <w:pStyle w:val="SourceNote"/>
      </w:pPr>
      <w:r>
        <w:rPr>
          <w:b/>
        </w:rPr>
        <w:t>Review status:</w:t>
      </w:r>
      <w:r>
        <w:t xml:space="preserve"> unchecked — possible relationship only</w:t>
      </w:r>
    </w:p>
    <w:p>
      <w:pPr>
        <w:pStyle w:val="Heading2"/>
      </w:pPr>
      <w:r>
        <w:t>407.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group-d187b45be5348823b9fb</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Anticipating tomorrow: The role of corporate foresight and prospective sensemaking in managing digital changes by established organizations — https://doi.org/10.1111/emre.70054</w:t>
      </w:r>
    </w:p>
    <w:p>
      <w:pPr/>
      <w:r>
        <w:rPr>
          <w:b/>
        </w:rPr>
        <w:t>Later source:</w:t>
      </w:r>
      <w:r>
        <w:t xml:space="preserve"> Foresight: the general course. Foresight technology as a tool for innovative development — https://doi.org/10.12737/2223654</w:t>
      </w:r>
    </w:p>
    <w:p>
      <w:pPr>
        <w:pStyle w:val="SourceNote"/>
      </w:pPr>
      <w:r>
        <w:rPr>
          <w:b/>
        </w:rPr>
        <w:t>Review status:</w:t>
      </w:r>
      <w:r>
        <w:t xml:space="preserve"> unchecked — possible relationship only</w:t>
      </w:r>
    </w:p>
    <w:p>
      <w:pPr>
        <w:pStyle w:val="Heading2"/>
      </w:pPr>
      <w:r>
        <w:t>408. Claim + two later sources: FORECASTED TRENDS IN CHANGES OF VEGETATION IN THE EUROPEAN PART OF RUSSIA IN CONNECTION WITH GLOBAL WARMING</w:t>
      </w:r>
    </w:p>
    <w:p>
      <w:pPr>
        <w:pStyle w:val="SourceNote"/>
      </w:pPr>
      <w:r>
        <w:rPr>
          <w:b/>
        </w:rPr>
        <w:t>Group ID:</w:t>
      </w:r>
      <w:r>
        <w:t xml:space="preserve"> group-d43e205f08d0bbf37240</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Climate-Adapted Potential Vegetation—A European Multiclass Model Estimating the Future Potential of Natural Vegetation — https://doi.org/10.3390/f14020239</w:t>
      </w:r>
    </w:p>
    <w:p>
      <w:pPr/>
      <w:r>
        <w:rPr>
          <w:b/>
        </w:rPr>
        <w:t>Later source:</w:t>
      </w:r>
      <w:r>
        <w:t xml:space="preserve"> Testing the Effect of Relative Pollen Productivity on the REVEALS Model: A Validated Reconstruction of Europe-Wide Holocene Vegetation — https://doi.org/10.3390/land12050986</w:t>
      </w:r>
    </w:p>
    <w:p>
      <w:pPr>
        <w:pStyle w:val="SourceNote"/>
      </w:pPr>
      <w:r>
        <w:rPr>
          <w:b/>
        </w:rPr>
        <w:t>Review status:</w:t>
      </w:r>
      <w:r>
        <w:t xml:space="preserve"> unchecked — possible relationship only</w:t>
      </w:r>
    </w:p>
    <w:p>
      <w:pPr>
        <w:pStyle w:val="Heading2"/>
      </w:pPr>
      <w:r>
        <w:t>409. Claim + two later sources: The role of transmission and energy storage in European decarbonization towards 2050</w:t>
      </w:r>
    </w:p>
    <w:p>
      <w:pPr>
        <w:pStyle w:val="SourceNote"/>
      </w:pPr>
      <w:r>
        <w:rPr>
          <w:b/>
        </w:rPr>
        <w:t>Group ID:</w:t>
      </w:r>
      <w:r>
        <w:t xml:space="preserve"> group-628dd31bd485ad2950f1</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Decadal Prediction for the European Energy Sector — https://doi.org/10.1002/met.70054</w:t>
      </w:r>
    </w:p>
    <w:p>
      <w:pPr/>
      <w:r>
        <w:rPr>
          <w:b/>
        </w:rPr>
        <w:t>Later source:</w:t>
      </w:r>
      <w:r>
        <w:t xml:space="preserve"> What pace for direct electrification? Insights from co-optimised pathways in the European chemical and power sector — https://doi.org/10.1016/j.ecmx.2024.100839</w:t>
      </w:r>
    </w:p>
    <w:p>
      <w:pPr>
        <w:pStyle w:val="SourceNote"/>
      </w:pPr>
      <w:r>
        <w:rPr>
          <w:b/>
        </w:rPr>
        <w:t>Review status:</w:t>
      </w:r>
      <w:r>
        <w:t xml:space="preserve"> unchecked — possible relationship only</w:t>
      </w:r>
    </w:p>
    <w:p>
      <w:pPr>
        <w:pStyle w:val="Heading2"/>
      </w:pPr>
      <w:r>
        <w:t>410. Claim + two later sources: Strategies for emerging research and innovation futures</w:t>
      </w:r>
    </w:p>
    <w:p>
      <w:pPr>
        <w:pStyle w:val="SourceNote"/>
      </w:pPr>
      <w:r>
        <w:rPr>
          <w:b/>
        </w:rPr>
        <w:t>Group ID:</w:t>
      </w:r>
      <w:r>
        <w:t xml:space="preserve"> group-d734e93232bd53a1fd4b</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Light is Calling — https://doi.org/10.5117/9789089649966_ch06</w:t>
      </w:r>
    </w:p>
    <w:p>
      <w:pPr>
        <w:pStyle w:val="SourceNote"/>
      </w:pPr>
      <w:r>
        <w:rPr>
          <w:b/>
        </w:rPr>
        <w:t>Review status:</w:t>
      </w:r>
      <w:r>
        <w:t xml:space="preserve"> unchecked — possible relationship only</w:t>
      </w:r>
    </w:p>
    <w:p>
      <w:pPr>
        <w:pStyle w:val="Heading2"/>
      </w:pPr>
      <w:r>
        <w:t>411. Claim + two later sources: Consistent economic cross-sectoral climate change impact scenario analysis: Method and application to Austria</w:t>
      </w:r>
    </w:p>
    <w:p>
      <w:pPr>
        <w:pStyle w:val="SourceNote"/>
      </w:pPr>
      <w:r>
        <w:rPr>
          <w:b/>
        </w:rPr>
        <w:t>Group ID:</w:t>
      </w:r>
      <w:r>
        <w:t xml:space="preserve"> group-b30193ceb1cb4b0fa635</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Climate resilience of European wine regions — https://doi.org/10.1038/s41467-024-50549-w</w:t>
      </w:r>
    </w:p>
    <w:p>
      <w:pPr/>
      <w:r>
        <w:rPr>
          <w:b/>
        </w:rPr>
        <w:t>Later source:</w:t>
      </w:r>
      <w:r>
        <w:t xml:space="preserve"> The first map of crop sequence types in Europe over 2012–2018 — https://doi.org/10.5194/essd-15-5651-2023</w:t>
      </w:r>
    </w:p>
    <w:p>
      <w:pPr>
        <w:pStyle w:val="SourceNote"/>
      </w:pPr>
      <w:r>
        <w:rPr>
          <w:b/>
        </w:rPr>
        <w:t>Review status:</w:t>
      </w:r>
      <w:r>
        <w:t xml:space="preserve"> unchecked — possible relationship only</w:t>
      </w:r>
    </w:p>
    <w:p>
      <w:pPr>
        <w:pStyle w:val="Heading2"/>
      </w:pPr>
      <w:r>
        <w:t>412. Claim + two later sources: POPULATION FORECAST WITH THE DATA PROCESSING GROUP METHOD (GMDH) type NEURAL NETWORK FOR EUROPEAN UNION COUNTRIES</w:t>
      </w:r>
    </w:p>
    <w:p>
      <w:pPr>
        <w:pStyle w:val="SourceNote"/>
      </w:pPr>
      <w:r>
        <w:rPr>
          <w:b/>
        </w:rPr>
        <w:t>Group ID:</w:t>
      </w:r>
      <w:r>
        <w:t xml:space="preserve"> group-b45e4a8cd2f355227cf8</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An Analytical Approach to Comparing Actual Vs. Fundamental “Enterprise Value-to-EBITDA” Ratios on the US and European Stock Markets — https://doi.org/10.37075/faba.2025.2.08</w:t>
      </w:r>
    </w:p>
    <w:p>
      <w:pPr/>
      <w:r>
        <w:rPr>
          <w:b/>
        </w:rPr>
        <w:t>Later source:</w:t>
      </w:r>
      <w:r>
        <w:t xml:space="preserve"> Plural Values of Culture in Europe — https://openalex.org/W7137507789</w:t>
      </w:r>
    </w:p>
    <w:p>
      <w:pPr>
        <w:pStyle w:val="SourceNote"/>
      </w:pPr>
      <w:r>
        <w:rPr>
          <w:b/>
        </w:rPr>
        <w:t>Review status:</w:t>
      </w:r>
      <w:r>
        <w:t xml:space="preserve"> unchecked — possible relationship only</w:t>
      </w:r>
    </w:p>
    <w:p>
      <w:pPr>
        <w:pStyle w:val="Heading2"/>
      </w:pPr>
      <w:r>
        <w:t>413.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group-1e9e785c924904fbaf49</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Key сhallenges of EU environmental law arising from the European Green Deal — https://doi.org/10.24144/2307-3322.2026.94.2.29</w:t>
      </w:r>
    </w:p>
    <w:p>
      <w:pPr/>
      <w:r>
        <w:rPr>
          <w:b/>
        </w:rPr>
        <w:t>Later source:</w:t>
      </w:r>
      <w:r>
        <w:t xml:space="preserve"> European ATM Key Performance Metrics Evolution — https://doi.org/10.35116/aa.2024.0006</w:t>
      </w:r>
    </w:p>
    <w:p>
      <w:pPr>
        <w:pStyle w:val="SourceNote"/>
      </w:pPr>
      <w:r>
        <w:rPr>
          <w:b/>
        </w:rPr>
        <w:t>Review status:</w:t>
      </w:r>
      <w:r>
        <w:t xml:space="preserve"> unchecked — possible relationship only</w:t>
      </w:r>
    </w:p>
    <w:p>
      <w:pPr>
        <w:pStyle w:val="Heading2"/>
      </w:pPr>
      <w:r>
        <w:t>414. Claim + two later sources: The future of polarisation in Europe: relative cosmopolitanism and democracy</w:t>
      </w:r>
    </w:p>
    <w:p>
      <w:pPr>
        <w:pStyle w:val="SourceNote"/>
      </w:pPr>
      <w:r>
        <w:rPr>
          <w:b/>
        </w:rPr>
        <w:t>Group ID:</w:t>
      </w:r>
      <w:r>
        <w:t xml:space="preserve"> group-78798cf0ba48249cbcd4</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INTRODUCTORY PREFACE: Publication Patterns of the Central European Public Administration Review – A Bibliometric Analysis — https://doi.org/10.17573/cepar.2024.1.01</w:t>
      </w:r>
    </w:p>
    <w:p>
      <w:pPr/>
      <w:r>
        <w:rPr>
          <w:b/>
        </w:rPr>
        <w:t>Later source:</w:t>
      </w:r>
      <w:r>
        <w:t xml:space="preserve"> Śvetāśvatara-Upaniṣad 1.1-16 / Translation from Sanskrit, Introductory Article and Commentaries by Yu. Zavhorodnii — https://doi.org/10.15407/orientw2024.03.292</w:t>
      </w:r>
    </w:p>
    <w:p>
      <w:pPr>
        <w:pStyle w:val="SourceNote"/>
      </w:pPr>
      <w:r>
        <w:rPr>
          <w:b/>
        </w:rPr>
        <w:t>Review status:</w:t>
      </w:r>
      <w:r>
        <w:t xml:space="preserve"> unchecked — possible relationship only</w:t>
      </w:r>
    </w:p>
    <w:p>
      <w:pPr>
        <w:pStyle w:val="Heading2"/>
      </w:pPr>
      <w:r>
        <w:t>415. Claim + two later sources: Energy Scenario Analysis for the Nordic Transport Sector: A Critical Review</w:t>
      </w:r>
    </w:p>
    <w:p>
      <w:pPr>
        <w:pStyle w:val="SourceNote"/>
      </w:pPr>
      <w:r>
        <w:rPr>
          <w:b/>
        </w:rPr>
        <w:t>Group ID:</w:t>
      </w:r>
      <w:r>
        <w:t xml:space="preserve"> group-72c402caac072e01490b</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Downstream Diversification of Critical Mineral-Rich Countries — https://doi.org/10.1007/978-3-032-06139-3_1</w:t>
      </w:r>
    </w:p>
    <w:p>
      <w:pPr/>
      <w:r>
        <w:rPr>
          <w:b/>
        </w:rPr>
        <w:t>Later source:</w:t>
      </w:r>
      <w:r>
        <w:t xml:space="preserve"> Rethinking Economic Policies: Diversification and Governance Strategies to Address the Resource Curse in Mineral‐Rich Economies — https://doi.org/10.1111/nrm.70011</w:t>
      </w:r>
    </w:p>
    <w:p>
      <w:pPr>
        <w:pStyle w:val="SourceNote"/>
      </w:pPr>
      <w:r>
        <w:rPr>
          <w:b/>
        </w:rPr>
        <w:t>Review status:</w:t>
      </w:r>
      <w:r>
        <w:t xml:space="preserve"> unchecked — possible relationship only</w:t>
      </w:r>
    </w:p>
    <w:p>
      <w:pPr>
        <w:pStyle w:val="Heading2"/>
      </w:pPr>
      <w:r>
        <w:t>416. Claim + two later sources: Suitability of European climate for the Asian tiger mosquito Aedes albopictus : recent trends and future scenarios</w:t>
      </w:r>
    </w:p>
    <w:p>
      <w:pPr>
        <w:pStyle w:val="SourceNote"/>
      </w:pPr>
      <w:r>
        <w:rPr>
          <w:b/>
        </w:rPr>
        <w:t>Group ID:</w:t>
      </w:r>
      <w:r>
        <w:t xml:space="preserve"> group-136f28e8ade7e787bc17</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Air Pollution in Europe, 2000–2019 — https://doi.org/10.4209/aaqr.230237</w:t>
      </w:r>
    </w:p>
    <w:p>
      <w:pPr/>
      <w:r>
        <w:rPr>
          <w:b/>
        </w:rPr>
        <w:t>Later source:</w:t>
      </w:r>
      <w:r>
        <w:t xml:space="preserve"> Youth Sport Participation Trends Across Europe: Implications for Policy and Practice — https://doi.org/10.1080/02701367.2022.2148623</w:t>
      </w:r>
    </w:p>
    <w:p>
      <w:pPr>
        <w:pStyle w:val="SourceNote"/>
      </w:pPr>
      <w:r>
        <w:rPr>
          <w:b/>
        </w:rPr>
        <w:t>Review status:</w:t>
      </w:r>
      <w:r>
        <w:t xml:space="preserve"> unchecked — possible relationship only</w:t>
      </w:r>
    </w:p>
    <w:p>
      <w:pPr>
        <w:pStyle w:val="Heading2"/>
      </w:pPr>
      <w:r>
        <w:t>417. Claim + two later sources: OPERATIONAL EARTHQUAKE FORECASTING. State of Knowledge and Guidelines for Utilization</w:t>
      </w:r>
    </w:p>
    <w:p>
      <w:pPr>
        <w:pStyle w:val="SourceNote"/>
      </w:pPr>
      <w:r>
        <w:rPr>
          <w:b/>
        </w:rPr>
        <w:t>Group ID:</w:t>
      </w:r>
      <w:r>
        <w:t xml:space="preserve"> group-77d8c9ca1efb52305029</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Modelling of the long-term evolution and performance of engineered barrier system — https://doi.org/10.1051/epjn/2022038</w:t>
      </w:r>
    </w:p>
    <w:p>
      <w:pPr>
        <w:pStyle w:val="SourceNote"/>
      </w:pPr>
      <w:r>
        <w:rPr>
          <w:b/>
        </w:rPr>
        <w:t>Review status:</w:t>
      </w:r>
      <w:r>
        <w:t xml:space="preserve"> unchecked — possible relationship only</w:t>
      </w:r>
    </w:p>
    <w:p>
      <w:pPr>
        <w:pStyle w:val="Heading2"/>
      </w:pPr>
      <w:r>
        <w:t>418. Claim + two later sources: The European Health Union: European Union’s Concern about Health for All. Concepts, Definition, and Scenarios</w:t>
      </w:r>
    </w:p>
    <w:p>
      <w:pPr>
        <w:pStyle w:val="SourceNote"/>
      </w:pPr>
      <w:r>
        <w:rPr>
          <w:b/>
        </w:rPr>
        <w:t>Group ID:</w:t>
      </w:r>
      <w:r>
        <w:t xml:space="preserve"> group-b46bcf8d2ba75d398a0e</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Urban labs beyond Europe: the formation and contextualization of experimental climate governance in five Latin American cities — https://doi.org/10.1177/09562478241230462</w:t>
      </w:r>
    </w:p>
    <w:p>
      <w:pPr/>
      <w:r>
        <w:rPr>
          <w:b/>
        </w:rPr>
        <w:t>Later source:</w:t>
      </w:r>
      <w:r>
        <w:t xml:space="preserve"> Evaluation of Colon Capsule Utilisation in Europe—CAPTURE EU Survey Findings — https://doi.org/10.3390/jcm14010099</w:t>
      </w:r>
    </w:p>
    <w:p>
      <w:pPr>
        <w:pStyle w:val="SourceNote"/>
      </w:pPr>
      <w:r>
        <w:rPr>
          <w:b/>
        </w:rPr>
        <w:t>Review status:</w:t>
      </w:r>
      <w:r>
        <w:t xml:space="preserve"> unchecked — possible relationship only</w:t>
      </w:r>
    </w:p>
    <w:p>
      <w:pPr>
        <w:pStyle w:val="Heading2"/>
      </w:pPr>
      <w:r>
        <w:t>419. Claim + two later sources: Ageing population and labour productivity in Bulgaria</w:t>
      </w:r>
    </w:p>
    <w:p>
      <w:pPr>
        <w:pStyle w:val="SourceNote"/>
      </w:pPr>
      <w:r>
        <w:rPr>
          <w:b/>
        </w:rPr>
        <w:t>Group ID:</w:t>
      </w:r>
      <w:r>
        <w:t xml:space="preserve"> group-3ce8819b68f9a6b5347d</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Migrants’ and refugees’ health status and healthcare in Europe: a scoping literature review — https://doi.org/10.1186/s12889-020-08749-8</w:t>
      </w:r>
    </w:p>
    <w:p>
      <w:pPr/>
      <w:r>
        <w:rPr>
          <w:b/>
        </w:rPr>
        <w:t>Later source:</w:t>
      </w:r>
      <w:r>
        <w:t xml:space="preserve"> The European media discourse on immigration and its effects: a literature review — https://doi.org/10.1080/23808985.2018.1497452</w:t>
      </w:r>
    </w:p>
    <w:p>
      <w:pPr>
        <w:pStyle w:val="SourceNote"/>
      </w:pPr>
      <w:r>
        <w:rPr>
          <w:b/>
        </w:rPr>
        <w:t>Review status:</w:t>
      </w:r>
      <w:r>
        <w:t xml:space="preserve"> unchecked — possible relationship only</w:t>
      </w:r>
    </w:p>
    <w:p>
      <w:pPr>
        <w:pStyle w:val="Heading2"/>
      </w:pPr>
      <w:r>
        <w:t>420. Claim + two later sources: Analysing the potential of integrating wind and solar power in Europe using spatial optimisation under various scenarios</w:t>
      </w:r>
    </w:p>
    <w:p>
      <w:pPr>
        <w:pStyle w:val="SourceNote"/>
      </w:pPr>
      <w:r>
        <w:rPr>
          <w:b/>
        </w:rPr>
        <w:t>Group ID:</w:t>
      </w:r>
      <w:r>
        <w:t xml:space="preserve"> group-37f053c96a832184b4f6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The opportunities and potential of camelina in marginal land in Europe — https://doi.org/10.1016/j.indcrop.2024.118224</w:t>
      </w:r>
    </w:p>
    <w:p>
      <w:pPr/>
      <w:r>
        <w:rPr>
          <w:b/>
        </w:rPr>
        <w:t>Later source:</w:t>
      </w:r>
      <w:r>
        <w:t xml:space="preserve"> Disparities of Central and Eastern European Countries of European Union in innovation potential: A multi-criteria assessment — https://doi.org/10.1016/j.joitmc.2024.100282</w:t>
      </w:r>
    </w:p>
    <w:p>
      <w:pPr>
        <w:pStyle w:val="SourceNote"/>
      </w:pPr>
      <w:r>
        <w:rPr>
          <w:b/>
        </w:rPr>
        <w:t>Review status:</w:t>
      </w:r>
      <w:r>
        <w:t xml:space="preserve"> unchecked — possible relationship only</w:t>
      </w:r>
    </w:p>
    <w:p>
      <w:pPr>
        <w:pStyle w:val="Heading2"/>
      </w:pPr>
      <w:r>
        <w:t>421. Claim + two later sources: How Sustainable Development Goals interlinkages influence European Union countries’ progress towards the 2030 Agenda</w:t>
      </w:r>
    </w:p>
    <w:p>
      <w:pPr>
        <w:pStyle w:val="SourceNote"/>
      </w:pPr>
      <w:r>
        <w:rPr>
          <w:b/>
        </w:rPr>
        <w:t>Group ID:</w:t>
      </w:r>
      <w:r>
        <w:t xml:space="preserve"> group-d9781dbc754352ca957d</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Navigating trade-offs: Energy dependency, geopolitical shocks, and sustainability in European parliamentary debates — https://doi.org/10.1016/j.erss.2025.104198</w:t>
      </w:r>
    </w:p>
    <w:p>
      <w:pPr/>
      <w:r>
        <w:rPr>
          <w:b/>
        </w:rPr>
        <w:t>Later source:</w:t>
      </w:r>
      <w:r>
        <w:t xml:space="preserve"> Family matters: the role of trade-offs in shaping human life-histories and health — https://doi.org/10.33612/diss.1419980082</w:t>
      </w:r>
    </w:p>
    <w:p>
      <w:pPr>
        <w:pStyle w:val="SourceNote"/>
      </w:pPr>
      <w:r>
        <w:rPr>
          <w:b/>
        </w:rPr>
        <w:t>Review status:</w:t>
      </w:r>
      <w:r>
        <w:t xml:space="preserve"> unchecked — possible relationship only</w:t>
      </w:r>
    </w:p>
    <w:p>
      <w:pPr>
        <w:pStyle w:val="Heading2"/>
      </w:pPr>
      <w:r>
        <w:t>422. Claim + two later sources: Decoupling transport-related greenhouse gas emissions and economic growth in the European Union countries</w:t>
      </w:r>
    </w:p>
    <w:p>
      <w:pPr>
        <w:pStyle w:val="SourceNote"/>
      </w:pPr>
      <w:r>
        <w:rPr>
          <w:b/>
        </w:rPr>
        <w:t>Group ID:</w:t>
      </w:r>
      <w:r>
        <w:t xml:space="preserve"> group-480da67e5022b36ab3a8</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 https://doi.org/10.1017/9781009293723.009</w:t>
      </w:r>
    </w:p>
    <w:p>
      <w:pPr/>
      <w:r>
        <w:rPr>
          <w:b/>
        </w:rPr>
        <w:t>Later source:</w:t>
      </w:r>
      <w:r>
        <w:t xml:space="preserve"> Setting the course: aligning European Union marine pollution policy ambitions with environmental realities — https://doi.org/10.3389/fmars.2025.1586918</w:t>
      </w:r>
    </w:p>
    <w:p>
      <w:pPr>
        <w:pStyle w:val="SourceNote"/>
      </w:pPr>
      <w:r>
        <w:rPr>
          <w:b/>
        </w:rPr>
        <w:t>Review status:</w:t>
      </w:r>
      <w:r>
        <w:t xml:space="preserve"> unchecked — possible relationship only</w:t>
      </w:r>
    </w:p>
    <w:p>
      <w:pPr>
        <w:pStyle w:val="Heading2"/>
      </w:pPr>
      <w:r>
        <w:t>423. Claim + two later sources: CROATIAN RURAL FUTURES IN 2030: FOUR ALTERNATIVE SCENARIOS FOR POSTSOCIALIST COUNTRYSIDE IN THE NEWEST E.U. MEMBER STATE</w:t>
      </w:r>
    </w:p>
    <w:p>
      <w:pPr>
        <w:pStyle w:val="SourceNote"/>
      </w:pPr>
      <w:r>
        <w:rPr>
          <w:b/>
        </w:rPr>
        <w:t>Group ID:</w:t>
      </w:r>
      <w:r>
        <w:t xml:space="preserve"> group-0c39643dcf96959a74da</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Alternative Investment Funds: Regulation in European Union Law and Prospects for Implementation in Ukraine — https://doi.org/10.31359/1993-0909.2026.33.3.386</w:t>
      </w:r>
    </w:p>
    <w:p>
      <w:pPr/>
      <w:r>
        <w:rPr>
          <w:b/>
        </w:rPr>
        <w:t>Later source:</w:t>
      </w:r>
      <w:r>
        <w:t xml:space="preserve"> Right-wing and left-wing populists in the 2024 European Parliament elections in Germany: an analysis of the success of Alternative for Germany and Sahra Wagenknecht's Alliance — https://doi.org/10.31338/1641-2478pe.3.25.11</w:t>
      </w:r>
    </w:p>
    <w:p>
      <w:pPr>
        <w:pStyle w:val="SourceNote"/>
      </w:pPr>
      <w:r>
        <w:rPr>
          <w:b/>
        </w:rPr>
        <w:t>Review status:</w:t>
      </w:r>
      <w:r>
        <w:t xml:space="preserve"> unchecked — possible relationship only</w:t>
      </w:r>
    </w:p>
    <w:p>
      <w:pPr>
        <w:pStyle w:val="Heading2"/>
      </w:pPr>
      <w:r>
        <w:t>424. Claim + two later sources: Modelling street level PM 10 concentrations across Europe: source apportionment and possible futures</w:t>
      </w:r>
    </w:p>
    <w:p>
      <w:pPr>
        <w:pStyle w:val="SourceNote"/>
      </w:pPr>
      <w:r>
        <w:rPr>
          <w:b/>
        </w:rPr>
        <w:t>Group ID:</w:t>
      </w:r>
      <w:r>
        <w:t xml:space="preserve"> group-90d248cb916c930a2f9b</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Understanding and predicting the geographic distributions of phlebotomine sand flies in and around Europe — https://doi.org/10.1007/s10584-025-04009-z</w:t>
      </w:r>
    </w:p>
    <w:p>
      <w:pPr/>
      <w:r>
        <w:rPr>
          <w:b/>
        </w:rPr>
        <w:t>Later source:</w:t>
      </w:r>
      <w:r>
        <w:t xml:space="preserve"> Distribution trends of European dragonflies under climate change — https://doi.org/10.1111/ddi.12913</w:t>
      </w:r>
    </w:p>
    <w:p>
      <w:pPr>
        <w:pStyle w:val="SourceNote"/>
      </w:pPr>
      <w:r>
        <w:rPr>
          <w:b/>
        </w:rPr>
        <w:t>Review status:</w:t>
      </w:r>
      <w:r>
        <w:t xml:space="preserve"> unchecked — possible relationship only</w:t>
      </w:r>
    </w:p>
    <w:p>
      <w:pPr>
        <w:pStyle w:val="Heading2"/>
      </w:pPr>
      <w:r>
        <w:t>425.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426. Claim + two later sources: Ensemble projections of future streamflow droughts in Europe</w:t>
      </w:r>
    </w:p>
    <w:p>
      <w:pPr>
        <w:pStyle w:val="SourceNote"/>
      </w:pPr>
      <w:r>
        <w:rPr>
          <w:b/>
        </w:rPr>
        <w:t>Group ID:</w:t>
      </w:r>
      <w:r>
        <w:t xml:space="preserve"> group-433bcdebfbd571ee0a7f</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a power system model with a hydrological model improves the representation of sub-monthly hydropower flexibility — https://doi.org/10.1016/j.apenergy.2025.126694</w:t>
      </w:r>
    </w:p>
    <w:p>
      <w:pPr/>
      <w:r>
        <w:rPr>
          <w:b/>
        </w:rPr>
        <w:t>Later source:</w:t>
      </w:r>
      <w:r>
        <w:t xml:space="preserve"> Coupling hydrological and sanitation datasets to simulate wastewater-derived contamination in European rivers: Model development and calibration — https://doi.org/10.1016/j.envsoft.2024.106049</w:t>
      </w:r>
    </w:p>
    <w:p>
      <w:pPr>
        <w:pStyle w:val="SourceNote"/>
      </w:pPr>
      <w:r>
        <w:rPr>
          <w:b/>
        </w:rPr>
        <w:t>Review status:</w:t>
      </w:r>
      <w:r>
        <w:t xml:space="preserve"> unchecked — possible relationship only</w:t>
      </w:r>
    </w:p>
    <w:p>
      <w:pPr>
        <w:pStyle w:val="Heading2"/>
      </w:pPr>
      <w:r>
        <w:t>427. Claim + two later sources: Brexit deal and demographics drag on long‐term outlook</w:t>
      </w:r>
    </w:p>
    <w:p>
      <w:pPr>
        <w:pStyle w:val="SourceNote"/>
      </w:pPr>
      <w:r>
        <w:rPr>
          <w:b/>
        </w:rPr>
        <w:t>Group ID:</w:t>
      </w:r>
      <w:r>
        <w:t xml:space="preserve"> group-632bb6a8a21a3c566b0a</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Damage — https://doi.org/10.1093/he/9780198949695.003.0035</w:t>
      </w:r>
    </w:p>
    <w:p>
      <w:pPr/>
      <w:r>
        <w:rPr>
          <w:b/>
        </w:rPr>
        <w:t>Later source:</w:t>
      </w:r>
      <w:r>
        <w:t xml:space="preserve"> A Study on Trade Damage and Trade Adjustment Assistance(TAA) — https://doi.org/10.18104/kalc.2023.38.1.31</w:t>
      </w:r>
    </w:p>
    <w:p>
      <w:pPr>
        <w:pStyle w:val="SourceNote"/>
      </w:pPr>
      <w:r>
        <w:rPr>
          <w:b/>
        </w:rPr>
        <w:t>Review status:</w:t>
      </w:r>
      <w:r>
        <w:t xml:space="preserve"> unchecked — possible relationship only</w:t>
      </w:r>
    </w:p>
    <w:p>
      <w:pPr>
        <w:pStyle w:val="Heading2"/>
      </w:pPr>
      <w:r>
        <w:t>428. Claim + two later sources: Analyst earnings forecast revision activity around profit warnings across four European countries</w:t>
      </w:r>
    </w:p>
    <w:p>
      <w:pPr>
        <w:pStyle w:val="SourceNote"/>
      </w:pPr>
      <w:r>
        <w:rPr>
          <w:b/>
        </w:rPr>
        <w:t>Group ID:</w:t>
      </w:r>
      <w:r>
        <w:t xml:space="preserve"> group-2456a137bad670b0c23f</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Artificial Intelligence (AI): Educational Implications, Limitations and Future of Learning in Higher Education in Oyo State — https://doi.org/10.52589/bjeldp-vjwdllek</w:t>
      </w:r>
    </w:p>
    <w:p>
      <w:pPr/>
      <w:r>
        <w:rPr>
          <w:b/>
        </w:rPr>
        <w:t>Later source:</w:t>
      </w:r>
      <w:r>
        <w:t xml:space="preserve"> Youth Sport Participation Trends Across Europe: Implications for Policy and Practice — https://doi.org/10.1080/02701367.2022.2148623</w:t>
      </w:r>
    </w:p>
    <w:p>
      <w:pPr>
        <w:pStyle w:val="SourceNote"/>
      </w:pPr>
      <w:r>
        <w:rPr>
          <w:b/>
        </w:rPr>
        <w:t>Review status:</w:t>
      </w:r>
      <w:r>
        <w:t xml:space="preserve"> unchecked — possible relationship only</w:t>
      </w:r>
    </w:p>
    <w:p>
      <w:pPr>
        <w:pStyle w:val="Heading2"/>
      </w:pPr>
      <w:r>
        <w:t>429. Claim + two later sources: A multi-model, multi-scenario, and multi-domain analysis of regional climate projections for the Mediterranean</w:t>
      </w:r>
    </w:p>
    <w:p>
      <w:pPr>
        <w:pStyle w:val="SourceNote"/>
      </w:pPr>
      <w:r>
        <w:rPr>
          <w:b/>
        </w:rPr>
        <w:t>Group ID:</w:t>
      </w:r>
      <w:r>
        <w:t xml:space="preserve"> group-2eafb43bfa5f2f46961d</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Designing integrated and resilient multi-energy systems via multi-objective optimization and scenario analysis — https://doi.org/10.5194/egusphere-egu24-3162</w:t>
      </w:r>
    </w:p>
    <w:p>
      <w:pPr>
        <w:pStyle w:val="SourceNote"/>
      </w:pPr>
      <w:r>
        <w:rPr>
          <w:b/>
        </w:rPr>
        <w:t>Review status:</w:t>
      </w:r>
      <w:r>
        <w:t xml:space="preserve"> unchecked — possible relationship only</w:t>
      </w:r>
    </w:p>
    <w:p>
      <w:pPr>
        <w:pStyle w:val="Heading2"/>
      </w:pPr>
      <w:r>
        <w:t>430. Claim + two later sources: A comparison of low carbon investment needs between China and Europe in stringent climate policy scenarios</w:t>
      </w:r>
    </w:p>
    <w:p>
      <w:pPr>
        <w:pStyle w:val="SourceNote"/>
      </w:pPr>
      <w:r>
        <w:rPr>
          <w:b/>
        </w:rPr>
        <w:t>Group ID:</w:t>
      </w:r>
      <w:r>
        <w:t xml:space="preserve"> group-ac8432ba447e2ee18be0</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The micro-macro interplay of economic factors in late-life loneliness: Evidence from Europe and China — https://doi.org/10.3389/fpubh.2022.968411</w:t>
      </w:r>
    </w:p>
    <w:p>
      <w:pPr>
        <w:pStyle w:val="SourceNote"/>
      </w:pPr>
      <w:r>
        <w:rPr>
          <w:b/>
        </w:rPr>
        <w:t>Review status:</w:t>
      </w:r>
      <w:r>
        <w:t xml:space="preserve"> unchecked — possible relationship only</w:t>
      </w:r>
    </w:p>
    <w:p>
      <w:pPr>
        <w:pStyle w:val="Heading2"/>
      </w:pPr>
      <w:r>
        <w:t>431.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432.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433. Claim + two later sources: South East Europe electricity roadmap – modelling energy transition in the electricity sectors</w:t>
      </w:r>
    </w:p>
    <w:p>
      <w:pPr>
        <w:pStyle w:val="SourceNote"/>
      </w:pPr>
      <w:r>
        <w:rPr>
          <w:b/>
        </w:rPr>
        <w:t>Group ID:</w:t>
      </w:r>
      <w:r>
        <w:t xml:space="preserve"> group-9b6053a37dabf0bb046b</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Challenges in the micropropagation of economically important fruit species in Europe — https://doi.org/10.1007/s11240-025-03165-5</w:t>
      </w:r>
    </w:p>
    <w:p>
      <w:pPr/>
      <w:r>
        <w:rPr>
          <w:b/>
        </w:rPr>
        <w:t>Later source:</w:t>
      </w:r>
      <w:r>
        <w:t xml:space="preserve"> Exploring the joint probability of precipitation and soil moisture over Europe using copulas — https://doi.org/10.5194/hess-28-103-2024</w:t>
      </w:r>
    </w:p>
    <w:p>
      <w:pPr>
        <w:pStyle w:val="SourceNote"/>
      </w:pPr>
      <w:r>
        <w:rPr>
          <w:b/>
        </w:rPr>
        <w:t>Review status:</w:t>
      </w:r>
      <w:r>
        <w:t xml:space="preserve"> unchecked — possible relationship only</w:t>
      </w:r>
    </w:p>
    <w:p>
      <w:pPr>
        <w:pStyle w:val="Heading2"/>
      </w:pPr>
      <w:r>
        <w:t>434.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possible relationship only</w:t>
      </w:r>
    </w:p>
    <w:p>
      <w:pPr>
        <w:pStyle w:val="Heading2"/>
      </w:pPr>
      <w:r>
        <w:t>435. Claim + two later sources: Brexit adds to gloom over long‐term growth prospects</w:t>
      </w:r>
    </w:p>
    <w:p>
      <w:pPr>
        <w:pStyle w:val="SourceNote"/>
      </w:pPr>
      <w:r>
        <w:rPr>
          <w:b/>
        </w:rPr>
        <w:t>Group ID:</w:t>
      </w:r>
      <w:r>
        <w:t xml:space="preserve"> group-d3b14fb5b58171eb007d</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Accurate medium-range global weather forecasting with 3D neural networks — https://doi.org/10.1038/s41586-023-06185-3</w:t>
      </w:r>
    </w:p>
    <w:p>
      <w:pPr/>
      <w:r>
        <w:rPr>
          <w:b/>
        </w:rPr>
        <w:t>Later source:</w:t>
      </w:r>
      <w:r>
        <w:t xml:space="preserve"> Global seasonal forecasts of marine heatwaves — https://doi.org/10.1038/s41586-022-04573-9</w:t>
      </w:r>
    </w:p>
    <w:p>
      <w:pPr>
        <w:pStyle w:val="SourceNote"/>
      </w:pPr>
      <w:r>
        <w:rPr>
          <w:b/>
        </w:rPr>
        <w:t>Review status:</w:t>
      </w:r>
      <w:r>
        <w:t xml:space="preserve"> unchecked — possible relationship only</w:t>
      </w:r>
    </w:p>
    <w:p>
      <w:pPr>
        <w:pStyle w:val="Heading2"/>
      </w:pPr>
      <w:r>
        <w:t>436. Claim + two later sources: The European forest sector: past and future carbon budget and fluxes under different management scenarios</w:t>
      </w:r>
    </w:p>
    <w:p>
      <w:pPr>
        <w:pStyle w:val="SourceNote"/>
      </w:pPr>
      <w:r>
        <w:rPr>
          <w:b/>
        </w:rPr>
        <w:t>Group ID:</w:t>
      </w:r>
      <w:r>
        <w:t xml:space="preserve"> group-16cbc9061f248acff60f</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Does harvest of the European grayling, Thymallus thymallus (Actinopterygii: Salmoniformes: Salmonidae), change over time with different intensity of fish stocking and fishing effort? — https://doi.org/10.3750/aiep/02643</w:t>
      </w:r>
    </w:p>
    <w:p>
      <w:pPr/>
      <w:r>
        <w:rPr>
          <w:b/>
        </w:rPr>
        <w:t>Later source:</w:t>
      </w:r>
      <w:r>
        <w:t xml:space="preserve"> Harvesting reflective knowledge exchange for inbound open innovation in complex collaborative networks: an empirical verification in Europe — https://doi.org/10.1108/jkm-04-2020-0300</w:t>
      </w:r>
    </w:p>
    <w:p>
      <w:pPr>
        <w:pStyle w:val="SourceNote"/>
      </w:pPr>
      <w:r>
        <w:rPr>
          <w:b/>
        </w:rPr>
        <w:t>Review status:</w:t>
      </w:r>
      <w:r>
        <w:t xml:space="preserve"> unchecked — possible relationship only</w:t>
      </w:r>
    </w:p>
    <w:p>
      <w:pPr>
        <w:pStyle w:val="Heading2"/>
      </w:pPr>
      <w:r>
        <w:t>437. Claim + two later sources: Foresight in Higher Education Institutions: Evidence from Poland</w:t>
      </w:r>
    </w:p>
    <w:p>
      <w:pPr>
        <w:pStyle w:val="SourceNote"/>
      </w:pPr>
      <w:r>
        <w:rPr>
          <w:b/>
        </w:rPr>
        <w:t>Group ID:</w:t>
      </w:r>
      <w:r>
        <w:t xml:space="preserve"> group-2c426b266a69793a1593</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3 Europe as the Crisis of Play — https://doi.org/10.1515/9781438499819-004</w:t>
      </w:r>
    </w:p>
    <w:p>
      <w:pPr/>
      <w:r>
        <w:rPr>
          <w:b/>
        </w:rPr>
        <w:t>Later source:</w:t>
      </w:r>
      <w:r>
        <w:t xml:space="preserve"> Animal Welfare Protocols and Labelling Schemes for Broilers in Europe — https://doi.org/10.3390/poultry4030029</w:t>
      </w:r>
    </w:p>
    <w:p>
      <w:pPr>
        <w:pStyle w:val="SourceNote"/>
      </w:pPr>
      <w:r>
        <w:rPr>
          <w:b/>
        </w:rPr>
        <w:t>Review status:</w:t>
      </w:r>
      <w:r>
        <w:t xml:space="preserve"> unchecked — possible relationship only</w:t>
      </w:r>
    </w:p>
    <w:p>
      <w:pPr>
        <w:pStyle w:val="Heading2"/>
      </w:pPr>
      <w:r>
        <w:t>438. Claim + two later sources: The Future of Rural Poland: the Main Trends and Possible Scenarios.</w:t>
      </w:r>
    </w:p>
    <w:p>
      <w:pPr>
        <w:pStyle w:val="SourceNote"/>
      </w:pPr>
      <w:r>
        <w:rPr>
          <w:b/>
        </w:rPr>
        <w:t>Group ID:</w:t>
      </w:r>
      <w:r>
        <w:t xml:space="preserve"> group-dbff0671153f28bac707</w:t>
      </w:r>
    </w:p>
    <w:p>
      <w:pPr>
        <w:pStyle w:val="SourceNote"/>
      </w:pPr>
      <w:r>
        <w:rPr>
          <w:b/>
        </w:rPr>
        <w:t>Original source:</w:t>
      </w:r>
      <w:r>
        <w:t xml:space="preserve"> https://doi.org/10.1515/eec-2017-0004</w:t>
      </w:r>
    </w:p>
    <w:p>
      <w:pPr/>
      <w:r>
        <w:rPr>
          <w:b/>
        </w:rPr>
        <w:t>Original future claim:</w:t>
      </w:r>
      <w:r>
        <w:t xml:space="preserve">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Abstracts of the 19th European Congress of Psychology — https://doi.org/10.1024/2673-8627/a000085</w:t>
      </w:r>
    </w:p>
    <w:p>
      <w:pPr/>
      <w:r>
        <w:rPr>
          <w:b/>
        </w:rPr>
        <w:t>Later source:</w:t>
      </w:r>
      <w:r>
        <w:t xml:space="preserve"> Organizational Models in European Forestry: An Attempt of Conceptualization and Categorization — https://doi.org/10.3390/f14050905</w:t>
      </w:r>
    </w:p>
    <w:p>
      <w:pPr>
        <w:pStyle w:val="SourceNote"/>
      </w:pPr>
      <w:r>
        <w:rPr>
          <w:b/>
        </w:rPr>
        <w:t>Review status:</w:t>
      </w:r>
      <w:r>
        <w:t xml:space="preserve"> unchecked — possible relationship only</w:t>
      </w:r>
    </w:p>
    <w:p>
      <w:pPr>
        <w:pStyle w:val="Heading2"/>
      </w:pPr>
      <w:r>
        <w:t>439. Claim + two later sources: Future Projections of Heat Mortality Risk for Major European Cities</w:t>
      </w:r>
    </w:p>
    <w:p>
      <w:pPr>
        <w:pStyle w:val="SourceNote"/>
      </w:pPr>
      <w:r>
        <w:rPr>
          <w:b/>
        </w:rPr>
        <w:t>Group ID:</w:t>
      </w:r>
      <w:r>
        <w:t xml:space="preserve"> group-d5bd395f2a2aafd3f270</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The impact of heat and cold on mortality and life expectancy in Europe, 2015–2024 — https://doi.org/10.1016/j.ehb.2026.101607</w:t>
      </w:r>
    </w:p>
    <w:p>
      <w:pPr/>
      <w:r>
        <w:rPr>
          <w:b/>
        </w:rPr>
        <w:t>Later source:</w:t>
      </w:r>
      <w:r>
        <w:t xml:space="preserve"> Trends in mortality and disability from ischaemic stroke in Europe, 1990-2023 — https://doi.org/10.1093/esj/aakag082</w:t>
      </w:r>
    </w:p>
    <w:p>
      <w:pPr>
        <w:pStyle w:val="SourceNote"/>
      </w:pPr>
      <w:r>
        <w:rPr>
          <w:b/>
        </w:rPr>
        <w:t>Review status:</w:t>
      </w:r>
      <w:r>
        <w:t xml:space="preserve"> unchecked — possible relationship only</w:t>
      </w:r>
    </w:p>
    <w:p>
      <w:pPr>
        <w:pStyle w:val="Heading2"/>
      </w:pPr>
      <w:r>
        <w:t>440. Claim + two later sources: Pathways to Deep Decarbonization in Italy</w:t>
      </w:r>
    </w:p>
    <w:p>
      <w:pPr>
        <w:pStyle w:val="SourceNote"/>
      </w:pPr>
      <w:r>
        <w:rPr>
          <w:b/>
        </w:rPr>
        <w:t>Group ID:</w:t>
      </w:r>
      <w:r>
        <w:t xml:space="preserve"> group-980d4cc5c5c7a6aa8c25</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BOOK REVIEW: OPEN AND DISTANCE EDUCATION IN AUSTRALIA, EUROPE AND THE AMERICAS: NATIONAL PERSPECTIVES IN A DIGITAL AGE — https://openalex.org/W7167292450</w:t>
      </w:r>
    </w:p>
    <w:p>
      <w:pPr/>
      <w:r>
        <w:rPr>
          <w:b/>
        </w:rPr>
        <w:t>Later source:</w:t>
      </w:r>
      <w:r>
        <w:t xml:space="preserve"> THE RELEVANCE OF THE BRAZILIAN AMAZON FOR THE RELATIONSHIP BETWEEN BRAZIL AND THE EUROPEAN UNION — https://openalex.org/W7119374139</w:t>
      </w:r>
    </w:p>
    <w:p>
      <w:pPr>
        <w:pStyle w:val="SourceNote"/>
      </w:pPr>
      <w:r>
        <w:rPr>
          <w:b/>
        </w:rPr>
        <w:t>Review status:</w:t>
      </w:r>
      <w:r>
        <w:t xml:space="preserve"> unchecked — possible relationship only</w:t>
      </w:r>
    </w:p>
    <w:p>
      <w:pPr>
        <w:pStyle w:val="Heading2"/>
      </w:pPr>
      <w:r>
        <w:t>441. Claim + two later sources: COVID-19 and European maritime futures: different pathways to deal with the pandemic</w:t>
      </w:r>
    </w:p>
    <w:p>
      <w:pPr>
        <w:pStyle w:val="SourceNote"/>
      </w:pPr>
      <w:r>
        <w:rPr>
          <w:b/>
        </w:rPr>
        <w:t>Group ID:</w:t>
      </w:r>
      <w:r>
        <w:t xml:space="preserve"> group-ad854bdb3b5690c7a3b2</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The role of Latvia's maritime spatial planning in promoting the European Green Deal — https://doi.org/10.7163/eu21.2022.42.4</w:t>
      </w:r>
    </w:p>
    <w:p>
      <w:pPr/>
      <w:r>
        <w:rPr>
          <w:b/>
        </w:rPr>
        <w:t>Later source:</w:t>
      </w:r>
      <w:r>
        <w:t xml:space="preserve"> Inventive Activity for Climate Change Mitigation: An Insight into the Maritime Industry — https://doi.org/10.3390/en16217403</w:t>
      </w:r>
    </w:p>
    <w:p>
      <w:pPr>
        <w:pStyle w:val="SourceNote"/>
      </w:pPr>
      <w:r>
        <w:rPr>
          <w:b/>
        </w:rPr>
        <w:t>Review status:</w:t>
      </w:r>
      <w:r>
        <w:t xml:space="preserve"> unchecked — possible relationship only</w:t>
      </w:r>
    </w:p>
    <w:p>
      <w:pPr>
        <w:pStyle w:val="Heading2"/>
      </w:pPr>
      <w:r>
        <w:t>442. Claim + two later sources: The Impact of Decarbonization Scenarios on Air Quality and Human Health in Poland—Analysis of Scenarios up to 2050</w:t>
      </w:r>
    </w:p>
    <w:p>
      <w:pPr>
        <w:pStyle w:val="SourceNote"/>
      </w:pPr>
      <w:r>
        <w:rPr>
          <w:b/>
        </w:rPr>
        <w:t>Group ID:</w:t>
      </w:r>
      <w:r>
        <w:t xml:space="preserve"> group-420808e1dfed02494e6b</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Pro-environmental behaviour in Europe — https://openalex.org/W7213476392</w:t>
      </w:r>
    </w:p>
    <w:p>
      <w:pPr/>
      <w:r>
        <w:rPr>
          <w:b/>
        </w:rPr>
        <w:t>Later source:</w:t>
      </w:r>
      <w:r>
        <w:t xml:space="preserve"> A Europe-wide characterization of the external exposome: A spatio-temporal analysis — https://doi.org/10.1016/j.envint.2025.109542</w:t>
      </w:r>
    </w:p>
    <w:p>
      <w:pPr>
        <w:pStyle w:val="SourceNote"/>
      </w:pPr>
      <w:r>
        <w:rPr>
          <w:b/>
        </w:rPr>
        <w:t>Review status:</w:t>
      </w:r>
      <w:r>
        <w:t xml:space="preserve"> unchecked — possible relationship only</w:t>
      </w:r>
    </w:p>
    <w:p>
      <w:pPr>
        <w:pStyle w:val="Heading2"/>
      </w:pPr>
      <w:r>
        <w:t>443. Claim + two later sources: Developing scenarios for the Norwegian travel industry 2025</w:t>
      </w:r>
    </w:p>
    <w:p>
      <w:pPr>
        <w:pStyle w:val="SourceNote"/>
      </w:pPr>
      <w:r>
        <w:rPr>
          <w:b/>
        </w:rPr>
        <w:t>Group ID:</w:t>
      </w:r>
      <w:r>
        <w:t xml:space="preserve"> group-84d6b95d3687f2741eae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Understanding and Mitigating Bias in Imaging Artificial Intelligence — https://doi.org/10.1148/rg.230067</w:t>
      </w:r>
    </w:p>
    <w:p>
      <w:pPr>
        <w:pStyle w:val="SourceNote"/>
      </w:pPr>
      <w:r>
        <w:rPr>
          <w:b/>
        </w:rPr>
        <w:t>Review status:</w:t>
      </w:r>
      <w:r>
        <w:t xml:space="preserve"> unchecked — possible relationship only</w:t>
      </w:r>
    </w:p>
    <w:p>
      <w:pPr>
        <w:pStyle w:val="Heading2"/>
      </w:pPr>
      <w:r>
        <w:t>444. Claim + two later sources: Investigating scenario planning – a European tourism perspective</w:t>
      </w:r>
    </w:p>
    <w:p>
      <w:pPr>
        <w:pStyle w:val="SourceNote"/>
      </w:pPr>
      <w:r>
        <w:rPr>
          <w:b/>
        </w:rPr>
        <w:t>Group ID:</w:t>
      </w:r>
      <w:r>
        <w:t xml:space="preserve"> group-1f8cf886a83bfbf4f8c0</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An assessment of the state of conservation planning in Europe — https://doi.org/10.1098/rstb.2023.0015</w:t>
      </w:r>
    </w:p>
    <w:p>
      <w:pPr/>
      <w:r>
        <w:rPr>
          <w:b/>
        </w:rPr>
        <w:t>Later source:</w:t>
      </w:r>
      <w:r>
        <w:t xml:space="preserve"> Launching a European Employee Stock Ownership Plan (European ESOP) — https://doi.org/10.1108/jpeo-06-2024-0010</w:t>
      </w:r>
    </w:p>
    <w:p>
      <w:pPr>
        <w:pStyle w:val="SourceNote"/>
      </w:pPr>
      <w:r>
        <w:rPr>
          <w:b/>
        </w:rPr>
        <w:t>Review status:</w:t>
      </w:r>
      <w:r>
        <w:t xml:space="preserve"> unchecked — possible relationship only</w:t>
      </w:r>
    </w:p>
    <w:p>
      <w:pPr>
        <w:pStyle w:val="Heading2"/>
      </w:pPr>
      <w:r>
        <w:t>445. Claim + two later sources: Integrating field data into individual-based models of the migration of European eel larvae</w:t>
      </w:r>
    </w:p>
    <w:p>
      <w:pPr>
        <w:pStyle w:val="SourceNote"/>
      </w:pPr>
      <w:r>
        <w:rPr>
          <w:b/>
        </w:rPr>
        <w:t>Group ID:</w:t>
      </w:r>
      <w:r>
        <w:t xml:space="preserve"> group-0b49f70b5fff782a8ff2</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Impact of the model representation of PBL and convection on the PM concentrations over Europe — https://doi.org/10.5194/egusphere-egu21-2417</w:t>
      </w:r>
    </w:p>
    <w:p>
      <w:pPr/>
      <w:r>
        <w:rPr>
          <w:b/>
        </w:rPr>
        <w:t>Later source:</w:t>
      </w:r>
      <w:r>
        <w:t xml:space="preserve"> Comparison of four inverse modelling systems applied to the estimation of HFC-125, HFC-134a, and SF 6 emissions over Europe — https://doi.org/10.5194/acp-17-10651-2017</w:t>
      </w:r>
    </w:p>
    <w:p>
      <w:pPr>
        <w:pStyle w:val="SourceNote"/>
      </w:pPr>
      <w:r>
        <w:rPr>
          <w:b/>
        </w:rPr>
        <w:t>Review status:</w:t>
      </w:r>
      <w:r>
        <w:t xml:space="preserve"> unchecked — possible relationship only</w:t>
      </w:r>
    </w:p>
    <w:p>
      <w:pPr>
        <w:pStyle w:val="Heading2"/>
      </w:pPr>
      <w:r>
        <w:t>446. Claim + two later sources: Wild cards in transport</w:t>
      </w:r>
    </w:p>
    <w:p>
      <w:pPr>
        <w:pStyle w:val="SourceNote"/>
      </w:pPr>
      <w:r>
        <w:rPr>
          <w:b/>
        </w:rPr>
        <w:t>Group ID:</w:t>
      </w:r>
      <w:r>
        <w:t xml:space="preserve"> group-669365e7b456c3b6451c</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From worshipping Tyche to playing with wild cards — https://doi.org/10.1111/1468-5973.12543</w:t>
      </w:r>
    </w:p>
    <w:p>
      <w:pPr/>
      <w:r>
        <w:rPr>
          <w:b/>
        </w:rPr>
        <w:t>Later source:</w:t>
      </w:r>
      <w:r>
        <w:t xml:space="preserve"> Luojiu Hua and Its Archive: Index Cards and Wild Cards — https://doi.org/10.4467/23531991kk.24.027.20862</w:t>
      </w:r>
    </w:p>
    <w:p>
      <w:pPr>
        <w:pStyle w:val="SourceNote"/>
      </w:pPr>
      <w:r>
        <w:rPr>
          <w:b/>
        </w:rPr>
        <w:t>Review status:</w:t>
      </w:r>
      <w:r>
        <w:t xml:space="preserve"> unchecked — possible relationship only</w:t>
      </w:r>
    </w:p>
    <w:p>
      <w:pPr>
        <w:pStyle w:val="Heading2"/>
      </w:pPr>
      <w:r>
        <w:t>447. Claim + two later sources: Perspective of comprehensive and comprehensible multi-model energy and climate science in Europe</w:t>
      </w:r>
    </w:p>
    <w:p>
      <w:pPr>
        <w:pStyle w:val="SourceNote"/>
      </w:pPr>
      <w:r>
        <w:rPr>
          <w:b/>
        </w:rPr>
        <w:t>Group ID:</w:t>
      </w:r>
      <w:r>
        <w:t xml:space="preserve"> group-c9cdc1bbb48a8d41cbfe</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Colombia, COVID-19, and the Colonial Trap: Reflections on the Politics of Knowledge Production — https://doi.org/10.1177/0094582x241311803</w:t>
      </w:r>
    </w:p>
    <w:p>
      <w:pPr/>
      <w:r>
        <w:rPr>
          <w:b/>
        </w:rPr>
        <w:t>Later source:</w:t>
      </w:r>
      <w:r>
        <w:t xml:space="preserve"> Muslims in Europe and Covid-19 — https://doi.org/10.5617/jais.10871</w:t>
      </w:r>
    </w:p>
    <w:p>
      <w:pPr>
        <w:pStyle w:val="SourceNote"/>
      </w:pPr>
      <w:r>
        <w:rPr>
          <w:b/>
        </w:rPr>
        <w:t>Review status:</w:t>
      </w:r>
      <w:r>
        <w:t xml:space="preserve"> unchecked — possible relationship only</w:t>
      </w:r>
    </w:p>
    <w:p>
      <w:pPr>
        <w:pStyle w:val="Heading2"/>
      </w:pPr>
      <w:r>
        <w:t>448. Claim + two later sources: Realising transition pathways for a more electric, low-carbon energy system in the United Kingdom: Challenges, insights and opportunities</w:t>
      </w:r>
    </w:p>
    <w:p>
      <w:pPr>
        <w:pStyle w:val="SourceNote"/>
      </w:pPr>
      <w:r>
        <w:rPr>
          <w:b/>
        </w:rPr>
        <w:t>Group ID:</w:t>
      </w:r>
      <w:r>
        <w:t xml:space="preserve"> group-46559baccc5d4346d710</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Open-Source AI and Market Competition: Why the United Kingdom Is Well Placed to Promote Openness as Competition Policy — https://doi.org/10.2139/ssrn.7431620</w:t>
      </w:r>
    </w:p>
    <w:p>
      <w:pPr/>
      <w:r>
        <w:rPr>
          <w:b/>
        </w:rPr>
        <w:t>Later source:</w:t>
      </w:r>
      <w:r>
        <w:t xml:space="preserve"> United Kingdom — https://doi.org/10.1093/9780197758847.003.0031</w:t>
      </w:r>
    </w:p>
    <w:p>
      <w:pPr>
        <w:pStyle w:val="SourceNote"/>
      </w:pPr>
      <w:r>
        <w:rPr>
          <w:b/>
        </w:rPr>
        <w:t>Review status:</w:t>
      </w:r>
      <w:r>
        <w:t xml:space="preserve"> unchecked — possible relationship only</w:t>
      </w:r>
    </w:p>
    <w:p>
      <w:pPr>
        <w:pStyle w:val="Heading2"/>
      </w:pPr>
      <w:r>
        <w:t>449. Claim + two later sources: By 2050 the Mitigation Effects of EU Forests Could Nearly Double through Climate Smart Forestry</w:t>
      </w:r>
    </w:p>
    <w:p>
      <w:pPr>
        <w:pStyle w:val="SourceNote"/>
      </w:pPr>
      <w:r>
        <w:rPr>
          <w:b/>
        </w:rPr>
        <w:t>Group ID:</w:t>
      </w:r>
      <w:r>
        <w:t xml:space="preserve"> group-d32f050414ab5f3dd421</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Harmonisation of Corporate Income Tax Incentives in SADC: Addressing the Challenges Posed by the Sovereign Right of SADC Member States to Set Their Own Economic and Tax Policies — https://doi.org/10.25159/2522-3062/15912</w:t>
      </w:r>
    </w:p>
    <w:p>
      <w:pPr/>
      <w:r>
        <w:rPr>
          <w:b/>
        </w:rPr>
        <w:t>Later source:</w:t>
      </w:r>
      <w:r>
        <w:t xml:space="preserve"> Incentives and constraints: a configurational account of European involvement in the anti-Daesh coalition — https://doi.org/10.1017/s1755773921000333</w:t>
      </w:r>
    </w:p>
    <w:p>
      <w:pPr>
        <w:pStyle w:val="SourceNote"/>
      </w:pPr>
      <w:r>
        <w:rPr>
          <w:b/>
        </w:rPr>
        <w:t>Review status:</w:t>
      </w:r>
      <w:r>
        <w:t xml:space="preserve"> unchecked — possible relationship only</w:t>
      </w:r>
    </w:p>
    <w:p>
      <w:pPr>
        <w:pStyle w:val="Heading2"/>
      </w:pPr>
      <w:r>
        <w:t>450. Claim + two later sources: Long-term transport decarbonization pathways in the European Union: a strategic energy-economy analysis</w:t>
      </w:r>
    </w:p>
    <w:p>
      <w:pPr>
        <w:pStyle w:val="SourceNote"/>
      </w:pPr>
      <w:r>
        <w:rPr>
          <w:b/>
        </w:rPr>
        <w:t>Group ID:</w:t>
      </w:r>
      <w:r>
        <w:t xml:space="preserve"> group-4697f645657bf16c5954</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Persistent positive anomalies in geopotential heights drive enhanced wildfire activity across Europe — https://doi.org/10.1098/rstb.2023.0455</w:t>
      </w:r>
    </w:p>
    <w:p>
      <w:pPr/>
      <w:r>
        <w:rPr>
          <w:b/>
        </w:rPr>
        <w:t>Later source:</w:t>
      </w:r>
      <w:r>
        <w:t xml:space="preserve"> The Uncertain World of Renaissance Geneva and Savoy — https://doi.org/10.5117/9789048566396</w:t>
      </w:r>
    </w:p>
    <w:p>
      <w:pPr>
        <w:pStyle w:val="SourceNote"/>
      </w:pPr>
      <w:r>
        <w:rPr>
          <w:b/>
        </w:rPr>
        <w:t>Review status:</w:t>
      </w:r>
      <w:r>
        <w:t xml:space="preserve"> unchecked — possible relationship only</w:t>
      </w:r>
    </w:p>
    <w:p>
      <w:pPr>
        <w:pStyle w:val="Heading2"/>
      </w:pPr>
      <w:r>
        <w:t>451. Claim + two later sources: Towards the 2030 Agenda: Measuring the Progress of the European Union Countries through the SDGs Achievement Index</w:t>
      </w:r>
    </w:p>
    <w:p>
      <w:pPr>
        <w:pStyle w:val="SourceNote"/>
      </w:pPr>
      <w:r>
        <w:rPr>
          <w:b/>
        </w:rPr>
        <w:t>Group ID:</w:t>
      </w:r>
      <w:r>
        <w:t xml:space="preserve"> group-76aef4dba1024e92fb94</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Novel integrated risk index reveals uneven impact of climate change on fascioliasis risk across Africa and Europe — https://doi.org/10.64898/2025.12.04.692276</w:t>
      </w:r>
    </w:p>
    <w:p>
      <w:pPr/>
      <w:r>
        <w:rPr>
          <w:b/>
        </w:rPr>
        <w:t>Later source:</w:t>
      </w:r>
      <w:r>
        <w:t xml:space="preserve"> Soil Quality Index According to Diverse Land Use Systems Across the Europe — https://doi.org/10.1002/ldr.5438</w:t>
      </w:r>
    </w:p>
    <w:p>
      <w:pPr>
        <w:pStyle w:val="SourceNote"/>
      </w:pPr>
      <w:r>
        <w:rPr>
          <w:b/>
        </w:rPr>
        <w:t>Review status:</w:t>
      </w:r>
      <w:r>
        <w:t xml:space="preserve"> unchecked — possible relationship only</w:t>
      </w:r>
    </w:p>
    <w:p>
      <w:pPr>
        <w:pStyle w:val="Heading2"/>
      </w:pPr>
      <w:r>
        <w:t>452. Claim + two later sources: Enabling forecasts of environmental exposure to chemicals in European agriculture under global change</w:t>
      </w:r>
    </w:p>
    <w:p>
      <w:pPr>
        <w:pStyle w:val="SourceNote"/>
      </w:pPr>
      <w:r>
        <w:rPr>
          <w:b/>
        </w:rPr>
        <w:t>Group ID:</w:t>
      </w:r>
      <w:r>
        <w:t xml:space="preserve"> group-57341ec23d767fbd0eae</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Who is local and what do they know? Braiding knowledges within carnivore management in Europe — https://doi.org/10.1002/pan3.10797</w:t>
      </w:r>
    </w:p>
    <w:p>
      <w:pPr/>
      <w:r>
        <w:rPr>
          <w:b/>
        </w:rPr>
        <w:t>Later source:</w:t>
      </w:r>
      <w:r>
        <w:t xml:space="preserve"> Diabetologists’ Knowledge and Prescription of Physical Activity in Southeast Europe — https://doi.org/10.3390/medicina61071244</w:t>
      </w:r>
    </w:p>
    <w:p>
      <w:pPr>
        <w:pStyle w:val="SourceNote"/>
      </w:pPr>
      <w:r>
        <w:rPr>
          <w:b/>
        </w:rPr>
        <w:t>Review status:</w:t>
      </w:r>
      <w:r>
        <w:t xml:space="preserve"> unchecked — possible relationship only</w:t>
      </w:r>
    </w:p>
    <w:p>
      <w:pPr>
        <w:pStyle w:val="Heading2"/>
      </w:pPr>
      <w:r>
        <w:t>453. Claim + two later sources: Climate change mitigation: evidences from the European scenario</w:t>
      </w:r>
    </w:p>
    <w:p>
      <w:pPr>
        <w:pStyle w:val="SourceNote"/>
      </w:pPr>
      <w:r>
        <w:rPr>
          <w:b/>
        </w:rPr>
        <w:t>Group ID:</w:t>
      </w:r>
      <w:r>
        <w:t xml:space="preserve"> group-b070cbfbe1a7eebc5854</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The Role of Organic Farming in Reducing Greenhouse Gas Emissions from Agriculture in the European Union — https://doi.org/10.3390/agronomy15010198</w:t>
      </w:r>
    </w:p>
    <w:p>
      <w:pPr>
        <w:pStyle w:val="SourceNote"/>
      </w:pPr>
      <w:r>
        <w:rPr>
          <w:b/>
        </w:rPr>
        <w:t>Review status:</w:t>
      </w:r>
      <w:r>
        <w:t xml:space="preserve"> unchecked — possible relationship only</w:t>
      </w:r>
    </w:p>
    <w:p>
      <w:pPr>
        <w:pStyle w:val="Heading2"/>
      </w:pPr>
      <w:r>
        <w:t>454. Claim + two later sources: Seeds of good anthropocenes: developing sustainability scenarios for Northern Europe</w:t>
      </w:r>
    </w:p>
    <w:p>
      <w:pPr>
        <w:pStyle w:val="SourceNote"/>
      </w:pPr>
      <w:r>
        <w:rPr>
          <w:b/>
        </w:rPr>
        <w:t>Group ID:</w:t>
      </w:r>
      <w:r>
        <w:t xml:space="preserve"> group-b518b19aedeb2cc9b992</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Measuring disparities in air transport access across Europe: An inequality, vulnerability and dependence approach — https://doi.org/10.1016/j.tra.2022.11.016</w:t>
      </w:r>
    </w:p>
    <w:p>
      <w:pPr>
        <w:pStyle w:val="SourceNote"/>
      </w:pPr>
      <w:r>
        <w:rPr>
          <w:b/>
        </w:rPr>
        <w:t>Review status:</w:t>
      </w:r>
      <w:r>
        <w:t xml:space="preserve"> unchecked — possible relationship only</w:t>
      </w:r>
    </w:p>
    <w:p>
      <w:pPr>
        <w:pStyle w:val="Heading2"/>
      </w:pPr>
      <w:r>
        <w:t>455. Claim + two later sources: PROJEKCJA ZMIAN WIELKOŚCI PLONÓW PSZENICY W POLSCE I UNII EUROPEJSKIEJ W LATACH 2030 I 2050 NA PODSTAWIE MODELU CAPRI</w:t>
      </w:r>
    </w:p>
    <w:p>
      <w:pPr>
        <w:pStyle w:val="SourceNote"/>
      </w:pPr>
      <w:r>
        <w:rPr>
          <w:b/>
        </w:rPr>
        <w:t>Group ID:</w:t>
      </w:r>
      <w:r>
        <w:t xml:space="preserve"> group-d38aa150fb4c97efda66</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Improved modelling framework for assessing the interactions between the energy, agriculture, forestry and land use change sectors: Integrating the CAPRI, LUISA-BEES, CBM and POTEnCIA models — https://doi.org/10.2760/900305</w:t>
      </w:r>
    </w:p>
    <w:p>
      <w:pPr/>
      <w:r>
        <w:rPr>
          <w:b/>
        </w:rPr>
        <w:t>Later source:</w:t>
      </w:r>
      <w:r>
        <w:t xml:space="preserve"> EU Wide Disaggregated CAPRI Model Data: Crops, Livestock, Nitrogen In- and Outputs (Timeseries 2000-2018) — https://doi.org/10.1038/s41597-026-06919-8</w:t>
      </w:r>
    </w:p>
    <w:p>
      <w:pPr>
        <w:pStyle w:val="SourceNote"/>
      </w:pPr>
      <w:r>
        <w:rPr>
          <w:b/>
        </w:rPr>
        <w:t>Review status:</w:t>
      </w:r>
      <w:r>
        <w:t xml:space="preserve"> unchecked — possible relationship only</w:t>
      </w:r>
    </w:p>
    <w:p>
      <w:pPr>
        <w:pStyle w:val="Heading2"/>
      </w:pPr>
      <w:r>
        <w:t>456. Claim + two later sources: Recycling of European plastic is a pathway for plastic debris in the ocean</w:t>
      </w:r>
    </w:p>
    <w:p>
      <w:pPr>
        <w:pStyle w:val="SourceNote"/>
      </w:pPr>
      <w:r>
        <w:rPr>
          <w:b/>
        </w:rPr>
        <w:t>Group ID:</w:t>
      </w:r>
      <w:r>
        <w:t xml:space="preserve"> group-75f7da2c1cd56769afd7</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Assessing data uncertainty in large-scale energy model — https://doi.org/10.26868/25222708.2025.1706</w:t>
      </w:r>
    </w:p>
    <w:p>
      <w:pPr/>
      <w:r>
        <w:rPr>
          <w:b/>
        </w:rPr>
        <w:t>Later source:</w:t>
      </w:r>
      <w:r>
        <w:t xml:space="preserve"> High resolution soil property maps and their uncertainty for Europe — https://openalex.org/W7110658065</w:t>
      </w:r>
    </w:p>
    <w:p>
      <w:pPr>
        <w:pStyle w:val="SourceNote"/>
      </w:pPr>
      <w:r>
        <w:rPr>
          <w:b/>
        </w:rPr>
        <w:t>Review status:</w:t>
      </w:r>
      <w:r>
        <w:t xml:space="preserve"> unchecked — possible relationship only</w:t>
      </w:r>
    </w:p>
    <w:p>
      <w:pPr>
        <w:pStyle w:val="Heading2"/>
      </w:pPr>
      <w:r>
        <w:t>457.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458. Claim + two later sources: Land use implications of future energy system trajectories—The case of the UK 2050 Carbon Plan</w:t>
      </w:r>
    </w:p>
    <w:p>
      <w:pPr>
        <w:pStyle w:val="SourceNote"/>
      </w:pPr>
      <w:r>
        <w:rPr>
          <w:b/>
        </w:rPr>
        <w:t>Group ID:</w:t>
      </w:r>
      <w:r>
        <w:t xml:space="preserve"> group-b59b90030fd145fdbe61</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Diversified Pathways to Achieve Tax Fairness and Justice in the Digital Age — https://doi.org/10.62517/jel.202514523</w:t>
      </w:r>
    </w:p>
    <w:p>
      <w:pPr/>
      <w:r>
        <w:rPr>
          <w:b/>
        </w:rPr>
        <w:t>Later source:</w:t>
      </w:r>
      <w:r>
        <w:t xml:space="preserve"> Pathway for Four Central and Eastern European Countries to Achieve Low Carbon Development Based on the STIRPAT Model — https://doi.org/10.5539/jsd.v17n4p63</w:t>
      </w:r>
    </w:p>
    <w:p>
      <w:pPr>
        <w:pStyle w:val="SourceNote"/>
      </w:pPr>
      <w:r>
        <w:rPr>
          <w:b/>
        </w:rPr>
        <w:t>Review status:</w:t>
      </w:r>
      <w:r>
        <w:t xml:space="preserve"> unchecked — possible relationship only</w:t>
      </w:r>
    </w:p>
    <w:p>
      <w:pPr>
        <w:pStyle w:val="Heading2"/>
      </w:pPr>
      <w:r>
        <w:t>459. Claim + two later sources: Future projections of temperature and mixing regime of  European temperate lakes</w:t>
      </w:r>
    </w:p>
    <w:p>
      <w:pPr>
        <w:pStyle w:val="SourceNote"/>
      </w:pPr>
      <w:r>
        <w:rPr>
          <w:b/>
        </w:rPr>
        <w:t>Group ID:</w:t>
      </w:r>
      <w:r>
        <w:t xml:space="preserve"> group-b45ca6c7399658a02fad</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Tricentennial trends in spring ice break-ups on three rivers in northern Europe — https://doi.org/10.5194/tc-16-2881-2022</w:t>
      </w:r>
    </w:p>
    <w:p>
      <w:pPr/>
      <w:r>
        <w:rPr>
          <w:b/>
        </w:rPr>
        <w:t>Later source:</w:t>
      </w:r>
      <w:r>
        <w:t xml:space="preserve"> Split westerlies over Europe in the early Little Ice Age — https://doi.org/10.1038/s41467-022-32654-w</w:t>
      </w:r>
    </w:p>
    <w:p>
      <w:pPr>
        <w:pStyle w:val="SourceNote"/>
      </w:pPr>
      <w:r>
        <w:rPr>
          <w:b/>
        </w:rPr>
        <w:t>Review status:</w:t>
      </w:r>
      <w:r>
        <w:t xml:space="preserve"> unchecked — possible relationship only</w:t>
      </w:r>
    </w:p>
    <w:p>
      <w:pPr>
        <w:pStyle w:val="Heading2"/>
      </w:pPr>
      <w:r>
        <w:t>460. Claim + two later sources: Lyme Disease Risks in Europe under Multiple Uncertain Drivers of Change</w:t>
      </w:r>
    </w:p>
    <w:p>
      <w:pPr>
        <w:pStyle w:val="SourceNote"/>
      </w:pPr>
      <w:r>
        <w:rPr>
          <w:b/>
        </w:rPr>
        <w:t>Group ID:</w:t>
      </w:r>
      <w:r>
        <w:t xml:space="preserve"> group-6af7255f5b872f8b1f26</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461. Claim + two later sources: Imagining energy futures: Sociotechnical imaginaries of the future Smart Grid in Norway</w:t>
      </w:r>
    </w:p>
    <w:p>
      <w:pPr>
        <w:pStyle w:val="SourceNote"/>
      </w:pPr>
      <w:r>
        <w:rPr>
          <w:b/>
        </w:rPr>
        <w:t>Group ID:</w:t>
      </w:r>
      <w:r>
        <w:t xml:space="preserve"> group-1d7690a259c43b8a46fd</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From Smart Grids to Super Smart Grids: A Roadmap for Strategic Demand Management for Next Generation SAARC and European Power Infrastructure — https://doi.org/10.1109/access.2023.3241686</w:t>
      </w:r>
    </w:p>
    <w:p>
      <w:pPr/>
      <w:r>
        <w:rPr>
          <w:b/>
        </w:rPr>
        <w:t>Later source:</w:t>
      </w:r>
      <w:r>
        <w:t xml:space="preserve"> Mobility in the Smart Grid: Roaming Protocols for EV Charging — https://doi.org/10.1109/tsg.2022.3202608</w:t>
      </w:r>
    </w:p>
    <w:p>
      <w:pPr>
        <w:pStyle w:val="SourceNote"/>
      </w:pPr>
      <w:r>
        <w:rPr>
          <w:b/>
        </w:rPr>
        <w:t>Review status:</w:t>
      </w:r>
      <w:r>
        <w:t xml:space="preserve"> unchecked — possible relationship only</w:t>
      </w:r>
    </w:p>
    <w:p>
      <w:pPr>
        <w:pStyle w:val="Heading2"/>
      </w:pPr>
      <w:r>
        <w:t>462. Claim + two later sources: Long-Term Projection of Renewable Energy Technology Diffusion</w:t>
      </w:r>
    </w:p>
    <w:p>
      <w:pPr>
        <w:pStyle w:val="SourceNote"/>
      </w:pPr>
      <w:r>
        <w:rPr>
          <w:b/>
        </w:rPr>
        <w:t>Group ID:</w:t>
      </w:r>
      <w:r>
        <w:t xml:space="preserve"> group-f748070b6bf7505cb3fb</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72 The butterfly project – improving treatment escalation planning in the emergency department — https://doi.org/10.1136/spcare-2021-pcc.90</w:t>
      </w:r>
    </w:p>
    <w:p>
      <w:pPr/>
      <w:r>
        <w:rPr>
          <w:b/>
        </w:rPr>
        <w:t>Later source:</w:t>
      </w:r>
      <w:r>
        <w:t xml:space="preserve"> Minding the gap: identifying values to enable public and patient involvement at the pre-commencement stage of research projects — https://doi.org/10.1186/s40900-020-00220-7</w:t>
      </w:r>
    </w:p>
    <w:p>
      <w:pPr>
        <w:pStyle w:val="SourceNote"/>
      </w:pPr>
      <w:r>
        <w:rPr>
          <w:b/>
        </w:rPr>
        <w:t>Review status:</w:t>
      </w:r>
      <w:r>
        <w:t xml:space="preserve"> unchecked — possible relationship only</w:t>
      </w:r>
    </w:p>
    <w:p>
      <w:pPr>
        <w:pStyle w:val="Heading2"/>
      </w:pPr>
      <w:r>
        <w:t>463. Claim + two later sources: Climate change mitigation: evidences from the European scenario</w:t>
      </w:r>
    </w:p>
    <w:p>
      <w:pPr>
        <w:pStyle w:val="SourceNote"/>
      </w:pPr>
      <w:r>
        <w:rPr>
          <w:b/>
        </w:rPr>
        <w:t>Group ID:</w:t>
      </w:r>
      <w:r>
        <w:t xml:space="preserve"> group-06a6eab73196de1a3026</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The Role of Organic Farming in Reducing Greenhouse Gas Emissions from Agriculture in the European Union — https://doi.org/10.3390/agronomy15010198</w:t>
      </w:r>
    </w:p>
    <w:p>
      <w:pPr>
        <w:pStyle w:val="SourceNote"/>
      </w:pPr>
      <w:r>
        <w:rPr>
          <w:b/>
        </w:rPr>
        <w:t>Review status:</w:t>
      </w:r>
      <w:r>
        <w:t xml:space="preserve"> unchecked — possible relationship only</w:t>
      </w:r>
    </w:p>
    <w:p>
      <w:pPr>
        <w:pStyle w:val="Heading2"/>
      </w:pPr>
      <w:r>
        <w:t>464.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group-02faf0680567f1830f53</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Environmental Permitting and Environmental Impact Assessment in the United States and the European Union: A Comparative Legal Study — https://doi.org/10.2139/ssrn.7275567</w:t>
      </w:r>
    </w:p>
    <w:p>
      <w:pPr/>
      <w:r>
        <w:rPr>
          <w:b/>
        </w:rPr>
        <w:t>Later source:</w:t>
      </w:r>
      <w:r>
        <w:t xml:space="preserve"> Environmental consequences of replacing polyethylene packaging in the United States and Europe — https://doi.org/10.1016/j.resenv.2026.100390</w:t>
      </w:r>
    </w:p>
    <w:p>
      <w:pPr>
        <w:pStyle w:val="SourceNote"/>
      </w:pPr>
      <w:r>
        <w:rPr>
          <w:b/>
        </w:rPr>
        <w:t>Review status:</w:t>
      </w:r>
      <w:r>
        <w:t xml:space="preserve"> unchecked — possible relationship only</w:t>
      </w:r>
    </w:p>
    <w:p>
      <w:pPr>
        <w:pStyle w:val="Heading2"/>
      </w:pPr>
      <w:r>
        <w:t>465. Claim + two later sources: Assessing the EU’s 2030 Climate and Energy Policy Framework: Incremental change toward radical transformation?</w:t>
      </w:r>
    </w:p>
    <w:p>
      <w:pPr>
        <w:pStyle w:val="SourceNote"/>
      </w:pPr>
      <w:r>
        <w:rPr>
          <w:b/>
        </w:rPr>
        <w:t>Group ID:</w:t>
      </w:r>
      <w:r>
        <w:t xml:space="preserve"> group-2d89a5abe90961c646ac</w:t>
      </w:r>
    </w:p>
    <w:p>
      <w:pPr>
        <w:pStyle w:val="SourceNote"/>
      </w:pPr>
      <w:r>
        <w:rPr>
          <w:b/>
        </w:rPr>
        <w:t>Original source:</w:t>
      </w:r>
      <w:r>
        <w:t xml:space="preserve"> https://doi.org/10.1111/reel.12358</w:t>
      </w:r>
    </w:p>
    <w:p>
      <w:pPr/>
      <w:r>
        <w:rPr>
          <w:b/>
        </w:rPr>
        <w:t>Original future claim:</w:t>
      </w:r>
      <w:r>
        <w:t xml:space="preserve">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The Palestinian Refugee, Article 1D and Evolving Jurisprudence from Europe: a Practitioner’s Perspective — https://doi.org/10.1163/15718166-12340198</w:t>
      </w:r>
    </w:p>
    <w:p>
      <w:pPr/>
      <w:r>
        <w:rPr>
          <w:b/>
        </w:rPr>
        <w:t>Later source:</w:t>
      </w:r>
      <w:r>
        <w:t xml:space="preserve"> Human trafficking and forced prostitution under article 4 of the European convention on human rights — https://doi.org/10.1017/glj.2023.98</w:t>
      </w:r>
    </w:p>
    <w:p>
      <w:pPr>
        <w:pStyle w:val="SourceNote"/>
      </w:pPr>
      <w:r>
        <w:rPr>
          <w:b/>
        </w:rPr>
        <w:t>Review status:</w:t>
      </w:r>
      <w:r>
        <w:t xml:space="preserve"> unchecked — possible relationship only</w:t>
      </w:r>
    </w:p>
    <w:p>
      <w:pPr>
        <w:pStyle w:val="Heading2"/>
      </w:pPr>
      <w:r>
        <w:t>466.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possible relationship only</w:t>
      </w:r>
    </w:p>
    <w:p>
      <w:pPr>
        <w:pStyle w:val="Heading2"/>
      </w:pPr>
      <w:r>
        <w:t>467. Claim + two later sources: Emerging smart city, transport and energy trends in urban settings: Results of a pan-European foresight exercise with 120 experts</w:t>
      </w:r>
    </w:p>
    <w:p>
      <w:pPr>
        <w:pStyle w:val="SourceNote"/>
      </w:pPr>
      <w:r>
        <w:rPr>
          <w:b/>
        </w:rPr>
        <w:t>Group ID:</w:t>
      </w:r>
      <w:r>
        <w:t xml:space="preserve"> group-ba0a1366b077c9bf93ab</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Diversity management in European companies: intersectionality and individual experiences of bias at work — https://doi.org/10.4337/9781035361243.00012</w:t>
      </w:r>
    </w:p>
    <w:p>
      <w:pPr/>
      <w:r>
        <w:rPr>
          <w:b/>
        </w:rPr>
        <w:t>Later source:</w:t>
      </w:r>
      <w:r>
        <w:t xml:space="preserve"> Exploring a high-level programming model for the NWP domain using ECMWF microphysics schemes — https://doi.org/10.5194/gmd-18-529-2025</w:t>
      </w:r>
    </w:p>
    <w:p>
      <w:pPr>
        <w:pStyle w:val="SourceNote"/>
      </w:pPr>
      <w:r>
        <w:rPr>
          <w:b/>
        </w:rPr>
        <w:t>Review status:</w:t>
      </w:r>
      <w:r>
        <w:t xml:space="preserve"> unchecked — possible relationship only</w:t>
      </w:r>
    </w:p>
    <w:p>
      <w:pPr>
        <w:pStyle w:val="Heading2"/>
      </w:pPr>
      <w:r>
        <w:t>468. Claim + two later sources: European carbon storage resource requirements of climate change mitigation targets</w:t>
      </w:r>
    </w:p>
    <w:p>
      <w:pPr>
        <w:pStyle w:val="SourceNote"/>
      </w:pPr>
      <w:r>
        <w:rPr>
          <w:b/>
        </w:rPr>
        <w:t>Group ID:</w:t>
      </w:r>
      <w:r>
        <w:t xml:space="preserve"> group-a677fee33e518c9cabf4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Modeling of Hydrodynamic Processes of the Estuaries of the European Part of the Russian Arctic under Possible Climate Changes — https://doi.org/10.1134/s0097807824701434</w:t>
      </w:r>
    </w:p>
    <w:p>
      <w:pPr/>
      <w:r>
        <w:rPr>
          <w:b/>
        </w:rPr>
        <w:t>Later source:</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pStyle w:val="SourceNote"/>
      </w:pPr>
      <w:r>
        <w:rPr>
          <w:b/>
        </w:rPr>
        <w:t>Review status:</w:t>
      </w:r>
      <w:r>
        <w:t xml:space="preserve"> unchecked — possible relationship only</w:t>
      </w:r>
    </w:p>
    <w:p>
      <w:pPr>
        <w:pStyle w:val="Heading2"/>
      </w:pPr>
      <w:r>
        <w:t>469. Claim + two later sources: Transition pathways to sustainability in greater than 2 °C climate futures of Europe</w:t>
      </w:r>
    </w:p>
    <w:p>
      <w:pPr>
        <w:pStyle w:val="SourceNote"/>
      </w:pPr>
      <w:r>
        <w:rPr>
          <w:b/>
        </w:rPr>
        <w:t>Group ID:</w:t>
      </w:r>
      <w:r>
        <w:t xml:space="preserve"> group-36007685fcbc0397f174</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The European Society of Cataract and Refractive Surgeons Cataract Simulation Curriculum: Wet Lab and Virtual Reality Pathways to Competency — https://doi.org/10.1097/j.jcrs.0000000000002036</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470. Claim + two later sources: European packaging industry foresight study—identifying global drivers and driven packaging industry implications of the global megatrends</w:t>
      </w:r>
    </w:p>
    <w:p>
      <w:pPr>
        <w:pStyle w:val="SourceNote"/>
      </w:pPr>
      <w:r>
        <w:rPr>
          <w:b/>
        </w:rPr>
        <w:t>Group ID:</w:t>
      </w:r>
      <w:r>
        <w:t xml:space="preserve"> group-4808549bd27b0644ffb4</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Environmental consequences of replacing polyethylene packaging in the United States and Europe — https://doi.org/10.1016/j.resenv.2026.100390</w:t>
      </w:r>
    </w:p>
    <w:p>
      <w:pPr/>
      <w:r>
        <w:rPr>
          <w:b/>
        </w:rPr>
        <w:t>Later source:</w:t>
      </w:r>
      <w:r>
        <w:t xml:space="preserve"> Assessing Ochratoxin A Contamination in Pre-Packaged Grated Cheese: Implications for Food Safety — https://doi.org/10.3390/foods14091504</w:t>
      </w:r>
    </w:p>
    <w:p>
      <w:pPr>
        <w:pStyle w:val="SourceNote"/>
      </w:pPr>
      <w:r>
        <w:rPr>
          <w:b/>
        </w:rPr>
        <w:t>Review status:</w:t>
      </w:r>
      <w:r>
        <w:t xml:space="preserve"> unchecked — possible relationship only</w:t>
      </w:r>
    </w:p>
    <w:p>
      <w:pPr>
        <w:pStyle w:val="Heading2"/>
      </w:pPr>
      <w:r>
        <w:t>471. Claim + two later sources: Trends and forecast of obesity in Finland</w:t>
      </w:r>
    </w:p>
    <w:p>
      <w:pPr>
        <w:pStyle w:val="SourceNote"/>
      </w:pPr>
      <w:r>
        <w:rPr>
          <w:b/>
        </w:rPr>
        <w:t>Group ID:</w:t>
      </w:r>
      <w:r>
        <w:t xml:space="preserve"> group-68ebce1f666c037f2467</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Global prevalence of obesity in the older adults: A meta-analysis — https://doi.org/10.1016/j.puhip.2025.100585</w:t>
      </w:r>
    </w:p>
    <w:p>
      <w:pPr/>
      <w:r>
        <w:rPr>
          <w:b/>
        </w:rPr>
        <w:t>Later source:</w:t>
      </w:r>
      <w:r>
        <w:t xml:space="preserve"> Sarcopenia prevalence and functional outcomes in older men with obesity: Comparing the use of the EWGSOP2 sarcopenia versus ESPEN-EASO sarcopenic obesity consensus definitions — https://doi.org/10.1016/j.clnu.2023.07.014</w:t>
      </w:r>
    </w:p>
    <w:p>
      <w:pPr>
        <w:pStyle w:val="SourceNote"/>
      </w:pPr>
      <w:r>
        <w:rPr>
          <w:b/>
        </w:rPr>
        <w:t>Review status:</w:t>
      </w:r>
      <w:r>
        <w:t xml:space="preserve"> unchecked — possible relationship only</w:t>
      </w:r>
    </w:p>
    <w:p>
      <w:pPr>
        <w:pStyle w:val="Heading2"/>
      </w:pPr>
      <w:r>
        <w:t>472. Claim + two later sources: The role of gases in the European energy transition</w:t>
      </w:r>
    </w:p>
    <w:p>
      <w:pPr>
        <w:pStyle w:val="SourceNote"/>
      </w:pPr>
      <w:r>
        <w:rPr>
          <w:b/>
        </w:rPr>
        <w:t>Group ID:</w:t>
      </w:r>
      <w:r>
        <w:t xml:space="preserve"> group-e08f84cd11b20a4f1720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Net Zero Emissions and Positive Energy Districts: A Potential Solution to Achieve the European Climate Targets — https://doi.org/10.1109/tia.2026.3661957</w:t>
      </w:r>
    </w:p>
    <w:p>
      <w:pPr/>
      <w:r>
        <w:rPr>
          <w:b/>
        </w:rPr>
        <w:t>Later source:</w:t>
      </w:r>
      <w:r>
        <w:t xml:space="preserve"> An empirical analysis of net-zero emission targets of Canada and the European Union — https://doi.org/10.21622/maci.2025.02.1.1252</w:t>
      </w:r>
    </w:p>
    <w:p>
      <w:pPr>
        <w:pStyle w:val="SourceNote"/>
      </w:pPr>
      <w:r>
        <w:rPr>
          <w:b/>
        </w:rPr>
        <w:t>Review status:</w:t>
      </w:r>
      <w:r>
        <w:t xml:space="preserve"> unchecked — possible relationship only</w:t>
      </w:r>
    </w:p>
    <w:p>
      <w:pPr>
        <w:pStyle w:val="Heading2"/>
      </w:pPr>
      <w:r>
        <w:t>473. Individual research leads — not grouped</w:t>
      </w:r>
    </w:p>
    <w:p>
      <w:pPr/>
      <w:r>
        <w:t>These are single claim–paper research leads, not claim + paper A + paper B proposals. A paper in a rejected group may still be useful in a different combination.</w:t>
      </w:r>
    </w:p>
    <w:p>
      <w:pPr>
        <w:pStyle w:val="Heading2"/>
      </w:pPr>
      <w:r>
        <w:t>474.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2024:</w:t>
      </w:r>
      <w:r>
        <w:t xml:space="preserve"> Transformation of environmental policy based on the concept of ecological modernization — https://doi.org/10.1051/bioconf/20249305018</w:t>
      </w:r>
    </w:p>
    <w:p>
      <w:pPr/>
      <w:r>
        <w:rPr>
          <w:b/>
        </w:rPr>
        <w:t>Shared claim-specific concepts:</w:t>
      </w:r>
      <w:r>
        <w:t xml:space="preserve"> based, concepts, environmental; EU scope not established. This is a provisional connection, not an outcome finding.</w:t>
      </w:r>
    </w:p>
    <w:p>
      <w:pPr>
        <w:pStyle w:val="SourceNote"/>
      </w:pPr>
      <w:r>
        <w:rPr>
          <w:b/>
        </w:rPr>
        <w:t>Available abstract (not full text):</w:t>
      </w:r>
      <w:r>
        <w:t xml:space="preserve">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pPr/>
      <w:r>
        <w:rPr>
          <w:b/>
        </w:rPr>
        <w:t>POSSIBLE 2024:</w:t>
      </w:r>
      <w:r>
        <w:t xml:space="preserve"> Implementation in the European Union. A concept structural meta-study of environmental and social policy — https://doi.org/10.1080/14782804.2024.2383699</w:t>
      </w:r>
    </w:p>
    <w:p>
      <w:pPr/>
      <w:r>
        <w:rPr>
          <w:b/>
        </w:rPr>
        <w:t>Shared claim-specific concepts:</w:t>
      </w:r>
      <w:r>
        <w:t xml:space="preserve"> based, concepts, environmental, alternative; EU scope visible. This is a provisional connection, not an outcome finding.</w:t>
      </w:r>
    </w:p>
    <w:p>
      <w:pPr>
        <w:pStyle w:val="SourceNote"/>
      </w:pPr>
      <w:r>
        <w:rPr>
          <w:b/>
        </w:rPr>
        <w:t>Available abstract (not full text):</w:t>
      </w:r>
      <w:r>
        <w:t xml:space="preserve">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pPr/>
      <w:r>
        <w:rPr>
          <w:b/>
        </w:rPr>
        <w:t>POSSIBLE 2024:</w:t>
      </w:r>
      <w:r>
        <w:t xml:space="preserve"> Natural/Small Water Retention Measures: Their Contribution to Ecosystem-Based Concepts — https://doi.org/10.3390/su16031308</w:t>
      </w:r>
    </w:p>
    <w:p>
      <w:pPr/>
      <w:r>
        <w:rPr>
          <w:b/>
        </w:rPr>
        <w:t>Shared claim-specific concepts:</w:t>
      </w:r>
      <w:r>
        <w:t xml:space="preserve"> concepts, environmental, project, show; EU scope visible. This is a provisional connection, not an outcome finding.</w:t>
      </w:r>
    </w:p>
    <w:p>
      <w:pPr>
        <w:pStyle w:val="SourceNote"/>
      </w:pPr>
      <w:r>
        <w:rPr>
          <w:b/>
        </w:rPr>
        <w:t>Available abstract (not full text):</w:t>
      </w:r>
      <w:r>
        <w:t xml:space="preserve"> The increasing incidence of droughts and heavy rainfall events is exacerbating conflicts between human and environmental demands for water. However, through providing multiple water-related ecosystem services and benefits simultaneously, Natural/Small Water Retention Measures (NSWRM) can mitigate such competing claims. Thus, they also contribute to the achievement of various Sustainable Development Goals and environmental targets set out in water- and agriculture-related policies of the European Union. In particular, NSWRM provide for the sound management of watersheds, which can significantly contribute to improved water quality and availability—as well as improving the resilience of agriculture and society. This paper demonstrates how NSWRM fit into the framework of ecosystem-based concepts, including Natural Water Retention Measures (NWRM), Green Infrastructure (GI), Sustainable Land Management (SLM), Ecosystem-based Adaptation (EbA), and Nature-based Solutions (NbS). NSWRM, as a distinct concept, bring added value to the other concepts by focussing on easy-to-implement, modestly sized, localised technical solutions to problems associated with water management, sediment, and nutrient loss. Through experience under the EU Horizon 2020 project OPTAIN (“OPtimal strategies to retAIN and re-use water and nutrients in small agricultural catchments across different soil-climatic re</w:t>
      </w:r>
    </w:p>
    <w:p>
      <w:pPr/>
      <w:r>
        <w:rPr>
          <w:b/>
        </w:rPr>
        <w:t>POSSIBLE 2023:</w:t>
      </w:r>
      <w:r>
        <w:t xml:space="preserve"> Origins of the European approach to environmental justice — https://openalex.org/W7135598878</w:t>
      </w:r>
    </w:p>
    <w:p>
      <w:pPr/>
      <w:r>
        <w:rPr>
          <w:b/>
        </w:rPr>
        <w:t>Shared claim-specific concepts:</w:t>
      </w:r>
      <w:r>
        <w:t xml:space="preserve"> based, environmental, discourse; EU scope visible. This is a provisional connection, not an outcome finding.</w:t>
      </w:r>
    </w:p>
    <w:p>
      <w:pPr>
        <w:pStyle w:val="SourceNote"/>
      </w:pPr>
      <w:r>
        <w:rPr>
          <w:b/>
        </w:rPr>
        <w:t>Available abstract (not full text):</w:t>
      </w:r>
      <w:r>
        <w:t xml:space="preserve"> This thesis deals with the process of diffusion of the idea of environmental justice to Europe. Using the examples of Great Britain and Slovakia, it traces how environmental justice reached these countries and how it changed in the process. The thesis focuses on the academic discussion as one of the segments of the discourse on environmental justice. Based on the theory of translation, it examines the spaces where experts have encountered the idea of environmental justice. Furthermore, it is interested in the theoretical foundations and the content of environmental justice in the local discourse, especially concerning the transformations of the concept in order to bring it closer to the local context. Employing the interpretative qualitative analysis of academic publications written by authors affiliated with British or Slovak institutions, it has been established that the process of translation to Europe remains incomplete and does not occur uniformly. American publications have played a greater role in the UK and linking of environmental justice with sustainable development has become an important mechanism of translation here. In contrast, Slovak academic debate has been influenced by personal contacts with the international sphere. However the translation to Slovakia is currently taking place...</w:t>
      </w:r>
    </w:p>
    <w:p>
      <w:pPr/>
      <w:r>
        <w:rPr>
          <w:b/>
        </w:rPr>
        <w:t>POSSIBLE 2023:</w:t>
      </w:r>
      <w:r>
        <w:t xml:space="preserve"> Environmental Economy and Green Transition in the European Union: Two Complementary Concepts — https://doi.org/10.2478/picbe-2023-0135</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Abstract The environmental economy and green transition are closely related concepts that focus on promoting new sustainable paths and economic growth and reducing the negative impact of activities on the environment. Therefore, the environmental economy and green transition have become two of the most important directions in the continuing development of the world. The environmental economy involves the ongoing progress of green technologies, green energy, and different activities aimed at changing society’s attitude toward more environmental solutions and policies. The environmental economy is a discipline that studies the economic effects of environmental products, services and policies in different realities, economies, and societies. It includes goods and services that help to preserve the stock of natural resources and protect the environment. The green transition refers to the process of transforming people, planet, and partnerships to an environmentally friendly economy. This includes also implementing policies and practices that reduce greenhouse gas emissions, promote energy efficiency, increase the use of renewable energy sources, and reduce waste and pollution. The aim of this paper is to analyze, based on Eurostat data, the evolution of the environmental economy for the EU Member States, considering that the topic has nowadays prompted both governments and corporat</w:t>
      </w:r>
    </w:p>
    <w:p>
      <w:pPr/>
      <w:r>
        <w:rPr>
          <w:b/>
        </w:rPr>
        <w:t>POSSIBLE 2023:</w:t>
      </w:r>
      <w:r>
        <w:t xml:space="preserve"> Sustainable board governance and environmental performance: European evidence — https://doi.org/10.1002/bse.3654</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environmental, alternative, example;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pStyle w:val="Heading2"/>
      </w:pPr>
      <w:r>
        <w:t>475.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2024:</w:t>
      </w:r>
      <w:r>
        <w:t xml:space="preserve"> Strategic management as an enabler of co-creation in public services — https://doi.org/10.51952/9781447369042.ch006</w:t>
      </w:r>
    </w:p>
    <w:p>
      <w:pPr/>
      <w:r>
        <w:rPr>
          <w:b/>
        </w:rPr>
        <w:t>Shared claim-specific concepts:</w:t>
      </w:r>
      <w:r>
        <w:t xml:space="preserve"> enable, used, literature; EU scope not established. This is a provisional connection, not an outcome finding.</w:t>
      </w:r>
    </w:p>
    <w:p>
      <w:pPr>
        <w:pStyle w:val="SourceNote"/>
      </w:pPr>
      <w:r>
        <w:rPr>
          <w:b/>
        </w:rPr>
        <w:t>Available abstract (not full text):</w:t>
      </w:r>
      <w:r>
        <w:t xml:space="preserve"> The current transformations in society, the economy and the public sector call for the development of more unified theoretical frameworks. This chapter takes the literature on strategic management as a theoretical entry angle and aims to better understand how the adoption of models of strategic management can enable processes of public value co-creation. Utilising the literature centred on the notion of ‘schools of thought’ in the strategic management of public services, the chapter discusses how co-creation as a mode of governance in public services can contribute to innovative public service solutions and value co-creation. The Welsh Water’s ‘Water Resilient Community’ – a project characterised by long-term strategic planning as well as by local innovation – is used to illustrate the argument. Four propositions on the drivers/enablers and key managerial issues for undertaking a strategic approach to co-creation as a mode of governance are offered to enhance future practice, research and theory.</w:t>
      </w:r>
    </w:p>
    <w:p>
      <w:pPr/>
      <w:r>
        <w:rPr>
          <w:b/>
        </w:rPr>
        <w:t>POSSIBLE 2023:</w:t>
      </w:r>
      <w:r>
        <w:t xml:space="preserve"> Value co-creation in a high-performance computing (HPC) service ecosystem: opportunities for European SMEs — https://doi.org/10.1108/dprg-03-2023-0042</w:t>
      </w:r>
    </w:p>
    <w:p>
      <w:pPr/>
      <w:r>
        <w:rPr>
          <w:b/>
        </w:rPr>
        <w:t>Shared claim-specific concepts:</w:t>
      </w:r>
      <w:r>
        <w:t xml:space="preserve"> enable, policies, critical, literature; EU scope visible. This is a provisional connection, not an outcome finding.</w:t>
      </w:r>
    </w:p>
    <w:p>
      <w:pPr>
        <w:pStyle w:val="SourceNote"/>
      </w:pPr>
      <w:r>
        <w:rPr>
          <w:b/>
        </w:rPr>
        <w:t>Available abstract (not full text):</w:t>
      </w:r>
      <w:r>
        <w:t xml:space="preserve"> Purpose This paper aims to develop a conceptual framework as a valuable investigative tool for future empirical studies examining stakeholders’ interactions within a high-performance computing (HPC) service ecosystem and identifying the enablers for better value co-creation under various service provisioning contexts. Design/methodology/approach This conceptual paper follows a theory adaptation research design that systematically examines the literature on a substantive topic encompassing HPC technology adoption and usage by European small and medium-sized enterprises (SMEs). Furthermore, it introduces theoretical perspectives from service innovation research as its methodological approach (method theory) to develop a theoretical framework for value co-creation within an HPC service ecosystem. Findings The conceptual framework presented in this paper identifies the critical resource elements of SMEs, which can potentially be integrated with other stakeholders’ resources and complement the limited internal resources of SMEs for enhanced value co-creation within an HPC service ecosystem. Research limitations/implications The conceptualisation of an HPC service ecosystem and the potential of value co-creation through integrating stakeholders’ resources, presented in this paper, underscore further empirical research in this direction. Practical implications Findings from this paper</w:t>
      </w:r>
    </w:p>
    <w:p>
      <w:pPr/>
      <w:r>
        <w:rPr>
          <w:b/>
        </w:rPr>
        <w:t>POSSIBLE 2023:</w:t>
      </w:r>
      <w:r>
        <w:t xml:space="preserve"> TRANSFORMATION OF PUBLIC ADMINISTRATION OF SERBIA AND E-GOVERNMENT ACCORDING TO THE EUROPEAN UNION MODEL — https://doi.org/10.58952/nit20231101078</w:t>
      </w:r>
    </w:p>
    <w:p>
      <w:pPr/>
      <w:r>
        <w:rPr>
          <w:b/>
        </w:rPr>
        <w:t>Shared claim-specific concepts:</w:t>
      </w:r>
      <w:r>
        <w:t xml:space="preserve"> enable, creation, transition; EU scope visible. This is a provisional connection, not an outcome finding.</w:t>
      </w:r>
    </w:p>
    <w:p>
      <w:pPr>
        <w:pStyle w:val="SourceNote"/>
      </w:pPr>
      <w:r>
        <w:rPr>
          <w:b/>
        </w:rPr>
        <w:t>Available abstract (not full text):</w:t>
      </w:r>
      <w:r>
        <w:t xml:space="preserve"> Transition countries and underdeveloped countries in long-term development strategies seek to eliminate evident anomalies and controversies in all spheres of society. There is an urgent need for a radical transformation of all segments of the community at all levels of organization and innovation, modeled on the developed countries of the European Union. The reform of public authority and administration is an essential obligation of relevant subjects in the context of incorporating one's own creation into modern international trends. The new public management is a modern public sector paradigm based on the implementation of the experiences of developed European countries. The focus is on systemic changes in accordance with the specifics of collectivity, the concept of privatization and the commitment to service to citizens. The first role in the reorganization is achieved by the application of information and communication technologies with the introduction of the eGovernment model in all bodies, institutions and companies. These postulates enable the necessary integration, efficiency and prosperity of society in the broadest context.</w:t>
      </w:r>
    </w:p>
    <w:p>
      <w:pPr>
        <w:pStyle w:val="Heading2"/>
      </w:pPr>
      <w:r>
        <w:t>476.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r>
        <w:rPr>
          <w:b/>
        </w:rPr>
        <w:t>POSSIBLE 2025:</w:t>
      </w:r>
      <w:r>
        <w:t xml:space="preserve"> Adaptation of Ukrainian Legislation to the Legislation of the European Union: Current Status and Prospects — https://doi.org/10.23939/veritas2025.01.044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pPr/>
      <w:r>
        <w:rPr>
          <w:b/>
        </w:rPr>
        <w:t>POSSIBLE 2024:</w:t>
      </w:r>
      <w:r>
        <w:t xml:space="preserve"> Evolving Concept of Energy Communities in the European Union — https://doi.org/10.2478/lpts-2024-0020</w:t>
      </w:r>
    </w:p>
    <w:p>
      <w:pPr/>
      <w:r>
        <w:rPr>
          <w:b/>
        </w:rPr>
        <w:t>Shared claim-specific concepts:</w:t>
      </w:r>
      <w:r>
        <w:t xml:space="preserve"> abstract, union, must, reduce, greenhouse, gas; EU scope visible. This is a provisional connection, not an outcome finding.</w:t>
      </w:r>
    </w:p>
    <w:p>
      <w:pPr>
        <w:pStyle w:val="SourceNote"/>
      </w:pPr>
      <w:r>
        <w:rPr>
          <w:b/>
        </w:rPr>
        <w:t>Available abstract (not full text):</w:t>
      </w:r>
      <w:r>
        <w:t xml:space="preserve"> Abstract In accordance with the goal approved by the Council of the European Union, a European climate-neutrality must be achieved by 2050. Namely, the European Union must significantly reduce greenhouse gas emissions and find ways to compensate for the remaining and unavoidable ones. Within the framework of the European Green Deal, which is a set of policy initiatives to achieve climate neutrality goals, energy communities are considered in the context of two initiatives: a just transition and clean and safe energy at an affordable price. Within the latter, energy community is seen as citizen-led actions in the energy sector that will help pave the way for the transition to clean energy.</w:t>
      </w:r>
    </w:p>
    <w:p>
      <w:pPr/>
      <w:r>
        <w:rPr>
          <w:b/>
        </w:rPr>
        <w:t>POSSIBLE 2024:</w:t>
      </w:r>
      <w:r>
        <w:t xml:space="preserve"> The European Union — https://doi.org/10.1093/9780191987304.003.0004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This chapter analyses the green foreign energy policy and green power strategy of the EU. First, it explains how climate and technological sovereignty priorities have emerged in Europe, prompting a greening of the EU regulatory state and a shift towards a catalytic state. These processes intensified under the Juncker Commission and subsequent von der Leyen Commission; the latter, with the European Green Deal, has placed the energy transition at the centre of EU internal and external action. Moreover, the chapter illustrates the further innovations introduced after the Covid-19 crisis and the Russian invasion of Ukraine amid a deterioration of the international landscape and growing competition with China. These developments have produced an overall greening of the EU external action, although its green power strategy must still face important constraints that limit its ability to act as a leader in the emerging low-carbon world.</w:t>
      </w:r>
    </w:p>
    <w:p>
      <w:pPr/>
      <w:r>
        <w:rPr>
          <w:b/>
        </w:rPr>
        <w:t>POSSIBLE 2024:</w:t>
      </w:r>
      <w:r>
        <w:t xml:space="preserve"> Infringement: Jurisdiction Under the European Union/European Free Trade Association Rules — https://doi.org/10.1093/law/9780198853312.003.0005</w:t>
      </w:r>
    </w:p>
    <w:p>
      <w:pPr/>
      <w:r>
        <w:rPr>
          <w:b/>
        </w:rPr>
        <w:t>Shared claim-specific concepts:</w:t>
      </w:r>
      <w:r>
        <w:t xml:space="preserve"> abstract, union, must, also; EU scope visible. This is a provisional connection, not an outcome finding.</w:t>
      </w:r>
    </w:p>
    <w:p>
      <w:pPr>
        <w:pStyle w:val="SourceNote"/>
      </w:pPr>
      <w:r>
        <w:rPr>
          <w:b/>
        </w:rPr>
        <w:t>Available abstract (not full text):</w:t>
      </w:r>
      <w:r>
        <w:t xml:space="preserve"> Abstract This chapter explores the provisions related to jurisdiction under the European Union/European Free Trade Association rules and their application in infringement cases. After Brexit, the Brussels I Regulation and the Lugano Convention no longer apply in the UK and can no longer form a basis of jurisdiction for UK courts. However, even without the provisions, an action for infringement will be treated as a civil and commercial matter. On the other hand, an action for infringement of an intellectual property right brought against the European Commission must be heard by the Court of Justice instead of a national court. The chapter also considers the correlation between infringement, licensing agreements, and settlement agreements.</w:t>
      </w:r>
    </w:p>
    <w:p>
      <w:pPr/>
      <w:r>
        <w:rPr>
          <w:b/>
        </w:rPr>
        <w:t>POSSIBLE 2024:</w:t>
      </w:r>
      <w:r>
        <w:t xml:space="preserve"> Countering the Phenomenon of Populism as a Pathology of Democratisation in the European Union — https://doi.org/10.37837/2707-7683-2024-34</w:t>
      </w:r>
    </w:p>
    <w:p>
      <w:pPr/>
      <w:r>
        <w:rPr>
          <w:b/>
        </w:rPr>
        <w:t>Shared claim-specific concepts:</w:t>
      </w:r>
      <w:r>
        <w:t xml:space="preserve"> abstract, union, must, improve; EU scope visible. This is a provisional connection, not an outcome finding.</w:t>
      </w:r>
    </w:p>
    <w:p>
      <w:pPr>
        <w:pStyle w:val="SourceNote"/>
      </w:pPr>
      <w:r>
        <w:rPr>
          <w:b/>
        </w:rPr>
        <w:t>Available abstract (not full text):</w:t>
      </w:r>
      <w:r>
        <w:t xml:space="preserve"> Abstract. This article examines the latest trends in populism’s development in the European international political arena and the mechanisms for countering the ‘erosion of democracy’. The authors note that the phenomenon of democratic backsliding in the European Union is quite controversial. On one hand, since its inception, the European Union has upheld the principle of ‘the rule of law’ as one of its main pillars. On the other hand, the EU creates conditions that allow member states to backslide democratically. At the beginning of the 21st century, the EU faced its most ‘ironic’ problem — the institution that promotes democracy must fight against growing anti-democratic trends among its members. The most obvious examples are Hungary since 2010 and Poland since 2015, where the undemocratic actions of their governments have drawn the attention of all of Europe. Thus, in this article, the authors seek to answer the question: how can the European Union combat the erosion of democratic values? The authors outline three main approaches: (1) political pressure, (2) financial sanctions, and (3) legal prosecution for deviations from the principle of the rule of law. These three deterrent mechanisms closely link and require joint application to prevent democratic backsliding among new members. Studying the factors contributing to such backsliding shows that the European Parliament, the</w:t>
      </w:r>
    </w:p>
    <w:p>
      <w:pPr/>
      <w:r>
        <w:rPr>
          <w:b/>
        </w:rPr>
        <w:t>POSSIBLE 2024:</w:t>
      </w:r>
      <w:r>
        <w:t xml:space="preserve"> European labour law as part of an economic union, monetary union and community of values—between harmonization and subsidiarity — https://doi.org/10.1093/yel/yeae008</w:t>
      </w:r>
    </w:p>
    <w:p>
      <w:pPr/>
      <w:r>
        <w:rPr>
          <w:b/>
        </w:rPr>
        <w:t>Shared claim-specific concepts:</w:t>
      </w:r>
      <w:r>
        <w:t xml:space="preserve"> abstract, union, must, regulatory, but, areas; EU scope visible. This is a provisional connection, not an outcome finding.</w:t>
      </w:r>
    </w:p>
    <w:p>
      <w:pPr>
        <w:pStyle w:val="SourceNote"/>
      </w:pPr>
      <w:r>
        <w:rPr>
          <w:b/>
        </w:rPr>
        <w:t>Available abstract (not full text):</w:t>
      </w:r>
      <w:r>
        <w:t xml:space="preserve"> Abstract The development of European labour law was neither straightforward nor continuous but followed the development of the European single market for a long time. Today, European labour law is an essential part of the social market economy in the European Union, even if there is no uniform European social model. The European Pillar of Social Rights is a commitment to a social Europe and accelerated regulatory practice. From a political science perspective, the development of European labour law was and is dependent on the legitimacy of its actions of the European Union. Therefore, unlike in nation-states, no clearly defined concept of (European) labour law has emerged. Rather, three central areas can be identified: (1) transnational labour law, primarily the free movement of workers, as nucleus of European labour law, (2) European labour law as a result of the interference of business-related fundamental freedoms with the welfare states in the Member States, and (3) European labour law as a result of a proactive social policy. However, the European Union has and will have to continue to organise its legislation in coordination with the welfare states in the Member States. Politically, it must prove that its measures are necessary because it can regulate the issues in question better than the Member States would be able to. Crises affecting several Member States are often th</w:t>
      </w:r>
    </w:p>
    <w:p>
      <w:pPr/>
      <w:r>
        <w:rPr>
          <w:b/>
        </w:rPr>
        <w:t>POSSIBLE 2024:</w:t>
      </w:r>
      <w:r>
        <w:t xml:space="preserve"> Climate Obstruction in the European Union — https://doi.org/10.1093/oso/9780197762042.003.0013</w:t>
      </w:r>
    </w:p>
    <w:p>
      <w:pPr/>
      <w:r>
        <w:rPr>
          <w:b/>
        </w:rPr>
        <w:t>Shared claim-specific concepts:</w:t>
      </w:r>
      <w:r>
        <w:t xml:space="preserve"> abstract, union, not, reduce, but, also;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2023:</w:t>
      </w:r>
      <w:r>
        <w:t xml:space="preserve"> Crises and Integration in European Banking Union — https://doi.org/10.1093/oso/9780198889069.001.0001</w:t>
      </w:r>
    </w:p>
    <w:p>
      <w:pPr/>
      <w:r>
        <w:rPr>
          <w:b/>
        </w:rPr>
        <w:t>Shared claim-specific concepts:</w:t>
      </w:r>
      <w:r>
        <w:t xml:space="preserve"> abstract, union, must, only; EU scope visible. This is a provisional connection, not an outcome finding.</w:t>
      </w:r>
    </w:p>
    <w:p>
      <w:pPr>
        <w:pStyle w:val="SourceNote"/>
      </w:pPr>
      <w:r>
        <w:rPr>
          <w:b/>
        </w:rPr>
        <w:t>Available abstract (not full text):</w:t>
      </w:r>
      <w:r>
        <w:t xml:space="preserve"> Abstract This book develops a theory of which crises are most likely to produce substantially deeper European integration based on the interaction of two dimensions of a crisis: the severity of the threat to the existing status quo and the origin of the crisis either within or outside of the sector of interest. In order to produce truly fundamental reform, a crisis must both be severe enough that reform is undeniably necessary and have originated within the sector of interest, such that reform could plausibly prevent future recurrences of the crisis. The theory is tested by examining the relative impact of a series of crises on the centralization of European banking regulation in the twenty-first century, and in particular on efforts to complete a European banking and capital markets union. It looks in turn at the 2007–09 Banking Crisis, the 2010–14 Debt Crisis, the 2016 Brexit Crisis, and the 2020–21 COVID Pandemic. In brief, Brexit, a moderate exogenous crisis, produced no notable reform, while both the moderate endogenous 2007–09 Banking Crisis and the severe exogenous COVID-19 Pandemic produced modest reforms, in form of the creation of the European Banking Authority and an accelerated timeline for using the European Stability Mechanism to backstop funding of bank resolution respectively. Only the severe endogenous 2010–14 Debt Crisis produced the substantial reform out of </w:t>
      </w:r>
    </w:p>
    <w:p>
      <w:pPr>
        <w:pStyle w:val="Heading2"/>
      </w:pPr>
      <w:r>
        <w:t>477.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2025:</w:t>
      </w:r>
      <w:r>
        <w:t xml:space="preserve"> Socio-Economic Conditions Of Coir Workers And Problems Of Coir Industry East Godavari District in Andhra Pradesh — https://doi.org/10.71097/ijsat.v16.i4.8529</w:t>
      </w:r>
    </w:p>
    <w:p>
      <w:pPr/>
      <w:r>
        <w:rPr>
          <w:b/>
        </w:rPr>
        <w:t>Shared claim-specific concepts:</w:t>
      </w:r>
      <w:r>
        <w:t xml:space="preserve"> abstract, socio; EU scope not established. This is a provisional connection, not an outcome finding.</w:t>
      </w:r>
    </w:p>
    <w:p>
      <w:pPr>
        <w:pStyle w:val="SourceNote"/>
      </w:pPr>
      <w:r>
        <w:rPr>
          <w:b/>
        </w:rPr>
        <w:t>Available abstract (not full text):</w:t>
      </w:r>
      <w:r>
        <w:t xml:space="preserve">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pPr/>
      <w:r>
        <w:rPr>
          <w:b/>
        </w:rPr>
        <w:t>POSSIBLE 2024:</w:t>
      </w:r>
      <w:r>
        <w:t xml:space="preserve"> Abstract WMP47: Neighborhood Socio-Economic Status as a Predictor of All-Cause Long-Term Post-Stroke Mortality — https://doi.org/10.1161/str.55.suppl_1.wmp47</w:t>
      </w:r>
    </w:p>
    <w:p>
      <w:pPr/>
      <w:r>
        <w:rPr>
          <w:b/>
        </w:rPr>
        <w:t>Shared claim-specific concepts:</w:t>
      </w:r>
      <w:r>
        <w:t xml:space="preserve"> abstract, socioeconomic, used; EU scope not established. This is a provisional connection, not an outcome finding.</w:t>
      </w:r>
    </w:p>
    <w:p>
      <w:pPr>
        <w:pStyle w:val="SourceNote"/>
      </w:pPr>
      <w:r>
        <w:rPr>
          <w:b/>
        </w:rPr>
        <w:t>Available abstract (not full text):</w:t>
      </w:r>
      <w:r>
        <w:t xml:space="preserve"> Background: Previous studies have shown that neighborhood socioeconomic status may be associated with post-stroke mortality. However, these studies did not adjust for stroke severity. We aim to determine the association between neighborhood of residence on long-term mortality after stroke. Methods: Within our population of 1.3 million in the Greater Cincinnati Northern Kentucky area, incident strokes among adult residents were ascertained at all area hospitals during calendar years 2005, 2010 and 2015. Participants addresses were used to geocode and determine their census tract and then used a validated index to determine neighborhood socio-economic status. We used national death index data to determine mortality status at 5 years post stroke. Individuals who survived at least 30 days were included in the analysis. We used cox proportional hazards to determine the association between neighborhood of residence deprivation and case fatality rate after stroke. Results: Among 4514 incident ischemic strokes, there were 1719 deaths over 5 years; for an all-cause post-stroke mortality rate of 38.08% among survivors of 30 days post-stroke. Similarly, there were 552 intracerebral hemorrhages with 224 deaths over 5 years: yielding an all-cause post-stroke mortality rate of 40.58%. Individuals in the quartile of neighborhoods with lowest neighborhood socio-economic status had 1.3 times th</w:t>
      </w:r>
    </w:p>
    <w:p>
      <w:pPr/>
      <w:r>
        <w:rPr>
          <w:b/>
        </w:rPr>
        <w:t>POSSIBLE 2024:</w:t>
      </w:r>
      <w:r>
        <w:t xml:space="preserve"> The socio-economic performance of agroecology. A review — https://doi.org/10.1007/s13593-024-00945-9</w:t>
      </w:r>
    </w:p>
    <w:p>
      <w:pPr/>
      <w:r>
        <w:rPr>
          <w:b/>
        </w:rPr>
        <w:t>Shared claim-specific concepts:</w:t>
      </w:r>
      <w:r>
        <w:t xml:space="preserve"> abstract, used, them; EU scope not established. This is a provisional connection, not an outcome finding.</w:t>
      </w:r>
    </w:p>
    <w:p>
      <w:pPr>
        <w:pStyle w:val="SourceNote"/>
      </w:pPr>
      <w:r>
        <w:rPr>
          <w:b/>
        </w:rPr>
        <w:t>Available abstract (not full text):</w:t>
      </w:r>
      <w:r>
        <w:t xml:space="preserve"> Abstract Agroecology is identified as an important solution to increase the sustainability of agricultural and food systems. Despite the increasing number of publications assessing the socio-economic outcomes of agroecology, very few studies have consolidated the scattered results obtained on various case studies. This paper provides new insights by consolidating evidence on the varied socio-economic effects of agroecology across a large number of cases at a global level. To this purpose, we used a rapid review methodology, screening more than 13,000 publications to retrieve evidence on the socio-economic outcomes of the implementation of agroecological practices. The results of the review indicate that (1) agroecological practices are associated more often with positive socio-economic outcomes across the broad range of evaluated metrics (51% positive, 30% negative, 10% neutral, and 9% inconclusive outcomes); (2) the socio-economic metrics associated with financial capital represent the vast majority of evaluated metrics (83% of total) and are affected positively in a large share of cases (53%), due to favourable outcomes on income, revenues, productivity and efficiency; (3) human capital metrics (16%) are associated with a larger number of negative outcomes (46% versus 38% positive), due to higher labour requirements and costs that are however partly compensated by an overall </w:t>
      </w:r>
    </w:p>
    <w:p>
      <w:pPr/>
      <w:r>
        <w:rPr>
          <w:b/>
        </w:rPr>
        <w:t>POSSIBLE 2024:</w:t>
      </w:r>
      <w:r>
        <w:t xml:space="preserve"> Socio-economic Status Scales in India &amp; Globally: A Review — https://doi.org/10.4103/pmrr.pmrr_133_24</w:t>
      </w:r>
    </w:p>
    <w:p>
      <w:pPr/>
      <w:r>
        <w:rPr>
          <w:b/>
        </w:rPr>
        <w:t>Shared claim-specific concepts:</w:t>
      </w:r>
      <w:r>
        <w:t xml:space="preserve"> abstract, socio, used, applied; EU scope not established. This is a provisional connection, not an outcome finding.</w:t>
      </w:r>
    </w:p>
    <w:p>
      <w:pPr>
        <w:pStyle w:val="SourceNote"/>
      </w:pPr>
      <w:r>
        <w:rPr>
          <w:b/>
        </w:rPr>
        <w:t>Available abstract (not full text):</w:t>
      </w:r>
      <w:r>
        <w:t xml:space="preserve"> Abstract Socio Economic Status (SES) Scales as used for investigating social status and related health conditions are comprehensively reviewed for their background, development, strengths, weaknesses and popularity. They measure components such as education, occupation, income and possessions either individually or in combination for urban/rural population. Level of socio-economic status is in turn related to health status. Although carrying limitations, yet Kuppuswamy, BG Prasad and Udai Pareek remain the most accepted, updated and longstanding Indian scales. Others scales such as Tiwari and Kumar, Gaur and Agarwal can also be harnessed. Below Poverty Line (BPL) scale and multidimensional poverty index, Hashim and identical scales should also be applied to identify BPL families for delivering medical benefits through a government initiative such as- Ayushman Bharat Pradhan Mantri Jan Arogya Yojana. Few international scales are also discussed. Nevertheless, a combination of scales or an all-encompassing scale with the most relevant classification of the Indian society and identification of the poor is always desired by researchers and policy makers for a reasonable outcome.</w:t>
      </w:r>
    </w:p>
    <w:p>
      <w:pPr/>
      <w:r>
        <w:rPr>
          <w:b/>
        </w:rPr>
        <w:t>POSSIBLE 2024:</w:t>
      </w:r>
      <w:r>
        <w:t xml:space="preserve"> ONTOLOGY OF SOCIO-ECONOMIC RESEARCH — https://doi.org/10.30838/ep.194.66-73</w:t>
      </w:r>
    </w:p>
    <w:p>
      <w:pPr/>
      <w:r>
        <w:rPr>
          <w:b/>
        </w:rPr>
        <w:t>Shared claim-specific concepts:</w:t>
      </w:r>
      <w:r>
        <w:t xml:space="preserve"> used, applied, taking; EU scope not established. This is a provisional connection, not an outcome finding.</w:t>
      </w:r>
    </w:p>
    <w:p>
      <w:pPr>
        <w:pStyle w:val="SourceNote"/>
      </w:pPr>
      <w:r>
        <w:rPr>
          <w:b/>
        </w:rPr>
        <w:t>Available abstract (not full text):</w:t>
      </w:r>
      <w:r>
        <w:t xml:space="preserve"> Introduction. The ontology of socio-economic research contributes to a deeper understanding of the foundations of social and economic phenomena, which helps in the development of effective policies and strategies for solving problems at different levels of methodological knowledge. The development of modern science requires a detailed study of the ontological aspects of socio-economic processes for the analysis and forecasting of socio-economic phenomena. Research hypothesis: socio-economic processes can be more effectively analysed and predicted through the development of a formalized ontological system that describes the main concepts, methods and principles of ontological research. Purpose. Systematize the latest knowledge about the basic elements of socio-economic phenomena and develop the concept of the ontology of socio-economic research to improve the interpretation of the relationships between the elements of the knowledge system. Methodology. The theoretical and methodological basis of the research is based on philosophical, sociological and economic concepts. In the course of the research, the following methods were used: historical and logical approaches, systematization, comparative analysis (when studying the genesis of ontological principles), theoretical generalization, abstract-logical (when arguing the research concept), classification, decomposition, modelling</w:t>
      </w:r>
    </w:p>
    <w:p>
      <w:pPr/>
      <w:r>
        <w:rPr>
          <w:b/>
        </w:rPr>
        <w:t>POSSIBLE 2023:</w:t>
      </w:r>
      <w:r>
        <w:t xml:space="preserve"> Abstract 728: Socio-economic and health disparity determinants of breast cancer prevalence in low-income counties in Alabama and Mississippi: An analysis of Deep South cancer epidemic — https://doi.org/10.1158/1538-7445.am2023-728</w:t>
      </w:r>
    </w:p>
    <w:p>
      <w:pPr/>
      <w:r>
        <w:rPr>
          <w:b/>
        </w:rPr>
        <w:t>Shared claim-specific concepts:</w:t>
      </w:r>
      <w:r>
        <w:t xml:space="preserve"> abstract, socioeconomic, analyze; EU scope not established. This is a provisional connection, not an outcome finding.</w:t>
      </w:r>
    </w:p>
    <w:p>
      <w:pPr>
        <w:pStyle w:val="SourceNote"/>
      </w:pPr>
      <w:r>
        <w:rPr>
          <w:b/>
        </w:rPr>
        <w:t>Available abstract (not full text):</w:t>
      </w:r>
      <w:r>
        <w:t xml:space="preserve"> Abstract Background: Studies underscore evidence that socioeconomic status (SES) is associated with breast cancer (BC)prevalence and especially poor SES is closely related to the cancer epidemic. Exploring the high and low SES status concerning BC prevalence is timely and noteworthy. Two impoverished Deep South states Alabama and Mississippi are the focus of this research. Alabama and Mississippi are well known for the historical and cultural landscape of Black Belt Counties (BBC), predominantly occupied by African American populations who were systematically undermined in many socioeconomic, healthcare, educational, and political aspects. Our investigation explores BC prevalence in the major ethnic groups (African American and White) in both southern states, mainly in the BBC. Hypothesis/Objectives: We hypothesized that SES is closely associated with BC prevalence. In particular, the poor status of SES severely influences BC patients' access to healthcare, healthy food, obesity, education, employment, transportation, prevention, and screening. Our study explores the impact of selected SES factors to understand BC prevalence in both states, particularly in impoverished BBC. Methods: We utilized Geospatial Technology (GT) to analyze the connection between BC prevalence and SES. This study incorporates county-level BC prevalence and association with SES, education, healthy food a</w:t>
      </w:r>
    </w:p>
    <w:p>
      <w:pPr/>
      <w:r>
        <w:rPr>
          <w:b/>
        </w:rPr>
        <w:t>POSSIBLE 2023:</w:t>
      </w:r>
      <w:r>
        <w:t xml:space="preserve"> Cooperative adaptive management of the Nile River with climate and socio-economic uncertainties — https://doi.org/10.1038/s41558-022-01556-6</w:t>
      </w:r>
    </w:p>
    <w:p>
      <w:pPr/>
      <w:r>
        <w:rPr>
          <w:b/>
        </w:rPr>
        <w:t>Shared claim-specific concepts:</w:t>
      </w:r>
      <w:r>
        <w:t xml:space="preserve"> abstract, challenge; EU scope not established. This is a provisional connection, not an outcome finding.</w:t>
      </w:r>
    </w:p>
    <w:p>
      <w:pPr>
        <w:pStyle w:val="SourceNote"/>
      </w:pPr>
      <w:r>
        <w:rPr>
          <w:b/>
        </w:rPr>
        <w:t>Available abstract (not full text):</w:t>
      </w:r>
      <w:r>
        <w:t xml:space="preserve"> Abstract The uncertainties around the hydrological and socio-economic implications of climate change pose a challenge for Nile River system management, especially with rapidly rising demands for river-system-related services and political tensions between the riparian countries. Cooperative adaptive management of the Nile can help alleviate some of these stressors and tensions. Here we present a planning framework for adaptive management of the Nile infrastructure system, combining climate projections; hydrological, river system and economy-wide simulators; and artificial intelligence multi-objective design and machine learning algorithms. We demonstrate the utility of the framework by designing a cooperative adaptive management policy for the Grand Ethiopian Renaissance Dam that balances the transboundary economic and biophysical interests of Ethiopia, Sudan and Egypt. This shows that if the three countries compromise cooperatively and adaptively in managing the dam, the national-level economic and resilience benefits are substantial, especially under climate projections with the most extreme streamflow changes.</w:t>
      </w:r>
    </w:p>
    <w:p>
      <w:pPr/>
      <w:r>
        <w:rPr>
          <w:b/>
        </w:rPr>
        <w:t>POSSIBLE 2023:</w:t>
      </w:r>
      <w:r>
        <w:t xml:space="preserve"> Amenity complexity and urban locations of socio-economic mixing — https://doi.org/10.1140/epjds/s13688-023-00413-6</w:t>
      </w:r>
    </w:p>
    <w:p>
      <w:pPr/>
      <w:r>
        <w:rPr>
          <w:b/>
        </w:rPr>
        <w:t>Shared claim-specific concepts:</w:t>
      </w:r>
      <w:r>
        <w:t xml:space="preserve"> abstract, but, diversity; EU scope visible. This is a provisional connection, not an outcome finding.</w:t>
      </w:r>
    </w:p>
    <w:p>
      <w:pPr>
        <w:pStyle w:val="SourceNote"/>
      </w:pPr>
      <w:r>
        <w:rPr>
          <w:b/>
        </w:rPr>
        <w:t>Available abstract (not full text):</w:t>
      </w:r>
      <w:r>
        <w:t xml:space="preserve"> Abstract Cities host diverse people and their mixing is the engine of prosperity. In turn, segregation and inequalities are common features of most cities and locations that enable the meeting of people with different socio-economic status are key for urban inclusion. In this study, we adopt the concept of economic complexity to quantify the sophistication of amenity supply at urban locations. We propose that neighborhood complexity and amenity complexity are connected to the ability of locations to attract diverse visitors from various socio-economic backgrounds across the city. We construct the measures of amenity complexity based on the local portfolio of diverse and non-ubiquitous amenities in Budapest, Hungary. Socio-economic mixing at visited third places is investigated by tracing the daily mobility of individuals and by characterizing their status by the real-estate price of their home locations. Results suggest that measures of ubiquity and diversity of amenities do not, but neighborhood complexity and amenity complexity are correlated with the urban centrality of locations. Urban centrality is a strong predictor of socio-economic mixing, but both neighborhood complexity and amenity complexity add further explanatory power to our models. Our work combines urban mobility data with economic complexity thinking to show that the diversity of non-ubiquitous amenities, centr</w:t>
      </w:r>
    </w:p>
    <w:p>
      <w:pPr>
        <w:pStyle w:val="Heading2"/>
      </w:pPr>
      <w:r>
        <w:t>478.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2023:</w:t>
      </w:r>
      <w:r>
        <w:t xml:space="preserve"> A method for finding a least-cost corridor on an ordinal-scaled raster cost surface — https://doi.org/10.1080/19475683.2023.2166585</w:t>
      </w:r>
    </w:p>
    <w:p>
      <w:pPr/>
      <w:r>
        <w:rPr>
          <w:b/>
        </w:rPr>
        <w:t>Shared claim-specific concepts:</w:t>
      </w:r>
      <w:r>
        <w:t xml:space="preserve"> show, least-cost, solution, areas; EU scope not established. This is a provisional connection, not an outcome finding.</w:t>
      </w:r>
    </w:p>
    <w:p>
      <w:pPr>
        <w:pStyle w:val="SourceNote"/>
      </w:pPr>
      <w:r>
        <w:rPr>
          <w:b/>
        </w:rPr>
        <w:t>Available abstract (not full text):</w:t>
      </w:r>
      <w:r>
        <w:t xml:space="preserve"> The least-cost path problem is a widely studied problems in geographic information science. In raster space, the problem is to find a path that accumulates the least amount of cost between two locations based on the assumptions that the path is a one-dimensional object (represented by a string of cells) and that the cost (per unit length) is measured on a quantitative scale. Efficient methods are available for solution of this problem when at least one of these assumptions is upheld. This is not the case when the path has a width and is a two-dimensional object called a corridor (represented by a swath of cells) and the cost (per unit area) is measured on an ordinal scale. In this paper, we propose one additional model that characterizes a least-cost corridor on an ordinal-scaled raster cost surface – or a least ordinal-scaled cost corridor for short – and show that it can be transformed into an instance of a multiobjective optimization problem known as the preferred path problem with a lexicographic preference relation and solved accordingly. The model is tested through computational experiments with artificial landscape data as well as real-world data. Results show that least ordinal-scaled cost corridors are guaranteed to contain smaller areas of higher cost than conventional least-cost corridors at the expense of more elongated and winding forms. The least ordinal-scaled co</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requires, energy, also;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Implications of uncertainty in technology cost projections for least-cost decarbonized electricity systems — https://doi.org/10.1016/j.isci.2023.108685</w:t>
      </w:r>
    </w:p>
    <w:p>
      <w:pPr/>
      <w:r>
        <w:rPr>
          <w:b/>
        </w:rPr>
        <w:t>Shared claim-specific concepts:</w:t>
      </w:r>
      <w:r>
        <w:t xml:space="preserve"> least-cost, energy, system; EU scope not established. This is a provisional connection, not an outcome finding.</w:t>
      </w:r>
    </w:p>
    <w:p>
      <w:pPr>
        <w:pStyle w:val="SourceNote"/>
      </w:pPr>
      <w:r>
        <w:rPr>
          <w:b/>
        </w:rPr>
        <w:t>Available abstract (not full text):</w:t>
      </w:r>
      <w:r>
        <w:t xml:space="preserve"> Plans for decarbonized electricity systems rely on projections of highly uncertain future technology costs. We use a stylized model to investigate the influence of future cost uncertainty, as represented by different projections in the National Renewable Energy Laboratory 2021 Annual Technology Baseline dataset, on technology mixes comprising least-cost decarbonized electricity systems. Our analysis shows that given the level of future cost uncertainty as represented by these projections, it is not possible to predict with confidence which technologies will play a dominant role in future least-cost carbon emission-free energy systems. Successful efforts to reduce costs of individual technologies may or may not lead to system cost reductions and widespread deployments, depending on the success of cost-reduction efforts for competing and complementary technologies. These results suggest a portfolio approach to reducing technology costs. Reliance on uncertain cost breakthroughs risks costly outcomes. Iterative decision-making with learning can help mitigate these risks.</w:t>
      </w:r>
    </w:p>
    <w:p>
      <w:pPr/>
      <w:r>
        <w:rPr>
          <w:b/>
        </w:rPr>
        <w:t>POSSIBLE 2023:</w:t>
      </w:r>
      <w:r>
        <w:t xml:space="preserve"> The cost of an ALP solution to the neutral B-anomalies — https://doi.org/10.1007/jhep02(2023)138</w:t>
      </w:r>
    </w:p>
    <w:p>
      <w:pPr/>
      <w:r>
        <w:rPr>
          <w:b/>
        </w:rPr>
        <w:t>Shared claim-specific concepts:</w:t>
      </w:r>
      <w:r>
        <w:t xml:space="preserve"> solution, energy, also; EU scope not established. This is a provisional connection, not an outcome finding.</w:t>
      </w:r>
    </w:p>
    <w:p>
      <w:pPr>
        <w:pStyle w:val="SourceNote"/>
      </w:pPr>
      <w:r>
        <w:rPr>
          <w:b/>
        </w:rPr>
        <w:t>Available abstract (not full text):</w:t>
      </w:r>
      <w:r>
        <w:t xml:space="preserve"> Abstract The neutral anomalies in B decays are analysed in terms of the tree-level exchange of an axion-like-particle (ALP), within the effective field theory framework. The complete two-dimensional parameter space for ALP couplings to electrons and muons is explored. The solutions to RK and to the two energy bins of $$ {R}_{K^{\ast }} $$ R K ∗ are confronted with the impact of ALP exchange on other observables (meson oscillations, leptonic and semileptonic decays of B mesons including searches for new resonances, astrophysical constraints), as well as with the theoretical domain of validity of the effective theory. Solutions based on ALPs heavier than B mesons, or lighter than twice the muon mass, are shown to be excluded. In contrast, the exchange of on-shell ALPs provides solutions to RK and/or $$ {R}_{K^{\ast }} $$ R K ∗ within 2σ sensitivity which are technically compatible with those constraints. Furthermore, a “golden ALP mass” is identified at the frontier between the two energy bin windows of $$ {R}_{K^{\ast }} $$ R K ∗ , which could simultaneously explain these two $$ {R}_{K^{\ast }} $$ R K ∗ anomalies together with RK; this calls for the convenience of different energy binning which would easily clear up this (unlikely) possibility. The impact of smearing on data analysis is also discussed. When loop effects are taken into account, the solutions found can be in addit</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areas, flexible;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2023:</w:t>
      </w:r>
      <w:r>
        <w:t xml:space="preserve"> Taxing reproduction: the full transfer cost of rearing children in Europe — https://doi.org/10.1098/rsos.230759</w:t>
      </w:r>
    </w:p>
    <w:p>
      <w:pPr/>
      <w:r>
        <w:rPr>
          <w:b/>
        </w:rPr>
        <w:t>Shared claim-specific concepts:</w:t>
      </w:r>
      <w:r>
        <w:t xml:space="preserve"> countries, also, less; EU scope visible. This is a provisional connection, not an outcome finding.</w:t>
      </w:r>
    </w:p>
    <w:p>
      <w:pPr>
        <w:pStyle w:val="SourceNote"/>
      </w:pPr>
      <w:r>
        <w:rPr>
          <w:b/>
        </w:rPr>
        <w:t>Available abstract (not full text):</w:t>
      </w:r>
      <w:r>
        <w:t xml:space="preserve"> What are the intergenerational resource transfer contributions of parents and non-parents in Europe? Using National Transfer Accounts and National Time Transfer Accounts for 12 countries around 2010, we go beyond public transfers (net taxes) to also value two statistically much less visible transfers in the family realm: of market goods and of unpaid household labour (time). Non-parents contribute almost exclusively to public transfers. But parents additionally provide still larger private transfers: mothers mainly time, fathers mainly market goods. Estimating transfer stocks over the working life, the average parental/non-parental contribution ratio in Europe flips from 0.73 (public transfers alone) to 2.66 (all three transfers combined). The highest combined parental/non-parental contribution ratios are in Sweden and Finland. The metaphorical tax rates implicitly imposed thereby on rearing children in Europe are multiples of the value-added tax rates in place on consumption goods. Unveiling the sheer magnitude of these invisible transfer asymmetries carries multiple implications for policy debates. For instance, it raises the question whether ageing European societies unwittingly tax, rather than subsidise, their own reproduction. Family friendly policy models, such as the Nordic welfare states, do not mitigate this effect. They help parents work, but do not lower the implici</w:t>
      </w:r>
    </w:p>
    <w:p>
      <w:pPr>
        <w:pStyle w:val="Heading2"/>
      </w:pPr>
      <w:r>
        <w:t>479.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2025:</w:t>
      </w:r>
      <w:r>
        <w:t xml:space="preserve"> Corporate foresight and intellectual capital robustness: a literature review — https://doi.org/10.24023/futurejournal/2175-5825/2025.v17i1.932</w:t>
      </w:r>
    </w:p>
    <w:p>
      <w:pPr/>
      <w:r>
        <w:rPr>
          <w:b/>
        </w:rPr>
        <w:t>Shared claim-specific concepts:</w:t>
      </w:r>
      <w:r>
        <w:t xml:space="preserve"> corporate, foresight, tools; EU scope not established. This is a provisional connection, not an outcome finding.</w:t>
      </w:r>
    </w:p>
    <w:p>
      <w:pPr>
        <w:pStyle w:val="SourceNote"/>
      </w:pPr>
      <w:r>
        <w:rPr>
          <w:b/>
        </w:rPr>
        <w:t>Available abstract (not full text):</w:t>
      </w:r>
      <w:r>
        <w:t xml:space="preserve"> Purpose: This study aims to identify the evolution of the field of corporate foresight over the last decade and its association with the theme of intellectual capital to capture factors that aid organizations succeed in the long term. Originality/value: When it refers to foresight and resource-based management, the effect of dynamic capabilities on intangible assets has already been discussed, but there has been no direct mention of futures studies and intellectual capital. Method: A systematic literature review was performed to investigate works published on the Web of Science database between January 2015 and June 2024. Results: The relationship with intellectual capital was predominant in structural capital factors of product and process innovations, advanced technologies and management tools. Besides that, anticipatory studies about human and relational capital factors seemed to be relevant for decision-making in future. Conclusions: This study demonstrated that through corporate foresight analysis it was possible to identify the changes needed to improve key intellectual capital factors that can be responsible for differentiating products and services in the market in terms of innovation and competitive advantage.</w:t>
      </w:r>
    </w:p>
    <w:p>
      <w:pPr/>
      <w:r>
        <w:rPr>
          <w:b/>
        </w:rPr>
        <w:t>POSSIBLE 2025:</w:t>
      </w:r>
      <w:r>
        <w:t xml:space="preserve"> Corporate Foresight in a Global Enterprise - A Case Study Approach — https://openalex.org/W7216959097</w:t>
      </w:r>
    </w:p>
    <w:p>
      <w:pPr/>
      <w:r>
        <w:rPr>
          <w:b/>
        </w:rPr>
        <w:t>Shared claim-specific concepts:</w:t>
      </w:r>
      <w:r>
        <w:t xml:space="preserve"> corporate, foresight, including, shared, strategy, based; EU scope not established. This is a provisional connection, not an outcome finding.</w:t>
      </w:r>
    </w:p>
    <w:p>
      <w:pPr>
        <w:pStyle w:val="SourceNote"/>
      </w:pPr>
      <w:r>
        <w:rPr>
          <w:b/>
        </w:rPr>
        <w:t>Available abstract (not full text):</w:t>
      </w:r>
      <w:r>
        <w:t xml:space="preserve"> The global business environment is becoming increasingly complex and unpredictable due to rapid technological change, shifting consumer expectations, environmental challenges, and geopolitical instability. As a result, the need for long-term thinking has become more urgent than ever. To navigate this, corporate foresight has emerged as a strategic tool that enables organizations to identify, interpret, and act on signals of future change. This thesis investigates the role of corporate foresight in shaping strategic decision-making within a large, global enterprise. Specifically, the study explores how foresight activities are conducted and connected to strategy in a multinational company operating in the automotive sector. The study follows a qualitative single case study approach based on semi-structured interviews with employees engaged in foresight and strategy within the organization. The empirical findings show that corporate foresight is conducted centrally within the case organization on an annual basis, guided by a partially structured process. While insights are shared across the organization, the process ends at the point of presentation and foresight is not linked to strategy in any formal way. This disconnect is explained by structural and cultural factors, including the absence of formalized frameworks, a lack of tailored insights for specific business units, weak </w:t>
      </w:r>
    </w:p>
    <w:p>
      <w:pPr/>
      <w:r>
        <w:rPr>
          <w:b/>
        </w:rPr>
        <w:t>POSSIBLE 2025:</w:t>
      </w:r>
      <w:r>
        <w:t xml:space="preserve"> FORESIGHT AS A STRATEGIC MANAGEMENT TOOL: INTERNATIONAL EXPERIENCE AND RUSSIAN PROSPECTS — https://doi.org/10.36871/ek.up.p.r.2025.11.05.027</w:t>
      </w:r>
    </w:p>
    <w:p>
      <w:pPr/>
      <w:r>
        <w:rPr>
          <w:b/>
        </w:rPr>
        <w:t>Shared claim-specific concepts:</w:t>
      </w:r>
      <w:r>
        <w:t xml:space="preserve"> corporate, foresight, strategy; EU scope visible. This is a provisional connection, not an outcome finding.</w:t>
      </w:r>
    </w:p>
    <w:p>
      <w:pPr>
        <w:pStyle w:val="SourceNote"/>
      </w:pPr>
      <w:r>
        <w:rPr>
          <w:b/>
        </w:rPr>
        <w:t>Available abstract (not full text):</w:t>
      </w:r>
      <w:r>
        <w:t xml:space="preserve"> This article provides a comprehensive analysis of international foresight initiatives as a tool for strategic planning and management in the face of increasing global uncertainty. Using examples from five developed economies–the United Kingdom, Finland, South Korea, Japan, and Australia–it examines various national models of foresight organization, methodological approaches, mechanisms for engaging multiple stakeholders, and the specifics of implementing foresight research results into public policy and corporate strategy. The paper synthesizes best practices and lessons that can be adapted to Russian conditions to develop strategic thinking, improve the quality of innovation policy, and ensure sustainable socioeconomic development. Specific recommendations are offered for the implementation of foresight at the federal, regional, and municipal levels of government, as well as in the corporate sector, taking into account the institutional and cultural characteristics of the Russian Federation.</w:t>
      </w:r>
    </w:p>
    <w:p>
      <w:pPr/>
      <w:r>
        <w:rPr>
          <w:b/>
        </w:rPr>
        <w:t>POSSIBLE 2025:</w:t>
      </w:r>
      <w:r>
        <w:t xml:space="preserve"> Intellectual Structure of the Research on Corporate Foresight and Innovation: Thinking inside the Box — https://doi.org/10.15388/tibe.2025.24.2.17</w:t>
      </w:r>
    </w:p>
    <w:p>
      <w:pPr/>
      <w:r>
        <w:rPr>
          <w:b/>
        </w:rPr>
        <w:t>Shared claim-specific concepts:</w:t>
      </w:r>
      <w:r>
        <w:t xml:space="preserve"> corporate, foresight, applied, based; EU scope not established. This is a provisional connection, not an outcome finding.</w:t>
      </w:r>
    </w:p>
    <w:p>
      <w:pPr>
        <w:pStyle w:val="SourceNote"/>
      </w:pPr>
      <w:r>
        <w:rPr>
          <w:b/>
        </w:rPr>
        <w:t>Available abstract (not full text):</w:t>
      </w:r>
      <w:r>
        <w:t xml:space="preserve"> The aim of this study is to identify the scholarly works that have had the greatest impact on the research on corporate foresight (CF) and innovation and to analyze the intellectual structure of the knowledge base of the research developed in this field. The methodology is based on the bibliometric techniques of citation and co-citation analysis, which are applied to a total of 129 articles published between 2006 and 2023* (database consultation date: January 3, 2024). Clarivate Analytics' Web of Science™ (WoS) database is used in this study. We chose bibliometric analysis over other traditional methods like systematic literature review (SLR) as bibliometric techniques are replicable, objective, unbiased, and rigorous, and thus superior to other techniques for conducting literature reviews.</w:t>
      </w:r>
    </w:p>
    <w:p>
      <w:pPr/>
      <w:r>
        <w:rPr>
          <w:b/>
        </w:rPr>
        <w:t>POSSIBLE 2025:</w:t>
      </w:r>
      <w:r>
        <w:t xml:space="preserve"> Foresight Evaluation Frameworks — https://doi.org/10.5281/zenodo.17686267</w:t>
      </w:r>
    </w:p>
    <w:p>
      <w:pPr/>
      <w:r>
        <w:rPr>
          <w:b/>
        </w:rPr>
        <w:t>Shared claim-specific concepts:</w:t>
      </w:r>
      <w:r>
        <w:t xml:space="preserve"> corporate, foresight, tools; EU scope not established. This is a provisional connection, not an outcome finding.</w:t>
      </w:r>
    </w:p>
    <w:p>
      <w:pPr>
        <w:pStyle w:val="SourceNote"/>
      </w:pPr>
      <w:r>
        <w:rPr>
          <w:b/>
        </w:rPr>
        <w:t>Available abstract (not full text):</w:t>
      </w:r>
      <w:r>
        <w:t xml:space="preserve"> Foresight Evaluation Frameworks is a systemic, practice-oriented book focused on the evaluation and assessment of foresight outputs. It presents an individual effort to enhance futures work, transitioning from intuitive and speculative approaches to rigorous, evidence-based, and professionally produced outputs. The book provides concrete tools, frameworks, scales, and criteria for assessing the quality, trustworthiness, and impact of foresight work, whether manifested as scenarios, trend reports, academic dissertations, corporate foresight reports, or public-policy horizon scans. At its core, the book addresses a key question: “Given the uncertain nature of the future, how can we determine when a piece of foresight is not just imaginative or eloquent, but truly trustworthy, methodologically sound, and capable of generating real-world impact?”</w:t>
      </w:r>
    </w:p>
    <w:p>
      <w:pPr/>
      <w:r>
        <w:rPr>
          <w:b/>
        </w:rPr>
        <w:t>POSSIBLE 2024:</w:t>
      </w:r>
      <w:r>
        <w:t xml:space="preserve"> The use of foresight in corporate innovation — https://doi.org/10.4337/9781035301607.00040</w:t>
      </w:r>
    </w:p>
    <w:p>
      <w:pPr/>
      <w:r>
        <w:rPr>
          <w:b/>
        </w:rPr>
        <w:t>Shared claim-specific concepts:</w:t>
      </w:r>
      <w:r>
        <w:t xml:space="preserve"> corporate, foresight, tools, applied, including, firms; EU scope not established. This is a provisional connection, not an outcome finding.</w:t>
      </w:r>
    </w:p>
    <w:p>
      <w:pPr>
        <w:pStyle w:val="SourceNote"/>
      </w:pPr>
      <w:r>
        <w:rPr>
          <w:b/>
        </w:rPr>
        <w:t>Available abstract (not full text):</w:t>
      </w:r>
      <w:r>
        <w:t xml:space="preserve"> Foresight methods have proven useful for improving innovation processes and outcomes in corporations. Strategic foresight tools including scenarios, backcasting, and design ethnography help firms create empathy with future customers, manage innovation portfolios, and enable innovations to reach the market. This chapter reviews how foresight addresses common innovation challenges. Scenario planning builds understanding of future contexts where innovations must succeed. Incasting projects user personas into these futures to uncover latent needs. Backcasting then sets external milestones for the innovation’s market readiness. These techniques create headroom for long development times and indicate when to persist or pivot investment based on changing conditions. Foresight also builds urgency for change and pathways for innovation to reach customers. While historically used in strategic planning, foresight is now applied earlier in ideation and portfolio management to maximize innovation success. This chapter shares examples demonstrating how firms obtain competitive advantage by anticipating change with foresight. It provides an overview of foresight applications in corporate innovation and highlights benefits documented through recent scholarly research.</w:t>
      </w:r>
    </w:p>
    <w:p>
      <w:pPr/>
      <w:r>
        <w:rPr>
          <w:b/>
        </w:rPr>
        <w:t>POSSIBLE 2024:</w:t>
      </w:r>
      <w:r>
        <w:t xml:space="preserve"> Corporate foresight for the benefit of corporates' innovation climate — https://doi.org/10.1002/ffo2.195</w:t>
      </w:r>
    </w:p>
    <w:p>
      <w:pPr/>
      <w:r>
        <w:rPr>
          <w:b/>
        </w:rPr>
        <w:t>Shared claim-specific concepts:</w:t>
      </w:r>
      <w:r>
        <w:t xml:space="preserve"> corporate, foresight, only; EU scope not established. This is a provisional connection, not an outcome finding.</w:t>
      </w:r>
    </w:p>
    <w:p>
      <w:pPr>
        <w:pStyle w:val="SourceNote"/>
      </w:pPr>
      <w:r>
        <w:rPr>
          <w:b/>
        </w:rPr>
        <w:t>Available abstract (not full text):</w:t>
      </w:r>
      <w:r>
        <w:t xml:space="preserve"> Abstract Corporate foresight (CF) can be considered a future‐oriented capability that incorporates perceiving and prospecting. Extant CF‐related studies tackle the CF−innovation relationship but do not provide details on how CF relates to innovation climate. As we assume that the innovation climate of companies is a relevant antecedent to innovation, we conduct a quantitative empirical study with 147 upper‐tier managers to investigate how CF and the respective training of managers relate to a corporate's innovation climate. Results show that strong perceiving and prospecting positively influence the innovation climate, whereby prospecting is of particular importance. Further, we find that training managers in future‐oriented capabilities is only under certain circumstances (i.e., low prospecting) beneficial to the innovation climate in companies.</w:t>
      </w:r>
    </w:p>
    <w:p>
      <w:pPr>
        <w:pStyle w:val="Heading2"/>
      </w:pPr>
      <w:r>
        <w:t>480.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decarbonization, industry, current, emissions, technological, countries;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Decarbonization and the Capitalist State — https://doi.org/10.1111/soc4.70011</w:t>
      </w:r>
    </w:p>
    <w:p>
      <w:pPr/>
      <w:r>
        <w:rPr>
          <w:b/>
        </w:rPr>
        <w:t>Shared claim-specific concepts:</w:t>
      </w:r>
      <w:r>
        <w:t xml:space="preserve"> decarbonization, further, economy; EU scope not established. This is a provisional connection, not an outcome finding.</w:t>
      </w:r>
    </w:p>
    <w:p>
      <w:pPr>
        <w:pStyle w:val="SourceNote"/>
      </w:pPr>
      <w:r>
        <w:rPr>
          <w:b/>
        </w:rPr>
        <w:t>Available abstract (not full text):</w:t>
      </w:r>
      <w:r>
        <w:t xml:space="preserve"> ABSTRACT Decarbonization is the most important challenge of our time. Though quite modest, states are taking more climate action. How should we approach these efforts? Sociologists have paid less attention to decarbonization overall but frameworks in political sociology can make sense of state power and climate politics. In this review, I first discuss two sets of literature. The first extends “state‐capacity” and institutionalist frameworks. The second is based on radical and Marxist state theories. Following this, I draw from Mann's concept of “infrastructural power” which combines elements of both and can situate state power in a transnational context. Using this concept and recent literature in political economy, I discuss three infrastructures—finance, trade, and energy—and consequential ways states have altered them in recent years. These actions reveal profound geoeconomic contradictions which will undermine decarbonization. Together, this review provides a wide survey of state theories and macroscopic climate politics with the hope of spurring further discussion and debate.</w:t>
      </w:r>
    </w:p>
    <w:p>
      <w:pPr/>
      <w:r>
        <w:rPr>
          <w:b/>
        </w:rPr>
        <w:t>POSSIBLE 2024:</w:t>
      </w:r>
      <w:r>
        <w:t xml:space="preserve"> Decarbonization potential of floating solar photovoltaics on lakes worldwide — https://doi.org/10.1038/s44221-024-00251-4</w:t>
      </w:r>
    </w:p>
    <w:p>
      <w:pPr/>
      <w:r>
        <w:rPr>
          <w:b/>
        </w:rPr>
        <w:t>Shared claim-specific concepts:</w:t>
      </w:r>
      <w:r>
        <w:t xml:space="preserve"> decarbonization, national, countries; EU scope not established. This is a provisional connection, not an outcome finding.</w:t>
      </w:r>
    </w:p>
    <w:p>
      <w:pPr>
        <w:pStyle w:val="SourceNote"/>
      </w:pPr>
      <w:r>
        <w:rPr>
          <w:b/>
        </w:rPr>
        <w:t>Available abstract (not full text):</w:t>
      </w:r>
      <w:r>
        <w:t xml:space="preserve"> Abstract As climate change progresses, there is increasing emphasis on net zero and energy system decarbonization. Several technologies are contributing to this agenda, but among these, the growth of solar photovoltaics has consistently exceeded all projections. With increasing land-use pressures, and the expense of building-mounted photovoltaics, water surfaces are increasingly being exploited to host these technologies. However, to date, we lack an understanding of the global potential of floating solar photovoltaics and, as such, we do not yet have sufficient insight to inform decisions on (in)appropriate areas for future deployment. Here we quantify the energy generation potential of floating solar photovoltaics on over 1 million water bodies worldwide (14,906 TWh). Our analysis suggests that with a conservative 10% surface area coverage, floating solar photovoltaics could produce sufficient energy to contribute a considerable fraction (16%, on average) of the electricity demand of some countries, thus playing an important role in decarbonizing national economies.</w:t>
      </w:r>
    </w:p>
    <w:p>
      <w:pPr/>
      <w:r>
        <w:rPr>
          <w:b/>
        </w:rPr>
        <w:t>POSSIBLE 2024:</w:t>
      </w:r>
      <w:r>
        <w:t xml:space="preserve"> Azerbaijan: pathways for decarbonization in a global context — https://doi.org/10.1080/14693062.2024.2330378</w:t>
      </w:r>
    </w:p>
    <w:p>
      <w:pPr/>
      <w:r>
        <w:rPr>
          <w:b/>
        </w:rPr>
        <w:t>Shared claim-specific concepts:</w:t>
      </w:r>
      <w:r>
        <w:t xml:space="preserve"> decarbonization, emissions, economy, increase, countries, world; EU scope not established. This is a provisional connection, not an outcome finding.</w:t>
      </w:r>
    </w:p>
    <w:p>
      <w:pPr>
        <w:pStyle w:val="SourceNote"/>
      </w:pPr>
      <w:r>
        <w:rPr>
          <w:b/>
        </w:rPr>
        <w:t>Available abstract (not full text):</w:t>
      </w:r>
      <w:r>
        <w:t xml:space="preserve"> As economies around the world are increasing their mitigation ambitions, Azerbaijan’s lingering dependency on fossil fuel exports threatens its medium – and long-term economic development prospects. Global decarbonization is expected to directly impact the country’s resource rents through lower fossil fuel demand and prices. In this regard, it is crucial to understand the potential implications of the global mitigation efforts on the economy of Azerbaijan and evaluate the domestic mitigation policies. To address this gap in the literature, we use a global dynamic computable general equilibrium model and explore a set of forward-looking climate policy scenarios till 2060. Our results suggest that while being adversely impacted by decarbonization efforts in countries around the world, it is in Azerbaijan’s self-interest to implement domestic mitigation policies. With proper sequencing and design of such policies, including a combination of fossil-fuel subsidies reform, the introduction of carbon prices post-2030 and recycling of the additionally collected revenue via reduced factor taxes, the country could achieve NDC targets, boost economic growth and increase economic diversification. More ambitious mitigation efforts, consistent with reaching net-zero emissions by 2060 would result in substantial health co-benefits from improved air quality, which could almost fully outweigh t</w:t>
      </w:r>
    </w:p>
    <w:p>
      <w:pPr/>
      <w:r>
        <w:rPr>
          <w:b/>
        </w:rPr>
        <w:t>POSSIBLE 2023:</w:t>
      </w:r>
      <w:r>
        <w:t xml:space="preserve"> Methane-to-chemicals: a pathway to decarbonization — https://doi.org/10.1093/nsr/nwad116</w:t>
      </w:r>
    </w:p>
    <w:p>
      <w:pPr/>
      <w:r>
        <w:rPr>
          <w:b/>
        </w:rPr>
        <w:t>Shared claim-specific concepts:</w:t>
      </w:r>
      <w:r>
        <w:t xml:space="preserve"> decarbonization, industry, current; EU scope not established. This is a provisional connection, not an outcome finding.</w:t>
      </w:r>
    </w:p>
    <w:p>
      <w:pPr>
        <w:pStyle w:val="SourceNote"/>
      </w:pPr>
      <w:r>
        <w:rPr>
          <w:b/>
        </w:rPr>
        <w:t>Available abstract (not full text):</w:t>
      </w:r>
      <w:r>
        <w:t xml:space="preserve"> ABSTRACT The utilization of methane for chemical production, often considered as the future of petrochemistry, historically could not compete economically with conventional processes due to higher investment costs. Achieving sustainability and decarbonization of the downstream industry by integration with a methane-to-chemicals process may provide an opportunity to unlock the future for these technologies. Gas-to-chemicals is an efficient tool to boost the decarbonization potential of renewable energy. While the current implementation of carbon capture utilization and storage (CCUS) technologies is of great importance for industrial decarbonization, a shift to greener CO2-free processes and CO2 utilization from external sources for manufacturing valuable goods is highly preferred. This review outlines potential options for how a methane-to-chemicals process could support decarbonization of the downstream industry.</w:t>
      </w:r>
    </w:p>
    <w:p>
      <w:pPr/>
      <w:r>
        <w:rPr>
          <w:b/>
        </w:rPr>
        <w:t>POSSIBLE 2023:</w:t>
      </w:r>
      <w:r>
        <w:t xml:space="preserve"> A review on the decarbonization of high-performance computing centers — https://doi.org/10.1016/j.rser.2023.114019</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High-performance computing relies on performance-oriented infrastructures with access to powerful computing resources to complete tasks that contribute to solve complex problems in society. The intensive use of resources and the increase in service demand due to emerging fields of science, combined with the exascale paradigm, climate change concerns, and rising energy costs, ultimately means that the decarbonization of these centers is key to improve their environmental and financial performance. Therefore, a review on the main opportunities and challenges for the decarbonization of high-performance computing centers is essential to help decision-makers, operators and users contribute to a more sustainable computing ecosystem. It was found that state-of-the-art supercomputers are growing in computing power, but are combining different measures to meet sustainability concerns, namely going beyond energy efficiency measures and evolving simultaneously in terms of energy and information technology infrastructure. It was also shown that policy and multiple entities are now targeting specifically HPC, and that identifying synergies with the energy sector can reveal new revenue streams, but also enable a smoother integration of these centers in energy systems. Computing-intensive users can continue to pursue their scientific research, but participating more actively in the decarboniz</w:t>
      </w:r>
    </w:p>
    <w:p>
      <w:pPr/>
      <w:r>
        <w:rPr>
          <w:b/>
        </w:rPr>
        <w:t>POSSIBLE 2023:</w:t>
      </w:r>
      <w:r>
        <w:t xml:space="preserve"> Hydrogen in Decarbonization Strategies in Asia and the Pacific — https://doi.org/10.56506/jput8568</w:t>
      </w:r>
    </w:p>
    <w:p>
      <w:pPr/>
      <w:r>
        <w:rPr>
          <w:b/>
        </w:rPr>
        <w:t>Shared claim-specific concepts:</w:t>
      </w:r>
      <w:r>
        <w:t xml:space="preserve"> decarbonization, national, further, countries; EU scope not established. This is a provisional connection, not an outcome finding.</w:t>
      </w:r>
    </w:p>
    <w:p>
      <w:pPr>
        <w:pStyle w:val="SourceNote"/>
      </w:pPr>
      <w:r>
        <w:rPr>
          <w:b/>
        </w:rPr>
        <w:t>Available abstract (not full text):</w:t>
      </w:r>
      <w:r>
        <w:t xml:space="preserve"> Hydrogen is regarded as one of the limited options for decarbonizing the hard-to-abate industrial sector. This work investigates the status and potential of green and blue hydrogen in some major industrial sectors, including oil refining, chemical production, iron and steel production, and high-temperature heat applications. The focus is put on the Asia and the Pacific (APAC) region, which accounts for half of the global industrial hydrogen demand. The status of the hydrogen market, the deployment actions of low-carbon hydrogen in industrial sectors in terms of national strategies, demonstration projects, and the regional hydrogen market of the APAC countries are summarized and analyzed. Perspectives are provided in support of accelerating the further decarbonization of the industrial sector in the APAC region with low-carbon hydrogen. Despite variations across countries in APAC in terms of low-carbon hydrogen production and application potentials due to different resource endowments, energy structures, and industrial structures, the region enjoys high potential overall, and in the ability for cross-border hydrogen trading in particular.</w:t>
      </w:r>
    </w:p>
    <w:p>
      <w:pPr/>
      <w:r>
        <w:rPr>
          <w:b/>
        </w:rPr>
        <w:t>POSSIBLE 2023:</w:t>
      </w:r>
      <w:r>
        <w:t xml:space="preserve"> Global Transportation Decarbonization — https://doi.org/10.1257/jep.37.3.163</w:t>
      </w:r>
    </w:p>
    <w:p>
      <w:pPr/>
      <w:r>
        <w:rPr>
          <w:b/>
        </w:rPr>
        <w:t>Shared claim-specific concepts:</w:t>
      </w:r>
      <w:r>
        <w:t xml:space="preserve"> decarbonization, emissions, countries, world; EU scope visible. This is a provisional connection, not an outcome finding.</w:t>
      </w:r>
    </w:p>
    <w:p>
      <w:pPr>
        <w:pStyle w:val="SourceNote"/>
      </w:pPr>
      <w:r>
        <w:rPr>
          <w:b/>
        </w:rPr>
        <w:t>Available abstract (not full text):</w:t>
      </w:r>
      <w:r>
        <w:t xml:space="preserve"> Replacing fossil fuels in the name of decarbonization is necessary but will be particularly difficult due to their as-yet unrivaled bundle of attributes: abundance, ubiquity, energy density, transportability and cost. There is a growing commitment to electrification as the dominant decarbonization pathway. While deep electrification is promising for road transportation in wealthy countries, it will face steep obstacles. In other sectors and in the developing world, it’s not even in pole position. Global transportation decarbonization will require decoupling emissions from economic growth, and decoupling emissions from growth will require not only new technologies, but cooperation in governance. The menu of policy options is replete with grim tradeoffs, particularly as the primacy of energy security and reliability (over emissions abatement) has once again been demonstrated in Europe and elsewhere.</w:t>
      </w:r>
    </w:p>
    <w:p>
      <w:pPr>
        <w:pStyle w:val="Heading2"/>
      </w:pPr>
      <w:r>
        <w:t>481.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r>
        <w:rPr>
          <w:b/>
        </w:rPr>
        <w:t>POSSIBLE 2024:</w:t>
      </w:r>
      <w:r>
        <w:t xml:space="preserve"> Cross-Continental insights: Comparing food safety management systems in Europe and Latin America — https://doi.org/10.1016/j.foodcont.2024.110552</w:t>
      </w:r>
    </w:p>
    <w:p>
      <w:pPr/>
      <w:r>
        <w:rPr>
          <w:b/>
        </w:rPr>
        <w:t>Shared claim-specific concepts:</w:t>
      </w:r>
      <w:r>
        <w:t xml:space="preserve"> insights, gained, perspective; EU scope visible. This is a provisional connection, not an outcome finding.</w:t>
      </w:r>
    </w:p>
    <w:p>
      <w:pPr>
        <w:pStyle w:val="SourceNote"/>
      </w:pPr>
      <w:r>
        <w:rPr>
          <w:b/>
        </w:rPr>
        <w:t>Available abstract (not full text):</w:t>
      </w:r>
      <w:r>
        <w:t xml:space="preserve"> This study investigates the implementation of Food Safety Management Systems (FSMSs) in agrofood firms across different regional contexts, focusing on the varying motivations behind their adoption in Europe and Latin America. The research aims to understand how these motivations influence the effectiveness of FSMSs in these distinct business environments. A questionnaire was administered to firms certified to the British Retail Consortium Global Standard for Food Safety (BRC-GS) in Spain and various Latin American countries. The data collected were analyzed using multigroup structural equations modeling to examine the relationships between the firms' motivations and the degree of effective FSMS implementation in these regions. The findings highlight that the institutional environment significantly moderates these relationships. In the European context, ethical considerations play a crucial role in driving effective FSMS implementation. Conversely, in Latin America, commercial motivations are a more significant influence, with legitimacy reasons having a negative impact. This study is pioneering in its comparative analysis of FSMS implementation in European and Latin American agrofood firms. The insights gained contribute to understanding the behavioral dynamics of these firms within different economic and regulatory frameworks and offer a broader perspective on the evolution of</w:t>
      </w:r>
    </w:p>
    <w:p>
      <w:pPr/>
      <w:r>
        <w:rPr>
          <w:b/>
        </w:rPr>
        <w:t>POSSIBLE 2024:</w:t>
      </w:r>
      <w:r>
        <w:t xml:space="preserve"> Forest certification and economic insights: a European perspective — https://doi.org/10.3389/ffgc.2024.1464837</w:t>
      </w:r>
    </w:p>
    <w:p>
      <w:pPr/>
      <w:r>
        <w:rPr>
          <w:b/>
        </w:rPr>
        <w:t>Shared claim-specific concepts:</w:t>
      </w:r>
      <w:r>
        <w:t xml:space="preserve"> insights, perspective, highest, added, provides; EU scope visible. This is a provisional connection, not an outcome finding.</w:t>
      </w:r>
    </w:p>
    <w:p>
      <w:pPr>
        <w:pStyle w:val="SourceNote"/>
      </w:pPr>
      <w:r>
        <w:rPr>
          <w:b/>
        </w:rPr>
        <w:t>Available abstract (not full text):</w:t>
      </w:r>
      <w:r>
        <w:t xml:space="preserve"> In recent years, there has been an increasing demand for forest certification and certified forest products in Europe. This trend is related to major worldwide challenges, such as the need to decarbonize the economy and mitigate climate change but also social and consumer demands for wider fair trade. However, whether forest certification influences economic valorization in forestry remains a question. The aim of this study is to analyze forest certification levels across Europe and identify potential relationships between the level of certification in forest areas and relevant economic indicators at country level. This study collected openly available data on total and certified forest areas, economic indicators, and environmental indicators for 28 European countries and explored the correlation between certified forest areas and economic performance in the forestry sector. Findings show that forest certification can significantly improve the economic performance of European forests. It has a more pronounced positive effect on economic incomes than on costs’ reduction. While certification costs do rise with the extent of forest area, they tend to stabilize at larger scales, suggesting that the certification process is economically sustainable and scale is relevant. Czechia and the Netherlands stand out for having the highest net values added related to forest certification, re</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insights;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Conduction system pacing, a European survey: insights from clinical practice — https://doi.org/10.1093/europace/euad019</w:t>
      </w:r>
    </w:p>
    <w:p>
      <w:pPr/>
      <w:r>
        <w:rPr>
          <w:b/>
        </w:rPr>
        <w:t>Shared claim-specific concepts:</w:t>
      </w:r>
      <w:r>
        <w:t xml:space="preserve"> insights, assessment, lead, highest, provides; EU scope visible. This is a provisional connection, not an outcome finding.</w:t>
      </w:r>
    </w:p>
    <w:p>
      <w:pPr>
        <w:pStyle w:val="SourceNote"/>
      </w:pPr>
      <w:r>
        <w:rPr>
          <w:b/>
        </w:rPr>
        <w:t>Available abstract (not full text):</w:t>
      </w:r>
      <w:r>
        <w:t xml:space="preserve"> AIMS: The field of conduction system pacing (CSP) is evolving, and our aim was to obtain a contemporary picture of European CSP practice. METHODS AND RESULTS: A survey was devised by a European CSP Expert Group and sent electronically to cardiologists utilizing CSP. A total of 284 physicians were invited to contribute of which 171 physicians (60.2%; 85% electrophysiologists) responded. Most (77%) had experience with both His-bundle pacing (HBP) and left bundle branch area pacing (LBBAP). Pacing indications ranked highest for CSP were atrioventricular block (irrespective of left ventricular ejection fraction) and when coronary sinus lead implantation failed. For patients with left bundle branch block (LBBB) and heart failure (HF), conventional biventricular pacing remained first-line treatment. For most indications, operators preferred LBBAP over HBP as a first-line approach. When HBP was attempted as an initial approach, reasons reported for transitioning to utilizing LBBAP were: (i) high threshold (reported as &gt;2 V at 1 ms), (ii) failure to reverse bundle branch block, or (iii) &gt; 30 min attempting to implant at His-bundle sites. Backup right ventricular lead use for HBP was low (median 20%) and predominated in pace-and-ablate scenarios. Twelve-lead electrocardiogram assessment was deemed highly important during follow-up. This, coupled with limitations from current capture man</w:t>
      </w:r>
    </w:p>
    <w:p>
      <w:pPr/>
      <w:r>
        <w:rPr>
          <w:b/>
        </w:rPr>
        <w:t>POSSIBLE 2023:</w:t>
      </w:r>
      <w:r>
        <w:t xml:space="preserve"> Training religion teachers in Europe: insights from the “Rel-Edu” project and challenges for future research — https://doi.org/10.14220/9783737015837.135</w:t>
      </w:r>
    </w:p>
    <w:p>
      <w:pPr/>
      <w:r>
        <w:rPr>
          <w:b/>
        </w:rPr>
        <w:t>Shared claim-specific concepts:</w:t>
      </w:r>
      <w:r>
        <w:t xml:space="preserve"> insights, beyond, provides; EU scope visible. This is a provisional connection, not an outcome finding.</w:t>
      </w:r>
    </w:p>
    <w:p>
      <w:pPr>
        <w:pStyle w:val="SourceNote"/>
      </w:pPr>
      <w:r>
        <w:rPr>
          <w:b/>
        </w:rPr>
        <w:t>Available abstract (not full text):</w:t>
      </w:r>
      <w:r>
        <w:t xml:space="preserve"> The education of religion teachers in Europeand the correspondinginternational transfer of knowledge is ac omplex research field.This article provides ac omparativer eligion teacher education country analysis based on the contributions to the "Religious Education at Schools in Europe" (Rel-Edu)p roject.The empirical analysis wasc onducted using grounded theory and wasfocused on the international transferofk nowledge (IKT).The comparativegrounded theory analysis identified eight development categories: 1. teacher education beyond RE at public schools; 2. historical background; 3. traininginstitutions for religious educationt eachers; 4. religion teacher training in relation to church and state; 5. effects of the Bologna process; 6. religious teacher trainingcontent; 7. further religious education teacher training; and 8. problems and challenges.It wasa lso concluded that regardless of its specific methodological limitations, the Rel-Edu project can make significant contributions to IKT.The analysis of impulse 10 led to an interesting conclusion regarding IKT and also revealed the further research needed in this area.</w:t>
      </w:r>
    </w:p>
    <w:p>
      <w:pPr>
        <w:pStyle w:val="Heading2"/>
      </w:pPr>
      <w:r>
        <w:t>482.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2024:</w:t>
      </w:r>
      <w:r>
        <w:t xml:space="preserve"> Deliberation in times of crisis – how can citizens’ councils deal with pressing political issues like the Corona pandemic? — https://doi.org/10.1080/13511610.2024.2306236</w:t>
      </w:r>
    </w:p>
    <w:p>
      <w:pPr/>
      <w:r>
        <w:rPr>
          <w:b/>
        </w:rPr>
        <w:t>Shared claim-specific concepts:</w:t>
      </w:r>
      <w:r>
        <w:t xml:space="preserve"> one, pressing, issues, situation; EU scope visible. This is a provisional connection, not an outcome finding.</w:t>
      </w:r>
    </w:p>
    <w:p>
      <w:pPr>
        <w:pStyle w:val="SourceNote"/>
      </w:pPr>
      <w:r>
        <w:rPr>
          <w:b/>
        </w:rPr>
        <w:t>Available abstract (not full text):</w:t>
      </w:r>
      <w:r>
        <w:t xml:space="preserve"> The Corona pandemic was one of the most challenging political events of the last decades in Europe in which many important political issues had to be decided within a very short space of time. Deliberative, sortition-based formats offer new approaches to strengthen democracy in times of crisis but have so far mainly been used for fundamental issues that have been under discussion for a long time. In Germany, four Corona Citizens’ Councils were organized at different levels to deal with the highly dynamic pandemic situation. The first was on local level and took place in the city of Augsburg, the next and most prominent one in the state of Baden-Wurttemberg (‘Bürgerforum Corona’), being held monthly over a period of 13 months. Another one was organized in the state of Saxony, a fourth one in Thuringia. The article examines the background, the methodological quality and the outcomes of three Corona Citizens’ Councils in Germany. The article compares the three Citizens’ Councils and draws conclusions about the crisis-management capacities of deliberative formats in dealing with pressing political issues in highly dynamic situations.</w:t>
      </w:r>
    </w:p>
    <w:p>
      <w:pPr/>
      <w:r>
        <w:rPr>
          <w:b/>
        </w:rPr>
        <w:t>POSSIBLE 2024:</w:t>
      </w:r>
      <w:r>
        <w:t xml:space="preserve"> Pressing issues for oral care quality improvement: findings from the EU DELIVER project — https://doi.org/10.1186/s12889-024-19707-z</w:t>
      </w:r>
    </w:p>
    <w:p>
      <w:pPr/>
      <w:r>
        <w:rPr>
          <w:b/>
        </w:rPr>
        <w:t>Shared claim-specific concepts:</w:t>
      </w:r>
      <w:r>
        <w:t xml:space="preserve"> pressing, issues, significant; EU scope visible. This is a provisional connection, not an outcome finding.</w:t>
      </w:r>
    </w:p>
    <w:p>
      <w:pPr>
        <w:pStyle w:val="SourceNote"/>
      </w:pPr>
      <w:r>
        <w:rPr>
          <w:b/>
        </w:rPr>
        <w:t>Available abstract (not full text):</w:t>
      </w:r>
      <w:r>
        <w:t xml:space="preserve"> BACKGROUND: While oral health often takes a backseat to other health domains, it silently affects nearly half of the Worldwide population. The DELIVER project, funded by the EU's Horizon Europe program, seeks to develop a blueprint model for improving the quality of oral health care for everyone. METHODS: Applying the Nominal Group Technique (NGT), 17 stakeholders from various backgrounds participated in identifying pressing issues for oral care quality improvement across practice, community, and policy levels. RESULTS: The results revealed significant differences at the different levels, with accessibility emerging as a prominent issue, encompassing affordability, availability, and acceptability of oral healthcare services. CONCLUSIONS: These findings emphasizes the need for policy reforms, increased investments, and a shift towards preventive and patient-centered dental care practices. It highlights the importance of collaborative efforts with multi-stakeholders and prioritizing pressing issues on a multi-level to drive positive change in improving oral care quality.</w:t>
      </w:r>
    </w:p>
    <w:p>
      <w:pPr/>
      <w:r>
        <w:rPr>
          <w:b/>
        </w:rPr>
        <w:t>POSSIBLE 2024:</w:t>
      </w:r>
      <w:r>
        <w:t xml:space="preserve"> Complex Issues in the Management of Pericarditis. In Anticipation of the Release of Updated Recommendations of the European Society of Cardiology — https://doi.org/10.18087/cardio.2024.10.n2738</w:t>
      </w:r>
    </w:p>
    <w:p>
      <w:pPr/>
      <w:r>
        <w:rPr>
          <w:b/>
        </w:rPr>
        <w:t>Shared claim-specific concepts:</w:t>
      </w:r>
      <w:r>
        <w:t xml:space="preserve"> one, pressing, issues; EU scope visible. This is a provisional connection, not an outcome finding.</w:t>
      </w:r>
    </w:p>
    <w:p>
      <w:pPr>
        <w:pStyle w:val="SourceNote"/>
      </w:pPr>
      <w:r>
        <w:rPr>
          <w:b/>
        </w:rPr>
        <w:t>Available abstract (not full text):</w:t>
      </w:r>
      <w:r>
        <w:t xml:space="preserve"> With the advent of new diagnostic and therapeutic methods, the management of pericarditis has not become an easier task. The well-studied, but currently rare tuberculosis, bacterial and malignant forms have been joined by pericarditis associated with infection or vaccination against SARS-CoV-2. While 2-3 years ago, cardiologists had to recall the schedule of managing acute viral pericarditis, today its complications are often encountered, including chronic, recurrent, effusive or constrictive pericarditis. The European guidelines were updated 10 years ago and are expected to be issued within the next year. We posed the most pressing questions on the management of pericarditis to the coordinator of the 2015 European Society of Cardiology (ESC) guidelines [1], who will also chair the 2025 ESC guidelines on myocarditis and pericarditis, one of the most cited scientists in the field of inflammatory diseases of the pericardium, Massimo Imazio. He is a Professor in the Department of Cardiology and Anatomy at the University of Turin, runs a school on pericarditis, and has initiated fundamental research of this pathology. We presented his answers with comments of the co-author in the form of a short interview.</w:t>
      </w:r>
    </w:p>
    <w:p>
      <w:pPr/>
      <w:r>
        <w:rPr>
          <w:b/>
        </w:rPr>
        <w:t>POSSIBLE 2024:</w:t>
      </w:r>
      <w:r>
        <w:t xml:space="preserve"> THE SUBJECT OF ABUSE OF INFLUENCE: PRESSING ISSUES OF CRIMINAL LAW DOCTRINE AND LAW ENFORCEMENT — https://doi.org/10.32782/2786-9156.107.3.45-63</w:t>
      </w:r>
    </w:p>
    <w:p>
      <w:pPr/>
      <w:r>
        <w:rPr>
          <w:b/>
        </w:rPr>
        <w:t>Shared claim-specific concepts:</w:t>
      </w:r>
      <w:r>
        <w:t xml:space="preserve"> one, pressing, issues; EU scope not established. This is a provisional connection, not an outcome finding.</w:t>
      </w:r>
    </w:p>
    <w:p>
      <w:pPr>
        <w:pStyle w:val="SourceNote"/>
      </w:pPr>
      <w:r>
        <w:rPr>
          <w:b/>
        </w:rPr>
        <w:t>Available abstract (not full text):</w:t>
      </w:r>
      <w:r>
        <w:t xml:space="preserve"> The article examines problematic issues of interpreting the subject of active (Part 1 of Article 369-2 of the Criminal Code of Ukraine) and passive (Part 2 of Article 369-2 of the Criminal Code of Ukraine) abuse of influence. It is established that the subject of active abuse of influence (Part 1 of Article 369-2 of the CC of Ukraine) is a general subject of the crime, which does not exclude cases of committing this tort by an official. At the same time, it would be logical to at least recognize the commission of a crime by an official in this and similar cases as an aggravating circumstance. An even better solution to the problem seems to be offered by the authors of the draft Criminal Code of Ukraine, who recognize the commission of certain crimes using official powers or professional duties or related opportunities as an element, which increases the severity of the crime by one degree. The author critically analyzes the position of the Joint Chamber of the Criminal Court of Cassation of the Supreme Court of March 29, 2021. Ways to solve the problem of interpreting the subject of passive abuse of influence have been proposed, their positive and negative aspects have been highlighted. The author recognizes that the best option is to define the subject of passive abuse of influence as a special one – that is any person who does not use the position of an employee of an enterpri</w:t>
      </w:r>
    </w:p>
    <w:p>
      <w:pPr/>
      <w:r>
        <w:rPr>
          <w:b/>
        </w:rPr>
        <w:t>POSSIBLE 2024:</w:t>
      </w:r>
      <w:r>
        <w:t xml:space="preserve"> Poverty, inequality and material deprivation among the self-employed in Europe — https://doi.org/10.4337/9781800881860.00011</w:t>
      </w:r>
    </w:p>
    <w:p>
      <w:pPr/>
      <w:r>
        <w:rPr>
          <w:b/>
        </w:rPr>
        <w:t>Shared claim-specific concepts:</w:t>
      </w:r>
      <w:r>
        <w:t xml:space="preserve"> one, pressing, significant, countries; EU scope visible. This is a provisional connection, not an outcome finding.</w:t>
      </w:r>
    </w:p>
    <w:p>
      <w:pPr>
        <w:pStyle w:val="SourceNote"/>
      </w:pPr>
      <w:r>
        <w:rPr>
          <w:b/>
        </w:rPr>
        <w:t>Available abstract (not full text):</w:t>
      </w:r>
      <w:r>
        <w:t xml:space="preserve"> In work-poverty has become a pressing social issue in Europe yet the self-employed remain relatively uncharted terrain. With about 15 percent of European workers in self-employment this group can no longer be ignored, especially since self-employment is on the rise in some countries, particularly own-account self-employment. Drawing on EU-SILC data we show that the self-employed in Europe generally face significantly higher income poverty risks than contracted workers. However, while income poverty levels are quite significant among the self-employed, material deprivation rates are generally much lower. The discrepancy between income poverty measures and material deprivation measures is much larger for the self-employed than for employees. One possible explanation is that the self-employed can more often draw on assets accumulated over the life cycle or on business assets they control. One group emerges as being particularly at-risk of poverty are own-account workers, substantiating worries about the rise of this form of self-employment. The self-employed constitute a very mixed segment of the workforce and within-group inequality is quite significant, complicating possible policy responses.</w:t>
      </w:r>
    </w:p>
    <w:p>
      <w:pPr/>
      <w:r>
        <w:rPr>
          <w:b/>
        </w:rPr>
        <w:t>POSSIBLE 2023:</w:t>
      </w:r>
      <w:r>
        <w:t xml:space="preserve"> A Pressing Problem — https://doi.org/10.37773/ees.v6i1.1010</w:t>
      </w:r>
    </w:p>
    <w:p>
      <w:pPr/>
      <w:r>
        <w:rPr>
          <w:b/>
        </w:rPr>
        <w:t>Shared claim-specific concepts:</w:t>
      </w:r>
      <w:r>
        <w:t xml:space="preserve"> one, pressing, energy, sector, countries; EU scope not established. This is a provisional connection, not an outcome finding.</w:t>
      </w:r>
    </w:p>
    <w:p>
      <w:pPr>
        <w:pStyle w:val="SourceNote"/>
      </w:pPr>
      <w:r>
        <w:rPr>
          <w:b/>
        </w:rPr>
        <w:t>Available abstract (not full text):</w:t>
      </w:r>
      <w:r>
        <w:t xml:space="preserve"> As hundreds of residents are evacuated from the Himalayan pilgrimage town of Joshimath, the realities of the scale of impact of extreme disasters associated with a changing climate and other uncertainties loom large in India.Globally, scientists have proven beyond belief that these disastrous events are caused by human action, that is, they are anthropogenic in nature.They agree that the anthropogenic emission of greenhouse gases, especially since the Industrial Revolution, originates from the energy sector: the mining and burning of coal, generation of thermal power, vehicular emissions, and other emissions, such as those from industries.One way to deal with the growing incidence of climate-related extreme events is to reduce fossil-fuel consumption and gradually move to a decarbonised world.This is why nations across the world have committed to reducing carbon emissions to achieve carbon neutrality by 2050 at the Conference of Parties (CoP) 21, held in Paris in 2015, and CoP 26, held in Glasgow in 2022.While the review of Ruth Gamble's book directly addresses the Himalayan problem, all the other book reviews in this issue address the question of climate change.Humanity's commitment to reducing carbon emissions to tackle climate change has culminated in focused action to realize an 'energy transition', which is perhaps better described as 'transitions', due to their multifacet</w:t>
      </w:r>
    </w:p>
    <w:p>
      <w:pPr>
        <w:pStyle w:val="Heading2"/>
      </w:pPr>
      <w:r>
        <w:t>483.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r>
        <w:rPr>
          <w:b/>
        </w:rPr>
        <w:t>POSSIBLE 2025:</w:t>
      </w:r>
      <w:r>
        <w:t xml:space="preserve"> The Impact of Climate Change on Eastern European Viticulture: A Review of Smart Irrigation and Water Management Strategies — https://doi.org/10.3390/horticulturae11111282</w:t>
      </w:r>
    </w:p>
    <w:p>
      <w:pPr/>
      <w:r>
        <w:rPr>
          <w:b/>
        </w:rPr>
        <w:t>Shared claim-specific concepts:</w:t>
      </w:r>
      <w:r>
        <w:t xml:space="preserve"> climate, including, periods; EU scope visible. This is a provisional connection, not an outcome finding.</w:t>
      </w:r>
    </w:p>
    <w:p>
      <w:pPr>
        <w:pStyle w:val="SourceNote"/>
      </w:pPr>
      <w:r>
        <w:rPr>
          <w:b/>
        </w:rPr>
        <w:t>Available abstract (not full text):</w:t>
      </w:r>
      <w:r>
        <w:t xml:space="preserve"> Climate change poses significant challenges to viticulture worldwide, with Eastern European vineyards experiencing increased water stress due to rising temperatures, irregular precipitation patterns, and prolonged drought periods. These climatic shifts hurt vine phenology, grape quality, and overall productivity. In response, adaptive irrigation strategies such as Regulated Deficit Irrigation (RDI) have gained attention for optimizing water use while preserving grape quality. Concurrently, the adoption of smart agriculture technologies—including soil moisture sensors, automated weather stations, remote sensing, and data-driven decision support systems—enables precise monitoring and real-time management of vineyard water status. This review synthesizes recent studies from Eastern Europe, emphasizing the necessity of integrating climate adaptation measures with intelligent irrigation management to enhance vineyard resilience and sustainability under increasing climate variability.</w:t>
      </w:r>
    </w:p>
    <w:p>
      <w:pPr/>
      <w:r>
        <w:rPr>
          <w:b/>
        </w:rPr>
        <w:t>POSSIBLE 2023:</w:t>
      </w:r>
      <w:r>
        <w:t xml:space="preserve"> Climate-wise models of biomass productivity for hybrid poplar clones in Europe — https://doi.org/10.3832/ifor4211-016</w:t>
      </w:r>
    </w:p>
    <w:p>
      <w:pPr/>
      <w:r>
        <w:rPr>
          <w:b/>
        </w:rPr>
        <w:t>Shared claim-specific concepts:</w:t>
      </w:r>
      <w:r>
        <w:t xml:space="preserve"> climate, five, three, regional; EU scope visible. This is a provisional connection, not an outcome finding.</w:t>
      </w:r>
    </w:p>
    <w:p>
      <w:pPr>
        <w:pStyle w:val="SourceNote"/>
      </w:pPr>
      <w:r>
        <w:rPr>
          <w:b/>
        </w:rPr>
        <w:t>Available abstract (not full text):</w:t>
      </w:r>
      <w:r>
        <w:t xml:space="preserve"> Renewable bioenergy has the potential to contribute sustainably to the energy sector. Forestry is the main source of biomass for energy in Europe, and poplar (genus Populus) is widely used for short rotation coppice (SRC). Many studies have assessed poplar clones’ productivity but there is a lack of regional studies and links with the climate. We investigated the biomass productivity of twenty hybrid poplar clones for SRC. Clones were planted in sixteen locations across nine countries in Europe, although not all clones were replicated in all locations. In each location, clones were planted in three replicated plots. All plots were harvested after four years, and the aboveground dry biomass estimated. We fitted clone-specific linear mixed models of total aboveground dry biomass production at plot level as function of climatic variables. For many clones (eight) only annual heat moisture deficit negatively affected productivity, in few cases (3) together with a quadratic term for a smoother relationship. In some other clones (five) only the mean summer precipitation positively and linearly affected productivity. On average, the variance explained by the fixed effects in those models was 56%. For the remaining clones (seven), no climate variables resulted significant. Our study explicitly investigated the quantitative link between water availability and poplar SRC productivity, one</w:t>
      </w:r>
    </w:p>
    <w:p>
      <w:pPr/>
      <w:r>
        <w:rPr>
          <w:b/>
        </w:rPr>
        <w:t>POSSIBLE 2023:</w:t>
      </w:r>
      <w:r>
        <w:t xml:space="preserve"> Silver lining to a climate crisis in multiple prospects for alleviating crop waterlogging under future climates — https://doi.org/10.1038/s41467-023-36129-4</w:t>
      </w:r>
    </w:p>
    <w:p>
      <w:pPr/>
      <w:r>
        <w:rPr>
          <w:b/>
        </w:rPr>
        <w:t>Shared claim-specific concepts:</w:t>
      </w:r>
      <w:r>
        <w:t xml:space="preserve"> climate, caused; EU scope visible. This is a provisional connection, not an outcome finding.</w:t>
      </w:r>
    </w:p>
    <w:p>
      <w:pPr>
        <w:pStyle w:val="SourceNote"/>
      </w:pPr>
      <w:r>
        <w:rPr>
          <w:b/>
        </w:rPr>
        <w:t>Available abstract (not full text):</w:t>
      </w:r>
      <w:r>
        <w:t xml:space="preserve"> Extreme weather events threaten food security, yet global assessments of impacts caused by crop waterlogging are rare. Here we first develop a paradigm that distils common stress patterns across environments, genotypes and climate horizons. Second, we embed improved process-based understanding into a farming systems model to discern changes in global crop waterlogging under future climates. Third, we develop avenues for adapting cropping systems to waterlogging contextualised by environment. We find that yield penalties caused by waterlogging increase from 3-11% historically to 10-20% by 2080, with penalties reflecting a trade-off between the duration of waterlogging and the timing of waterlogging relative to crop stage. We document greater potential for waterlogging-tolerant genotypes in environments with longer temperate growing seasons (e.g., UK, France, Russia, China), compared with environments with higher annualised ratios of evapotranspiration to precipitation (e.g., Australia). Under future climates, altering sowing time and adoption of waterlogging-tolerant genotypes reduces yield penalties by 18%, while earlier sowing of winter genotypes alleviates waterlogging by 8%. We highlight the serendipitous outcome wherein waterlogging stress patterns under present conditions are likely to be similar to those in the future, suggesting that adaptations for future climates could</w:t>
      </w:r>
    </w:p>
    <w:p>
      <w:pPr/>
      <w:r>
        <w:rPr>
          <w:b/>
        </w:rPr>
        <w:t>POSSIBLE 2023:</w:t>
      </w:r>
      <w:r>
        <w:t xml:space="preserve"> Possible Effects of Climate Change on the Occurrence and Distribution of the Rare Moss Buxbaumia viridis in Serbia (SE Europe) — https://doi.org/10.3390/plants12030557</w:t>
      </w:r>
    </w:p>
    <w:p>
      <w:pPr/>
      <w:r>
        <w:rPr>
          <w:b/>
        </w:rPr>
        <w:t>Shared claim-specific concepts:</w:t>
      </w:r>
      <w:r>
        <w:t xml:space="preserve"> climate, including; EU scope visible. This is a provisional connection, not an outcome finding.</w:t>
      </w:r>
    </w:p>
    <w:p>
      <w:pPr>
        <w:pStyle w:val="SourceNote"/>
      </w:pPr>
      <w:r>
        <w:rPr>
          <w:b/>
        </w:rPr>
        <w:t>Available abstract (not full text):</w:t>
      </w:r>
      <w:r>
        <w:t xml:space="preserve"> have been reviewed in Serbia. Climatic conditions of its recent distribution in Serbia were involved in species distribution modeling and analyzed with the aim of obtaining a projection of unknown potential sites and future scenarios of its distribution dynamics. The results achieved suggest potential distribution range of the species will be significantly reduced. According to the climate change models, the habitat changes including the range loss of this species are predicted to be drastic, i.e., between 93% and 97% by the year 2050, and between 98% and 99.9% by the year 2070, affecting primarily lower elevations of its current range in Serbia. A major reason for the projected decline of the species is climate change combined with continued poor forest management.</w:t>
      </w:r>
    </w:p>
    <w:p>
      <w:pPr>
        <w:pStyle w:val="Heading2"/>
      </w:pPr>
      <w:r>
        <w:t>484.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environmental, protection, quality, environment, objectives,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environmental, protection, fully;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Legal characterization of the principles of soil protection in the law of the European Union — https://doi.org/10.24144/2307-3322.2025.87.4.48</w:t>
      </w:r>
    </w:p>
    <w:p>
      <w:pPr/>
      <w:r>
        <w:rPr>
          <w:b/>
        </w:rPr>
        <w:t>Shared claim-specific concepts:</w:t>
      </w:r>
      <w:r>
        <w:t xml:space="preserve"> environmental, protection, environment, not, objectives; EU scope visible. This is a provisional connection, not an outcome finding.</w:t>
      </w:r>
    </w:p>
    <w:p>
      <w:pPr>
        <w:pStyle w:val="SourceNote"/>
      </w:pPr>
      <w:r>
        <w:rPr>
          <w:b/>
        </w:rPr>
        <w:t>Available abstract (not full text):</w:t>
      </w:r>
      <w:r>
        <w:t xml:space="preserve"> This study has been focused on the principles of soil protection as the fundamental principles of the European Union environmental law. In particular, the author has examined the special principles whose main purpose in the field of environmental protection is to achieve a high level of environmental protection and to realize all the objectives of the European Union. The author has established that these principles are not limited to the field of environmental law protection, but also apply to the policies and actions of the European Union as a whole. At the same time, they have been constantly expressed and reflected in various founding treaties of the European Union and finally enshrined in the Lisbon Treaties. In particular, such fundamental principles of soil protection as the precautionary principle, primarily in the context of practical application, which includes the need to choose, having duly weighed the level of risk, action or inaction under conditions of uncertainty have been analyzed in the article. The principle of prevention is based on risk assessment, but its distinctive feature is the focus on avoiding foreseeable risks. In the article it has been also focused on the fact that states should not only refrain from causing harm, but also take measures aimed at protecting the environment. The author has analyzed the principle of eliminating pollution at the source</w:t>
      </w:r>
    </w:p>
    <w:p>
      <w:pPr/>
      <w:r>
        <w:rPr>
          <w:b/>
        </w:rPr>
        <w:t>POSSIBLE 2025:</w:t>
      </w:r>
      <w:r>
        <w:t xml:space="preserve"> Rights of Nature in Europe: the Mar Menor and the Future of Ecocentric Environmental Protection — https://doi.org/10.1163/18760104-22030006</w:t>
      </w:r>
    </w:p>
    <w:p>
      <w:pPr/>
      <w:r>
        <w:rPr>
          <w:b/>
        </w:rPr>
        <w:t>Shared claim-specific concepts:</w:t>
      </w:r>
      <w:r>
        <w:t xml:space="preserve"> environmental, protection, safeguard; EU scope visible. This is a provisional connection, not an outcome finding.</w:t>
      </w:r>
    </w:p>
    <w:p>
      <w:pPr>
        <w:pStyle w:val="SourceNote"/>
      </w:pPr>
      <w:r>
        <w:rPr>
          <w:b/>
        </w:rPr>
        <w:t>Available abstract (not full text):</w:t>
      </w:r>
      <w:r>
        <w:t xml:space="preserve"> Abstract This article examines the concept of Rights of Nature (RoN) and its potential application within the European Union (EU) water law framework, using the Mar Menor lagoon in Spain as a case study. The Mar Menor, the first natural entity in Europe to be granted legal personhood, exemplifies how RoN can be applied in practice to address severe ecological degradation. The article analyses the expected effectiveness of Spain’s Law 19/2022, which confers legal rights to the Mar Menor, highlighting the legal, ethical, and environmental implications of this rights-based approach. By analysing local-level implementation, the article also considers the possibility of integrating RoN more broadly into the EU’s water law framework, examining the notions of RoN already present within the Water Framework Directive. While RoN holds promise for enhancing environmental protection on a local scale in the EU, its success depends on the robustness of legal frameworks and active civil society involvement. The article concludes by discussing the logic and feasibility of adopting RoN more broadly within EU environmental law, advocating for a gradual shift towards more ecocentric legislation to safeguard natural ecosystems.</w:t>
      </w:r>
    </w:p>
    <w:p>
      <w:pPr/>
      <w:r>
        <w:rPr>
          <w:b/>
        </w:rPr>
        <w:t>POSSIBLE 2024:</w:t>
      </w:r>
      <w:r>
        <w:t xml:space="preserve"> Environmental Protection: A Fundamental Right or a Social Objective? Comparative Constitutional Overview — https://doi.org/10.56345/ijrdv11n215</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protection of the environment is at the center of the current political debate in Europe and more widely, since the protection of human health is inevitably linked to the health of the environment. The relationship between environmental pollution and human health has been scientifically proven. The inclusion of environmental protection as a fundamental right in the Constitution on the one hand is very important because it affects the orientation and direction of the work of the parliament in relation to environmental policies in the future, while on the other hand it prevents the hegemony of the parliamentary majority in the implementation of some production policies to the detriment of the environment and therefore to the detriment of the health of the country's citizens. Initially, in this paper, the author will focus on the concept and importance of environmental protection, to continue later with the sources of environmental law at the international and national level. In this work, the question that was asked at the beginning of the time will be answered, that is, if the protection of the environment is a right that we can demand its respect in court or simply a social objective that the state wants to realize within its possibilities. I am sure that in the time of globalization, the modern lawyer cannot ignore the comparative analysis, since it now constitutes an esse</w:t>
      </w:r>
    </w:p>
    <w:p>
      <w:pPr/>
      <w:r>
        <w:rPr>
          <w:b/>
        </w:rPr>
        <w:t>POSSIBLE 2024:</w:t>
      </w:r>
      <w:r>
        <w:t xml:space="preserve"> The European Union’s legislative process in the area of environmental protection in the context of the European environmental policy — https://doi.org/10.31648/aspal.9148</w:t>
      </w:r>
    </w:p>
    <w:p>
      <w:pPr/>
      <w:r>
        <w:rPr>
          <w:b/>
        </w:rPr>
        <w:t>Shared claim-specific concepts:</w:t>
      </w:r>
      <w:r>
        <w:t xml:space="preserve"> environmental, protection, not; EU scope visible. This is a provisional connection, not an outcome finding.</w:t>
      </w:r>
    </w:p>
    <w:p>
      <w:pPr>
        <w:pStyle w:val="SourceNote"/>
      </w:pPr>
      <w:r>
        <w:rPr>
          <w:b/>
        </w:rPr>
        <w:t>Available abstract (not full text):</w:t>
      </w:r>
      <w:r>
        <w:t xml:space="preserve"> Motives: This research paper analyzes the legislative process and the implementation of the European Union’s (EU) environmental law as one of the principal tools for achieving and maintaining global ecological safety.Aim: The study was undertaken to determine how the priorities of the EU’s foreign and internal policy are reflected in the legislative process in the area of environmental protection. The problems associated with law enforcement and the implementation of EU legislative acts in national legislation were also examined, and the current state and prospects for policy-making in the area of environmental protection were assessed. The paper considers environmental policy issues and legal regulations in Azerbaijan in the context of EU experiences. The research covers political and legal relations.Results: An analysis of the historical transformation of the EU’s environmental law from an institutional and constitutional perspective was combined with an analysis of the principal aspects and the main trends in the EU’s environmental governance and lawmaking. The EU’s contribution to the development of environmental legislation highlights its approach to the multi-layered dimension of environmental governance internally, in terms of the dynamic relationship between the EU and the Member States, as well as internationally. The EU’s policy and legal regulations in the area of en</w:t>
      </w:r>
    </w:p>
    <w:p>
      <w:pPr/>
      <w:r>
        <w:rPr>
          <w:b/>
        </w:rPr>
        <w:t>POSSIBLE 2024:</w:t>
      </w:r>
      <w:r>
        <w:t xml:space="preserve"> Environmental Protection, Rights of Nature, and Religious Beliefs in Europe — https://doi.org/10.1007/s11196-024-10193-5</w:t>
      </w:r>
    </w:p>
    <w:p>
      <w:pPr/>
      <w:r>
        <w:rPr>
          <w:b/>
        </w:rPr>
        <w:t>Shared claim-specific concepts:</w:t>
      </w:r>
      <w:r>
        <w:t xml:space="preserve"> environmental, protection, not; EU scope visible. This is a provisional connection, not an outcome finding.</w:t>
      </w:r>
    </w:p>
    <w:p>
      <w:pPr>
        <w:pStyle w:val="SourceNote"/>
      </w:pPr>
      <w:r>
        <w:rPr>
          <w:b/>
        </w:rPr>
        <w:t>Available abstract (not full text):</w:t>
      </w:r>
      <w:r>
        <w:t xml:space="preserve"> Abstract This paper examines the rights of nature (RoN) as a product of religious beliefs and how the increasing abandonment of religious beliefs in Europe could impact the development of RoN on the continent. As a concept rooted in religious and Indigenous peoples’ practices, this article argues that there are no religious and Indigenous peoples’ ideologies in Europe upon which RoN of nature could be anchored. Furthermore, since hardly any groups in Europe identify as Indigenous peoples in the strict sense of the term, except some groups in Scandinavia, RoN in Europe cannot be effective as there is no special attachment of most Europeans to natural entities. To achieve this argument, the Enlightenment period is pointed out as the starting point for the abandonment of religion in Europe. Because of this, the article contends that the recent law on RoN for Mar Menor in Spain may fail as it is not rooted in religious philosophies. To transplant RoN to Europe and for it to be effective, a new religion with spiritual traditions and insights consistent with the worldview of RoN would have to be developed. However, for such a view to be protected under Article 9 of the European Convention on Human Rights, it must “attain a certain level of cogency, seriousness, cohesion, and importance.” It is not certain if RoN has attained such a threshold in Europe or will ever attain it. Using th</w:t>
      </w:r>
    </w:p>
    <w:p>
      <w:pPr/>
      <w:r>
        <w:rPr>
          <w:b/>
        </w:rPr>
        <w:t>POSSIBLE 2024:</w:t>
      </w:r>
      <w:r>
        <w:t xml:space="preserve"> THE IMPORTANCE OF ENVIRONMENTAL PROTECTION CONCEPT IN EUROPEAN CENTRAL BANK LAW — https://doi.org/10.56461/spz_24305kj</w:t>
      </w:r>
    </w:p>
    <w:p>
      <w:pPr/>
      <w:r>
        <w:rPr>
          <w:b/>
        </w:rPr>
        <w:t>Shared claim-specific concepts:</w:t>
      </w:r>
      <w:r>
        <w:t xml:space="preserve"> environmental, protection, preserve; EU scope visible. This is a provisional connection, not an outcome finding.</w:t>
      </w:r>
    </w:p>
    <w:p>
      <w:pPr>
        <w:pStyle w:val="SourceNote"/>
      </w:pPr>
      <w:r>
        <w:rPr>
          <w:b/>
        </w:rPr>
        <w:t>Available abstract (not full text):</w:t>
      </w:r>
      <w:r>
        <w:t xml:space="preserve"> The subject of this paper is the introduction of the environmental protection concept in the central banking law to preserve natural resources and contribute to ensuring sustainable economic development. In that sense, the author will attempt to describe the potential contribution of green central bank legislation in managing and mitigating environmental issues, aiming to identify the ecological dimension of the European Central Bank (ECB) mandate, as the supreme monetary institution of the European Union (EU). The following text focuses on the functional analysis of the ECB’s potential legal mandate for environmental activities, their scope, limitations, and practical justification where the introduction of these new activities must be carefully managed without creating a collision with its primary task of maintaining monetary and financial stability.tability.</w:t>
      </w:r>
    </w:p>
    <w:p>
      <w:pPr>
        <w:pStyle w:val="Heading2"/>
      </w:pPr>
      <w:r>
        <w:t>485.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High-resolution income projections over the 21st century in Europe consistent with the Shared Socioeconomic Pathways — https://doi.org/10.1088/1748-9326/adcb53</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union, population, share;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pStyle w:val="Heading2"/>
      </w:pPr>
      <w:r>
        <w:t>486.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2023:</w:t>
      </w:r>
      <w:r>
        <w:t xml:space="preserve"> Promoting schizophrenia research in Europe: the contribution of the European Group for Research in Schizophrenia — https://doi.org/10.1002/wps.21100</w:t>
      </w:r>
    </w:p>
    <w:p>
      <w:pPr/>
      <w:r>
        <w:rPr>
          <w:b/>
        </w:rPr>
        <w:t>Shared claim-specific concepts:</w:t>
      </w:r>
      <w:r>
        <w:t xml:space="preserve"> based, two, czech, republic; EU scope visible. This is a provisional connection, not an outcome finding.</w:t>
      </w:r>
    </w:p>
    <w:p>
      <w:pPr>
        <w:pStyle w:val="SourceNote"/>
      </w:pPr>
      <w:r>
        <w:rPr>
          <w:b/>
        </w:rPr>
        <w:t>Available abstract (not full text):</w:t>
      </w:r>
      <w:r>
        <w:t xml:space="preserve">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pStyle w:val="Heading2"/>
      </w:pPr>
      <w:r>
        <w:t>487.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2024:</w:t>
      </w:r>
      <w:r>
        <w:t xml:space="preserve"> On Farm Non-Agricultural Activities: Recent Evolution and Dynamics in Portugal — https://doi.org/10.30682/nm2404d</w:t>
      </w:r>
    </w:p>
    <w:p>
      <w:pPr/>
      <w:r>
        <w:rPr>
          <w:b/>
        </w:rPr>
        <w:t>Shared claim-specific concepts:</w:t>
      </w:r>
      <w:r>
        <w:t xml:space="preserve"> analyse, evolution, farm, insights; EU scope visible. This is a provisional connection, not an outcome finding.</w:t>
      </w:r>
    </w:p>
    <w:p>
      <w:pPr>
        <w:pStyle w:val="SourceNote"/>
      </w:pPr>
      <w:r>
        <w:rPr>
          <w:b/>
        </w:rPr>
        <w:t>Available abstract (not full text):</w:t>
      </w:r>
      <w:r>
        <w:t xml:space="preserve"> An increasing share of farmer revenues derives from on-farm non-agricultural activities (OFNAA), which constitute a complement to the farmer’s income and can function as a factor for the development of farms, enhancing the endogenous resources of the territories and contributing to the multifunctionality of rural areas. Therefore, it is important to understand the importance of these non-agriculture activities in the territory, their diversification, spatial trends at local level and the relation with farm’s orientation. This paper intends to analyse the OFNAA, using as object of study the Portuguese municipalities. In order to analyse the diversification of the OFNAA, a diversification index based on entropy is proposed. The relationships between OFNAA diversification and the farms’ technical-economic orientation (TEO) are also analysed using correlation matrixes, while the spatial patterns are studied, using the global Moran I and local Moran-LISA. The results provide important insights of the OFNAA dynamics and diversification. Therefore, this study provides an important tool for policy management and implementation.</w:t>
      </w:r>
    </w:p>
    <w:p>
      <w:pPr/>
      <w:r>
        <w:rPr>
          <w:b/>
        </w:rPr>
        <w:t>POSSIBLE 2024:</w:t>
      </w:r>
      <w:r>
        <w:t xml:space="preserve"> The eco-social aspects of the European Green Deal and the Farm to Fork — https://doi.org/10.1177/14680181241261068</w:t>
      </w:r>
    </w:p>
    <w:p>
      <w:pPr/>
      <w:r>
        <w:rPr>
          <w:b/>
        </w:rPr>
        <w:t>Shared claim-specific concepts:</w:t>
      </w:r>
      <w:r>
        <w:t xml:space="preserve"> analyse, farm, two, measures; EU scope visible. This is a provisional connection, not an outcome finding.</w:t>
      </w:r>
    </w:p>
    <w:p>
      <w:pPr>
        <w:pStyle w:val="SourceNote"/>
      </w:pPr>
      <w:r>
        <w:rPr>
          <w:b/>
        </w:rPr>
        <w:t>Available abstract (not full text):</w:t>
      </w:r>
      <w:r>
        <w:t xml:space="preserve"> With the publication of the European Green Deal (EGD) in December 2019, the European Union (EU) has recognised a link between environmental and social challenges and the need to tackle them together. A body of literature publishing under the umbrella concept of sustainable welfare and the term eco-social policies has acknowledged the environmental and social nexus and has been characterised by six prominent eco-social aspects namely, the integration between environmental and social policy goals, their link with economic growth, just transition, redistribution and compensation, citizens’ participation, and the state’s role. However, an in-depth analysis of the eco-social aspects contained in recent European policy documents that can be traced back to the eco-social literature is missing. To address this gap, this article focuses on two policy documents considered at the heart of the European ambition of achieving carbon neutrality by 2050, namely the EGD Communication and the Farm to Fork (F2F) Strategy. The article applies a document content analysis of these two documents and uses the six eco-social aspects as a heuristic to analyse and provide descriptive examples of the EGD and the F2F. The content analyses of these documents reveal several elements that advance the understanding of recent EU policies from an eco-social perspective. The study provides knowledge of envisaged </w:t>
      </w:r>
    </w:p>
    <w:p>
      <w:pPr/>
      <w:r>
        <w:rPr>
          <w:b/>
        </w:rPr>
        <w:t>POSSIBLE 2024:</w:t>
      </w:r>
      <w:r>
        <w:t xml:space="preserve"> The Evolution of Family Farms in Poland: Present Time and the Weight of the Past — https://doi.org/10.12775/eec-2016-0002</w:t>
      </w:r>
    </w:p>
    <w:p>
      <w:pPr/>
      <w:r>
        <w:rPr>
          <w:b/>
        </w:rPr>
        <w:t>Shared claim-specific concepts:</w:t>
      </w:r>
      <w:r>
        <w:t xml:space="preserve"> evolution, farm, two, decades, agricultural, cap; EU scope visible. This is a provisional connection, not an outcome finding.</w:t>
      </w:r>
    </w:p>
    <w:p>
      <w:pPr>
        <w:pStyle w:val="SourceNote"/>
      </w:pPr>
      <w:r>
        <w:rPr>
          <w:b/>
        </w:rPr>
        <w:t>Available abstract (not full text):</w:t>
      </w:r>
      <w:r>
        <w:t xml:space="preserve"> The author provides an analysis of family farming in Poland during the period 1990-2012, with special attention towards the close links of ownership and the operation of the farm by family members. The weight of various factors is given close attention, including the historical context of the farm, current conditions, and future intentions for the farm. The historical context acknowledges and stresses the importance of the late abolition of serfdom made by the partitioning powers, various agricultural reforms during the period 1919-1944, and the period 1948-1989 (when family farming was incorporated into a deficient centrally planned economy). This latter period saw family farms developing specific mechanisms of functioning, which can be seen two decades later. Analysis of the period 1990-2012 is based on data of the Central Statistical Office, the present study, and other published materials. The data series includes individual farms of more than 1 ha, based on family labour. Separated are two sub-periods: the post-communist transformation period from the early 1990s, and the period 2002-2012. The latter almost coincides with the accession to the EU. In the first period, the article outlines the process of creating duality in Polish agriculture. This describes a group of family farms where the household strongly reacted to the market and became larger and modernised (professio</w:t>
      </w:r>
    </w:p>
    <w:p>
      <w:pPr/>
      <w:r>
        <w:rPr>
          <w:b/>
        </w:rPr>
        <w:t>POSSIBLE 2024:</w:t>
      </w:r>
      <w:r>
        <w:t xml:space="preserve"> Why do corporate farms survive in Central and Eastern Europe? — https://doi.org/10.1016/j.agsy.2024.103965</w:t>
      </w:r>
    </w:p>
    <w:p>
      <w:pPr/>
      <w:r>
        <w:rPr>
          <w:b/>
        </w:rPr>
        <w:t>Shared claim-specific concepts:</w:t>
      </w:r>
      <w:r>
        <w:t xml:space="preserve"> farm, significant, large, agricultural, relevant; EU scope visible. This is a provisional connection, not an outcome finding.</w:t>
      </w:r>
    </w:p>
    <w:p>
      <w:pPr>
        <w:pStyle w:val="SourceNote"/>
      </w:pPr>
      <w:r>
        <w:rPr>
          <w:b/>
        </w:rPr>
        <w:t>Available abstract (not full text):</w:t>
      </w:r>
      <w:r>
        <w:t xml:space="preserve"> This article examines the process of the transformation of agricultural systems in post-communist Central and Eastern European (CEE) countries. It focuses on the survival of large agricultural firms, known as corporate farms, during periods of economic liberalization, privatization, land reform, and the restructuring of economies and the agricultural sector. The survival of corporate farms plays a significant role in driving structural changes within the farming sector and facilitating the transition from centrally planned to market-driven farming systems in the respective countries. The study investigates the factors correlated to the survival of corporate farms based on cross-country data analysis for 17 CEE countries. The survival of corporate farms can be correlated with a combination of farm-specific characteristics, sector-specific factors within the agricultural industry, country-specific natural and other resource endowments, and external factors related to a conducive economic environment. The study examines the viability of corporate farms by utilizing a comprehensive dataset encompassing 17 CEE countries between 2007 and 2019. The accelerated failure time model is employed to estimate the survival probabilities of these farms. The study uses the Nelson-Aalen estimator to calculate the cumulative hazard function and Kaplan-Meier survival function. Additionally, the ba</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evolution, two;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r>
        <w:rPr>
          <w:b/>
        </w:rPr>
        <w:t>POSSIBLE 2024:</w:t>
      </w:r>
      <w:r>
        <w:t xml:space="preserve"> Assessment of Cleaning and Disinfection Practices on Pig Farms across Ten European Countries — https://doi.org/10.3390/ani14040593</w:t>
      </w:r>
    </w:p>
    <w:p>
      <w:pPr/>
      <w:r>
        <w:rPr>
          <w:b/>
        </w:rPr>
        <w:t>Shared claim-specific concepts:</w:t>
      </w:r>
      <w:r>
        <w:t xml:space="preserve"> measures, relevant, insights; EU scope visible. This is a provisional connection, not an outcome finding.</w:t>
      </w:r>
    </w:p>
    <w:p>
      <w:pPr>
        <w:pStyle w:val="SourceNote"/>
      </w:pPr>
      <w:r>
        <w:rPr>
          <w:b/>
        </w:rPr>
        <w:t>Available abstract (not full text):</w:t>
      </w:r>
      <w:r>
        <w:t xml:space="preserve">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pPr/>
      <w:r>
        <w:rPr>
          <w:b/>
        </w:rPr>
        <w:t>POSSIBLE 2023:</w:t>
      </w:r>
      <w:r>
        <w:t xml:space="preserve"> Farm typologies for understanding farm systems and improving agricultural policy — https://doi.org/10.1016/j.agsy.2023.103800</w:t>
      </w:r>
    </w:p>
    <w:p>
      <w:pPr/>
      <w:r>
        <w:rPr>
          <w:b/>
        </w:rPr>
        <w:t>Shared claim-specific concepts:</w:t>
      </w:r>
      <w:r>
        <w:t xml:space="preserve"> farm, types, two, common, agricultural, design; EU scope not established. This is a provisional connection, not an outcome finding.</w:t>
      </w:r>
    </w:p>
    <w:p>
      <w:pPr>
        <w:pStyle w:val="SourceNote"/>
      </w:pPr>
      <w:r>
        <w:rPr>
          <w:b/>
        </w:rPr>
        <w:t>Available abstract (not full text):</w:t>
      </w:r>
      <w:r>
        <w:t xml:space="preserve"> Farm typologies help to identify patterns across a wide range of farm systems and describe heterogeneity in agriculture concisely. They can also support the design of agricultural policies by providing information and knowledge about policy target groups. For example, voluntary agri-environmental schemes could be tailored to specific agricultural landscapes and farm types. Farm typologies, however, are often developed from scratch, with limited connection to previous studies and policy making. The objective of this study is to clarify the purposes of farm typologies in research and agricultural policy making and to develop a framework that allows to increase the usefulness and usability of farm typologies for agricultural policy making. Based on a review of 13 systematically identified overview studies on farm typologies, we develop a framework that establishes connections between the purposes of farm typologies along the different stages of the policy process. We find multiple purposes for farm typologies, the two most common of which are for understanding the characteristics, heterogeneity, and development of farm systems and for policy making. The newly developed framework suggests that connecting knowledge across these purposes could improve the validity, transferability, and relevance of farm typologies for agricultural policy making. Our framework also provides an entry p</w:t>
      </w:r>
    </w:p>
    <w:p>
      <w:pPr>
        <w:pStyle w:val="Heading2"/>
      </w:pPr>
      <w:r>
        <w:t>488.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reveal, union;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issues, three, understanding;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Patterns of European Ant Communities Reveal a Functionally Coherent Holarctic Fauna — https://doi.org/10.3390/d15030341</w:t>
      </w:r>
    </w:p>
    <w:p>
      <w:pPr/>
      <w:r>
        <w:rPr>
          <w:b/>
        </w:rPr>
        <w:t>Shared claim-specific concepts:</w:t>
      </w:r>
      <w:r>
        <w:t xml:space="preserve"> reveal, three, understanding; EU scope visible. This is a provisional connection, not an outcome finding.</w:t>
      </w:r>
    </w:p>
    <w:p>
      <w:pPr>
        <w:pStyle w:val="SourceNote"/>
      </w:pPr>
      <w:r>
        <w:rPr>
          <w:b/>
        </w:rPr>
        <w:t>Available abstract (not full text):</w:t>
      </w:r>
      <w:r>
        <w:t xml:space="preserve"> Here we examine the extent to which European patterns of ant diversity and functional composition conform with those documented in North America. Following protocols previously used in North America, ant species distribution and behavioural dominance were quantified at fifteen sites on two environmental gradients, one following elevation (140–1830 m) in France and the other tree cover (0–95%) in Denmark. Pitfall traps were used to assess species distributions, and behaviour at tuna baits was used to inform behavioural dominance. We specifically test three predictions based on North American patterns: (1) Species richness and overall levels of behavioural dominance will decline with increasing thermal stress. (2) Geographic patterns of key taxa in Europe will be consistent with those in North America. (3) Behavioural dominance of European taxa will be consistent with related taxa in North America. We then use our results to classify the European ant fauna into functional groups, as had been done for North American ants. Based on these functional groups, we analyse distributional patterns along our gradients and re-analyse ant community data from published studies to provide a more comprehensive understanding of the structure of European ant communities. Distributional and behavioural predictions of the European ant taxa were consistent with those in North America. Geographical p</w:t>
      </w:r>
    </w:p>
    <w:p>
      <w:pPr/>
      <w:r>
        <w:rPr>
          <w:b/>
        </w:rPr>
        <w:t>POSSIBLE 2023:</w:t>
      </w:r>
      <w:r>
        <w:t xml:space="preserve"> The impact of board characteristics on environmentally friendly production: A cross country study in Asia and Europe — https://doi.org/10.1016/j.jclepro.2023.136257</w:t>
      </w:r>
    </w:p>
    <w:p>
      <w:pPr/>
      <w:r>
        <w:rPr>
          <w:b/>
        </w:rPr>
        <w:t>Shared claim-specific concepts:</w:t>
      </w:r>
      <w:r>
        <w:t xml:space="preserve"> also, reveal, lead, further, better, understanding; EU scope visible. This is a provisional connection, not an outcome finding.</w:t>
      </w:r>
    </w:p>
    <w:p>
      <w:pPr>
        <w:pStyle w:val="SourceNote"/>
      </w:pPr>
      <w:r>
        <w:rPr>
          <w:b/>
        </w:rPr>
        <w:t>Available abstract (not full text):</w:t>
      </w:r>
      <w:r>
        <w:t xml:space="preserve"> The present study investigates the impact of board characteristics on environmentally friendly production. The current research uses secondary data extracted from the Refinitiv Eikon database. The data is extracted from the database for a sample of 8094 corporates from 2 continents, Asia and Europe, from 2016 to 2021. Panel data analysis with fixed effect models is used to estimate the results. The findings reveal that board size, independence, and industry expertise significantly impact environmentally friendly production. The results also indicate that board diversity correlates positively with environmentally friendly production in European corporates but negatively in Asian corporates. Findings show that the moderating role of environmental teams has a greater interaction effect with board characteristics in Europe than in Asia. Finally, the results also show that higher environmental performance and environmental, social, and governance scores lead to higher levels of environmentally friendly production. The study has valuable insights and implications for board members, practitioners, academicians, and policymakers. Further, the study contributes to the strand literature by investigating the role of environmental teams on the relationship between board characteristics and environmentally friendly production. The findings are supported by agency, legitimacy, and stakeholde</w:t>
      </w:r>
    </w:p>
    <w:p>
      <w:pPr/>
      <w:r>
        <w:rPr>
          <w:b/>
        </w:rPr>
        <w:t>POSSIBLE 2023:</w:t>
      </w:r>
      <w:r>
        <w:t xml:space="preserve"> The European Universities Initiative and European spatial imaginaries — https://doi.org/10.1080/14767724.2023.2210515</w:t>
      </w:r>
    </w:p>
    <w:p>
      <w:pPr/>
      <w:r>
        <w:rPr>
          <w:b/>
        </w:rPr>
        <w:t>Shared claim-specific concepts:</w:t>
      </w:r>
      <w:r>
        <w:t xml:space="preserve"> also, further, collaboration, different;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A scoping review of seismic risk communication in Europe — https://doi.org/10.3389/feart.2023.1155576</w:t>
      </w:r>
    </w:p>
    <w:p>
      <w:pPr/>
      <w:r>
        <w:rPr>
          <w:b/>
        </w:rPr>
        <w:t>Shared claim-specific concepts:</w:t>
      </w:r>
      <w:r>
        <w:t xml:space="preserve"> they, also, reveal, transition, different;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pStyle w:val="Heading2"/>
      </w:pPr>
      <w:r>
        <w:t>489.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2024:</w:t>
      </w:r>
      <w:r>
        <w:t xml:space="preserve"> A new perspective on balancing life domains: work–nonwork balance crafting — https://doi.org/10.1186/s12889-024-18646-z</w:t>
      </w:r>
    </w:p>
    <w:p>
      <w:pPr/>
      <w:r>
        <w:rPr>
          <w:b/>
        </w:rPr>
        <w:t>Shared claim-specific concepts:</w:t>
      </w:r>
      <w:r>
        <w:t xml:space="preserve"> work, domains, perspective, findings; EU scope visible. This is a provisional connection, not an outcome finding.</w:t>
      </w:r>
    </w:p>
    <w:p>
      <w:pPr>
        <w:pStyle w:val="SourceNote"/>
      </w:pPr>
      <w:r>
        <w:rPr>
          <w:b/>
        </w:rPr>
        <w:t>Available abstract (not full text):</w:t>
      </w:r>
      <w:r>
        <w:t xml:space="preserve">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pPr/>
      <w:r>
        <w:rPr>
          <w:b/>
        </w:rPr>
        <w:t>POSSIBLE 2024:</w:t>
      </w:r>
      <w:r>
        <w:t xml:space="preserve"> Rights of Nature in Europe — https://doi.org/10.4324/9781003318989</w:t>
      </w:r>
    </w:p>
    <w:p>
      <w:pPr/>
      <w:r>
        <w:rPr>
          <w:b/>
        </w:rPr>
        <w:t>Shared claim-specific concepts:</w:t>
      </w:r>
      <w:r>
        <w:t xml:space="preserve"> work, domains; EU scope visible. This is a provisional connection, not an outcome finding.</w:t>
      </w:r>
    </w:p>
    <w:p>
      <w:pPr>
        <w:pStyle w:val="SourceNote"/>
      </w:pPr>
      <w:r>
        <w:rPr>
          <w:b/>
        </w:rPr>
        <w:t>Available abstract (not full text):</w:t>
      </w:r>
      <w:r>
        <w:t xml:space="preserve">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explore, findings;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Gender Bias in Six Key Domains of Academic Science: An Adversarial Collaboration — https://doi.org/10.1177/15291006231163179</w:t>
      </w:r>
    </w:p>
    <w:p>
      <w:pPr/>
      <w:r>
        <w:rPr>
          <w:b/>
        </w:rPr>
        <w:t>Shared claim-specific concepts:</w:t>
      </w:r>
      <w:r>
        <w:t xml:space="preserve"> domains, empirical, findings, structural; EU scope not established. This is a provisional connection, not an outcome finding.</w:t>
      </w:r>
    </w:p>
    <w:p>
      <w:pPr>
        <w:pStyle w:val="SourceNote"/>
      </w:pPr>
      <w:r>
        <w:rPr>
          <w:b/>
        </w:rPr>
        <w:t>Available abstract (not full text):</w:t>
      </w:r>
      <w:r>
        <w:t xml:space="preserve"> We synthesized the vast, contradictory scholarly literature on gender bias in academic science from 2000 to 2020. In the most prestigious journals and media outlets, which influence many people's opinions about sexism, bias is frequently portrayed as an omnipresent factor limiting women's progress in the tenure-track academy. Claims and counterclaims regarding the presence or absence of sexism span a range of evaluation contexts. Our approach relied on a combination of meta-analysis and analytic dissection. We evaluated the empirical evidence for gender bias in six key contexts in the tenure-track academy: (a) tenure-track hiring, (b) grant funding, (c) teaching ratings, (d) journal acceptances, (e) salaries, and (f) recommendation letters. We also explored the gender gap in a seventh area, journal productivity, because it can moderate bias in other contexts. We focused on these specific domains, in which sexism has most often been alleged to be pervasive, because they represent important types of evaluation, and the extensive research corpus within these domains provides sufficient quantitative data for comprehensive analysis. Contrary to the omnipresent claims of sexism in these domains appearing in top journals and the media, our findings show that tenure-track women are at parity with tenure-track men in three domains (grant funding, journal acceptances, and recommendation </w:t>
      </w:r>
    </w:p>
    <w:p>
      <w:pPr/>
      <w:r>
        <w:rPr>
          <w:b/>
        </w:rPr>
        <w:t>POSSIBLE 2023:</w:t>
      </w:r>
      <w:r>
        <w:t xml:space="preserve"> European Environment, Social, and Governance Norms and Decent Work: Seeking a Consensus in the Literature — https://doi.org/10.3390/socsci12110592</w:t>
      </w:r>
    </w:p>
    <w:p>
      <w:pPr/>
      <w:r>
        <w:rPr>
          <w:b/>
        </w:rPr>
        <w:t>Shared claim-specific concepts:</w:t>
      </w:r>
      <w:r>
        <w:t xml:space="preserve"> work, scientific; EU scope visible. This is a provisional connection, not an outcome finding.</w:t>
      </w:r>
    </w:p>
    <w:p>
      <w:pPr>
        <w:pStyle w:val="SourceNote"/>
      </w:pPr>
      <w:r>
        <w:rPr>
          <w:b/>
        </w:rPr>
        <w:t>Available abstract (not full text):</w:t>
      </w:r>
      <w:r>
        <w:t xml:space="preserve"> Decent Work is considered essential to the facilitation of a transition to greener, fairer, more prosperous, and more just societies. Decent Work represents a fundamental component of the Sustainable Development Goals (SDGs) and a crucial facet of European Union (EU) environment, social, and governance (ESG) norms. Despite its prominence, the precise definition and materiality of Decent Work is obscure and remains subject to limited consensus. To understand these critical gaps, we conducted a comprehensive review with a systematic search of the literature on the subject, encompassing both scientific research and institutional publications. Our review encompassed 517 papers, with a particular focus on three key areas: (1) delineating the constituents of Decent Work, (2) exploring the materiality of Decent Work, and (3) examining how firms value, measure, and report Decent Work. The domain of regulated reporting for Decent Work and its material impact is relatively nascent, resulting in limitations in effectively measuring its tangible, material effects towards a green and just transition. Consequently, our review, with a systematic search of the literature, uncovered notable gaps within the body of literature concerning Decent Work, its substance for ESG materiality regulations, and its conspicuousness for a just transition. Furthermore, our review serves as a critical foundatio</w:t>
      </w:r>
    </w:p>
    <w:p>
      <w:pPr>
        <w:pStyle w:val="Heading2"/>
      </w:pPr>
      <w:r>
        <w:t>490.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2024:</w:t>
      </w:r>
      <w:r>
        <w:t xml:space="preserve"> The Working of Hard Animal Tissues in Eastern and Central Europe During the Last Glacial Maximum—Current Knowledge and Perspectives — https://doi.org/10.1007/s41982-024-00198-8</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The climatically unfavourable period of the Last Glacial Maximum (LGM; ca. 26–19 ka cal bp) is held responsible for a severe demographic crisis of hunter–gatherer populations, their retreat to a few refugial areas, the disruption of wide-ranging networks, and a considerable loss of cultural complexity in Eastern and Central Europe. The latitudes above 50°N appear to have been completely depopulated. Recent research has demonstrated a continuous occupation of the Carpathian Basin and the East Carpathian region during the LGM on one hand, and an ephemeral human presence in the Middle Danube, the Middle Rhine, and the Swiss Plateau on the other. The western part of the East European Plain, in particular the East Carpathians, is known for several large, Early Epigravettian open-air sites with well-preserved artefacts of antler, bone, and mammoth ivory. For Central Europe, the assemblage from Kammern-Grubgraben in Lower Austria is of pivotal importance. As osseous industries have shown to be an essential component of Upper Palaeolithic material culture, it is the aim of this contribution to provide an overview of the current state of knowledge on the processing of hard animal tissues in Eastern and Central Europe during the LGM. Starting out with a reevaluation of one of the largest and most diverse assemblages from the site of Cosăuţi in the Republic of Moldova (ca. 23–19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discuss, current, knowledge, drivers;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Central and Eastern Europe in Academic Internationalization: Peripherality, Neoliberalism, and Knowledge Production — https://doi.org/10.11649/slh.3184</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The article reflects on knowledge production in the context of research internationalization, seen as an aspect of a broader trend in the changing higher education and other academic institutions. It focuses on Central and Eastern Europe as a post-communist and (semi)peripheral region, which has been the subject of historical and theoretical analysis often accompanied by epistemological reflection among researchers. As an introduction to the theme of the issue, the article addresses questions concerning epistemic approaches to Central and Eastern Europe via critical reflection on the “post-socialism” framework. The authors discuss major analytical responses of scholars in this research field, including the authors of articles published in this issue of Studia Litteraria et Historica, such as peripherality, postcolonialism, and rethinking of the category of the “East”. In the concluding part, they outline possible directions for further inquiry, including a spatial-temporal conceptualization informed by Wallerstein’s historical social science as well as ethical considerations in the current political context shaped by international security concerns as much as epistemic ones.</w:t>
      </w:r>
    </w:p>
    <w:p>
      <w:pPr/>
      <w:r>
        <w:rPr>
          <w:b/>
        </w:rPr>
        <w:t>POSSIBLE 2023:</w:t>
      </w:r>
      <w:r>
        <w:t xml:space="preserve"> Sustainable soil management: Soil knowledge use and gaps in Europe — https://doi.org/10.1111/ejss.13439</w:t>
      </w:r>
    </w:p>
    <w:p>
      <w:pPr/>
      <w:r>
        <w:rPr>
          <w:b/>
        </w:rPr>
        <w:t>Shared claim-specific concepts:</w:t>
      </w:r>
      <w:r>
        <w:t xml:space="preserve"> current, knowledge, three, areas, gaps; EU scope visible. This is a provisional connection, not an outcome finding.</w:t>
      </w:r>
    </w:p>
    <w:p>
      <w:pPr>
        <w:pStyle w:val="SourceNote"/>
      </w:pPr>
      <w:r>
        <w:rPr>
          <w:b/>
        </w:rPr>
        <w:t>Available abstract (not full text):</w:t>
      </w:r>
      <w:r>
        <w:t xml:space="preserve"> Abstract Soils are the foundation of agricultural production, ecosystem functioning and human well‐being. Bridging soil knowledge gaps and improving the knowledge system is crucial to meet the growing EU soil policy ambitions in the face of climate change and the ongoing trend in soil degradation. The objective of this article is to assess the current state of knowledge, knowledge use and knowledge gaps concerning sustainable soil management in Europe. This study is based on interviews with 791 stakeholders and 254 researchers and on a comprehensive review of &gt;1800 documents carried out under the European Joint Programme on agricultural soils. Despite differences in stakeholder groups, the conclusions are rather consistent and complementary. We identified major knowledge gaps with respect to (1) soil carbon stocks, (2) soil degradation and fertility and (3) strategies for improved soil management. Transcending these three areas, particularly the loss of soil organic carbon, peatland degradation and soil compaction, are most critical, thus, we stress the urgency of developing more models and monitoring programmes on soils. Stakeholders further report that insufficient transfer of existing soil research findings to practitioners is a hindrance to the adoption of sustainable soil management practices. In addition to knowledge production, soil knowledge gaps may be addressed by con</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current, knowledge, identify, environmental, used;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2023:</w:t>
      </w:r>
      <w:r>
        <w:t xml:space="preserve"> Early-onset colorectal cancer: A review of current knowledge — https://doi.org/10.3748/wjg.v29.i8.1289</w:t>
      </w:r>
    </w:p>
    <w:p>
      <w:pPr/>
      <w:r>
        <w:rPr>
          <w:b/>
        </w:rPr>
        <w:t>Shared claim-specific concepts:</w:t>
      </w:r>
      <w:r>
        <w:t xml:space="preserve"> discuss, current, knowledge, data, exposure; EU scope not established. This is a provisional connection, not an outcome finding.</w:t>
      </w:r>
    </w:p>
    <w:p>
      <w:pPr>
        <w:pStyle w:val="SourceNote"/>
      </w:pPr>
      <w:r>
        <w:rPr>
          <w:b/>
        </w:rPr>
        <w:t>Available abstract (not full text):</w:t>
      </w:r>
      <w:r>
        <w:t xml:space="preserve"> Colorectal cancer (CRC) is one of the most prevalent malignancies worldwide. Although most prevalent among older people, its incidence above 50 years old has been decreasing globally in the last decades, probably as a result of better screening. Paradoxically, its incidence in patients below 50 years old [early-onset CRC (EO-CRC)] has been increasing, for reasons not yet fully understood. EO-CRC's increasing incidence is genre independent but shows racial disparities and has been described to occur worldwide. It follows a birth-cohort effect which probably reflects a change in exposure to CRC risk factors. Its incidence is predicted to double until 2030, which makes EO-CRC a serious public health issue. Both modifiable and non-modifiable risk factors have been identified - some are potential targets for preventive measures. EO-CRC is often diagnosed at advanced stages and histological features associated with poor prognosis have been described. EO-CRC presents some distinctive features: Microsatellite in-stability is common, but another subtype of tumours, both microsatellite and chromosome stable also seems relevant. There are no age-specific treatment protocols and studies on EO-CRC survival rates have shown conflicting data. Due to the higher germline pathological mutations found in EO-CRC patients, an accurate genetic risk evaluation should be performed. In this review, we </w:t>
      </w:r>
    </w:p>
    <w:p>
      <w:pPr/>
      <w:r>
        <w:rPr>
          <w:b/>
        </w:rPr>
        <w:t>POSSIBLE 2023:</w:t>
      </w:r>
      <w:r>
        <w:t xml:space="preserve"> Dietary habits of the European brown hare: summary of knowledge and management relapses — https://doi.org/10.1080/03949370.2023.2213200</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Assessing the nutritional needs and food preferences of animal species is important to design appropriate habitat improvement actions, in particular in agricultural environments. The European brown hare Lepus europaeus is a game species of European conservation interest, typical of open areas, and with declining populations in Eurasia. In this work, the authors summarised the current knowledge on European brown hare feeding habits and also discussed potential management relapses of this species. The European brown hare has developed a particular digestive process called caecotrophy, which consists of a double passage of food through the alimentary canal. Hares compensate for this disadvantage by selecting foods with a high nutritional value, poor in fibre and rich in fats and proteins. The European brown hare thrives in farmland habitat as crops have a high nutritional value, even if monoculture and reduction of crop variety are considered the main causes of the decline of this species. Even in the agricultural environment, spontaneous weeds are an important part of the European brown hare diet, covering the nutritional needs when cultivated plants have a low nutritional value or have been harvested. The restoration of crop rotation and polycultures (cereals and cover crops), and the establishment of agri-environmental measures such as wildflower strips and patches, represent e</w:t>
      </w:r>
    </w:p>
    <w:p>
      <w:pPr>
        <w:pStyle w:val="Heading2"/>
      </w:pPr>
      <w:r>
        <w:t>491.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pStyle w:val="Heading2"/>
      </w:pPr>
      <w:r>
        <w:t>492.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2024:</w:t>
      </w:r>
      <w:r>
        <w:t xml:space="preserve"> Global consensus statement on simulation-based practice in healthcare — https://doi.org/10.1186/s41077-024-00288-1</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 pr</w:t>
      </w:r>
    </w:p>
    <w:p>
      <w:pPr/>
      <w:r>
        <w:rPr>
          <w:b/>
        </w:rPr>
        <w:t>POSSIBLE 2024:</w:t>
      </w:r>
      <w:r>
        <w:t xml:space="preserve"> The Conceptual Definition of Sarcopenia: Delphi Consensus from the Global Leadership Initiative in Sarcopenia (GLIS) — https://doi.org/10.1093/ageing/afae052</w:t>
      </w:r>
    </w:p>
    <w:p>
      <w:pPr/>
      <w:r>
        <w:rPr>
          <w:b/>
        </w:rPr>
        <w:t>Shared claim-specific concepts:</w:t>
      </w:r>
      <w:r>
        <w:t xml:space="preserve"> consensus, however; EU scope not established. This is a provisional connection, not an outcome finding.</w:t>
      </w:r>
    </w:p>
    <w:p>
      <w:pPr>
        <w:pStyle w:val="SourceNote"/>
      </w:pPr>
      <w:r>
        <w:rPr>
          <w:b/>
        </w:rPr>
        <w:t>Available abstract (not full text):</w:t>
      </w:r>
      <w:r>
        <w:t xml:space="preserve"> IMPORTANCE: Sarcopenia, the age-related loss of muscle mass and strength/function, is an important clinical condition. However, no international consensus on the definition exists. OBJECTIVE: The Global Leadership Initiative in Sarcopenia (GLIS) aimed to address this by establishing the global conceptual definition of sarcopenia. DESIGN: The GLIS steering committee was formed in 2019-21 with representatives from all relevant scientific societies worldwide. During this time, the steering committee developed a set of statements on the topic and invited members from these societies to participate in a two-phase International Delphi Study. Between 2022 and 2023, participants ranked their agreement with a set of statements using an online survey tool (SurveyMonkey). Statements were categorised based on predefined thresholds: strong agreement (&gt;80%), moderate agreement (70-80%) and low agreement (&lt;70%). Statements with strong agreement were accepted, statements with low agreement were rejected and those with moderate agreement were reintroduced until consensus was reached. RESULTS: 107 participants (mean age: 54 ± 12 years [1 missing age], 64% men) from 29 countries across 7 continents/regions completed the Delphi survey. Twenty statements were found to have a strong agreement. These included; 6 statements on 'general aspects of sarcopenia' (strongest agreement: the prevalence of sar</w:t>
      </w:r>
    </w:p>
    <w:p>
      <w:pPr/>
      <w:r>
        <w:rPr>
          <w:b/>
        </w:rPr>
        <w:t>POSSIBLE 2024:</w:t>
      </w:r>
      <w:r>
        <w:t xml:space="preserve"> Global consensus on optimal exercise recommendations for enhancing healthy longevity in older adults (ICFSR) — https://doi.org/10.1016/j.jnha.2024.100401</w:t>
      </w:r>
    </w:p>
    <w:p>
      <w:pPr/>
      <w:r>
        <w:rPr>
          <w:b/>
        </w:rPr>
        <w:t>Shared claim-specific concepts:</w:t>
      </w:r>
      <w:r>
        <w:t xml:space="preserve"> consensus, energy, however, many, leading; EU scope not established. This is a provisional connection, not an outcome finding.</w:t>
      </w:r>
    </w:p>
    <w:p>
      <w:pPr>
        <w:pStyle w:val="SourceNote"/>
      </w:pPr>
      <w:r>
        <w:rPr>
          <w:b/>
        </w:rPr>
        <w:t>Available abstract (not full text):</w:t>
      </w:r>
      <w:r>
        <w:t xml:space="preserve"> Aging, a universal and inevitable process, is characterized by a progressive accumulation of physiological alterations and functional decline over time, leading to increased vulnerability to diseases and ultimately mortality as age advances. Lifestyle factors, notably physical activity (PA) and exercise, significantly modulate aging phenotypes. Physical activity and exercise can prevent or ameliorate lifestyle-related diseases, extend health span, enhance physical function, and reduce the burden of non-communicable chronic diseases including cardiometabolic disease, cancer, musculoskeletal and neurological conditions, and chronic respiratory diseases as well as premature mortality. Physical activity influences the cellular and molecular drivers of biological aging, slowing aging rates-a foundational aspect of geroscience. Thus, PA serves both as preventive medicine and therapeutic agent in pathological states. Sub-optimal PA levels correlate with increased disease prevalence in aging populations. Structured exercise prescriptions should therefore be customized and monitored like any other medical treatment, considering the dose-response relationships and specific adaptations necessary for intended outcomes. Current guidelines recommend a multifaceted exercise regimen that includes aerobic, resistance, balance, and flexibility training through structured and incidental (integrat</w:t>
      </w:r>
    </w:p>
    <w:p>
      <w:pPr/>
      <w:r>
        <w:rPr>
          <w:b/>
        </w:rPr>
        <w:t>POSSIBLE 2024:</w:t>
      </w:r>
      <w:r>
        <w:t xml:space="preserve"> Global consensus on disclosing inventions — https://doi.org/10.4324/9781003423003-14</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This section examines rules and regulations of disclosure across national and international patenting systems, in view of highlighting the striking consensus that exists for disclosing inventions in patents. A consensus that creates a phenomenal multilingual corpus of parallel patent texts.</w:t>
      </w:r>
    </w:p>
    <w:p>
      <w:pPr/>
      <w:r>
        <w:rPr>
          <w:b/>
        </w:rPr>
        <w:t>POSSIBLE 2024:</w:t>
      </w:r>
      <w:r>
        <w:t xml:space="preserve"> Global Consensus Statement on Simulation-Based Practice in Healthcare — https://doi.org/10.1016/j.ecns.2024.101552</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 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w:t>
      </w:r>
    </w:p>
    <w:p>
      <w:pPr/>
      <w:r>
        <w:rPr>
          <w:b/>
        </w:rPr>
        <w:t>POSSIBLE 2024:</w:t>
      </w:r>
      <w:r>
        <w:t xml:space="preserve"> Global consensus statement on simulation-based practice in healthcare — https://doi.org/10.1097/sih.0000000000000804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ABSTRACT: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w:t>
      </w:r>
    </w:p>
    <w:p>
      <w:pPr/>
      <w:r>
        <w:rPr>
          <w:b/>
        </w:rPr>
        <w:t>POSSIBLE 2024:</w:t>
      </w:r>
      <w:r>
        <w:t xml:space="preserve"> Byzantine fault-tolerant consensus algorithm based on local temporary consensus and global confirmation — https://doi.org/10.1109/cisce62493.2024.10653231</w:t>
      </w:r>
    </w:p>
    <w:p>
      <w:pPr/>
      <w:r>
        <w:rPr>
          <w:b/>
        </w:rPr>
        <w:t>Shared claim-specific concepts:</w:t>
      </w:r>
      <w:r>
        <w:t xml:space="preserve"> there, consensus; EU scope not established. This is a provisional connection, not an outcome finding.</w:t>
      </w:r>
    </w:p>
    <w:p>
      <w:pPr>
        <w:pStyle w:val="SourceNote"/>
      </w:pPr>
      <w:r>
        <w:rPr>
          <w:b/>
        </w:rPr>
        <w:t>Available abstract (not full text):</w:t>
      </w:r>
      <w:r>
        <w:t xml:space="preserve"> Aiming at the Byzantine fault-tolerant consensus algorithm when the number of nodes is too large, there are problems such as a large amount of data exchange, slow consensus speed, and security degradation caused by proxy nodes, based on threshold signatures, a new Byzantine fault-tolerant consensus algorithm based on local temporary consensus and global confirmation is proposed. Nodes divide into different zones based on their geographical location, the algorithm conducts temporary consensus among zones in parallel, and all nodes participate in global confirmation together, reducing the amount of network data exchange during the consensus process while improving consensus speed and security.</w:t>
      </w:r>
    </w:p>
    <w:p>
      <w:pPr>
        <w:pStyle w:val="Heading2"/>
      </w:pPr>
      <w:r>
        <w:t>493.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2024:</w:t>
      </w:r>
      <w:r>
        <w:t xml:space="preserve"> Gender equality: Progress, and challenges in european society — https://doi.org/10.31893/humanitj.2024005</w:t>
      </w:r>
    </w:p>
    <w:p>
      <w:pPr/>
      <w:r>
        <w:rPr>
          <w:b/>
        </w:rPr>
        <w:t>Shared claim-specific concepts:</w:t>
      </w:r>
      <w:r>
        <w:t xml:space="preserve"> article, combined, policies, different, institutional, countries; EU scope visible. This is a provisional connection, not an outcome finding.</w:t>
      </w:r>
    </w:p>
    <w:p>
      <w:pPr>
        <w:pStyle w:val="SourceNote"/>
      </w:pPr>
      <w:r>
        <w:rPr>
          <w:b/>
        </w:rPr>
        <w:t>Available abstract (not full text):</w:t>
      </w:r>
      <w:r>
        <w:t xml:space="preserve"> This article explores the dynamics of gender equality in European society, focusing on both the progress made and the ongoing challenges facing European society. The study investigates the impact of legal frameworks and rights in shaping equal opportunities for the whole of European society by excluding the possibility of differences on different grounds. Furthermore, the study assesses the impact of institutional commitment to gender equality within European legal and social contexts. The analysis covers a long-term period by examining the legal infrastructure related to gender equality: a model case of some countries in Europe. Through our findings, we will reflect the impact of the factors that have meanwhile combined the phenomenon of inequality in European society. Regarding institutional commitment, we will highlight the effectiveness of intergovernmental policies, proving this hypothesis through statistics that show the position of women in various fields.</w:t>
      </w:r>
    </w:p>
    <w:p>
      <w:pPr>
        <w:pStyle w:val="Heading2"/>
      </w:pPr>
      <w:r>
        <w:t>494.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2024:</w:t>
      </w:r>
      <w:r>
        <w:t xml:space="preserve"> Advancing sustainable building through passive cooling with phase change materials, a comprehensive literature review — https://doi.org/10.1016/j.enbuild.2024.114164</w:t>
      </w:r>
    </w:p>
    <w:p>
      <w:pPr/>
      <w:r>
        <w:rPr>
          <w:b/>
        </w:rPr>
        <w:t>Shared claim-specific concepts:</w:t>
      </w:r>
      <w:r>
        <w:t xml:space="preserve"> building, phase, combination, different; EU scope not established. This is a provisional connection, not an outcome finding.</w:t>
      </w:r>
    </w:p>
    <w:p>
      <w:pPr>
        <w:pStyle w:val="SourceNote"/>
      </w:pPr>
      <w:r>
        <w:rPr>
          <w:b/>
        </w:rPr>
        <w:t>Available abstract (not full text):</w:t>
      </w:r>
      <w:r>
        <w:t xml:space="preserve">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pPr/>
      <w:r>
        <w:rPr>
          <w:b/>
        </w:rPr>
        <w:t>POSSIBLE 2024:</w:t>
      </w:r>
      <w:r>
        <w:t xml:space="preserve"> Incorporation of Phase Change Materials in Buildings — https://doi.org/10.3390/constrmater4040037</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pPr/>
      <w:r>
        <w:rPr>
          <w:b/>
        </w:rPr>
        <w:t>POSSIBLE 2024:</w:t>
      </w:r>
      <w:r>
        <w:t xml:space="preserve"> Phase Change Materials (PCMs) for passive Cooling: Performance in urban buildings — https://doi.org/10.30574/ijsra.2024.13.1.2050</w:t>
      </w:r>
    </w:p>
    <w:p>
      <w:pPr/>
      <w:r>
        <w:rPr>
          <w:b/>
        </w:rPr>
        <w:t>Shared claim-specific concepts:</w:t>
      </w:r>
      <w:r>
        <w:t xml:space="preserve"> building, phase, combination, case; EU scope not established. This is a provisional connection, not an outcome finding.</w:t>
      </w:r>
    </w:p>
    <w:p>
      <w:pPr>
        <w:pStyle w:val="SourceNote"/>
      </w:pPr>
      <w:r>
        <w:rPr>
          <w:b/>
        </w:rPr>
        <w:t>Available abstract (not full text):</w:t>
      </w:r>
      <w:r>
        <w:t xml:space="preserve">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pPr/>
      <w:r>
        <w:rPr>
          <w:b/>
        </w:rPr>
        <w:t>POSSIBLE 2024:</w:t>
      </w:r>
      <w:r>
        <w:t xml:space="preserve"> Building design with artificial intelligence : Evaluation of AI tools for building design optimization during earlyplanning phases — https://openalex.org/W7112955944</w:t>
      </w:r>
    </w:p>
    <w:p>
      <w:pPr/>
      <w:r>
        <w:rPr>
          <w:b/>
        </w:rPr>
        <w:t>Shared claim-specific concepts:</w:t>
      </w:r>
      <w:r>
        <w:t xml:space="preserve"> building, combination, alternative; EU scope not established. This is a provisional connection, not an outcome finding.</w:t>
      </w:r>
    </w:p>
    <w:p>
      <w:pPr>
        <w:pStyle w:val="SourceNote"/>
      </w:pPr>
      <w:r>
        <w:rPr>
          <w:b/>
        </w:rPr>
        <w:t>Available abstract (not full text):</w:t>
      </w:r>
      <w:r>
        <w:t xml:space="preserve">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pPr/>
      <w:r>
        <w:rPr>
          <w:b/>
        </w:rPr>
        <w:t>POSSIBLE 2023:</w:t>
      </w:r>
      <w:r>
        <w:t xml:space="preserve"> Building Envelope Design With PHASE-CHANGEMATERIALS (PCM). — https://doi.org/10.21203/rs.3.rs-3307843/v1</w:t>
      </w:r>
    </w:p>
    <w:p>
      <w:pPr/>
      <w:r>
        <w:rPr>
          <w:b/>
        </w:rPr>
        <w:t>Shared claim-specific concepts:</w:t>
      </w:r>
      <w:r>
        <w:t xml:space="preserve"> building, phase, combination, alternative; EU scope not established. This is a provisional connection, not an outcome finding.</w:t>
      </w:r>
    </w:p>
    <w:p>
      <w:pPr>
        <w:pStyle w:val="SourceNote"/>
      </w:pPr>
      <w:r>
        <w:rPr>
          <w:b/>
        </w:rPr>
        <w:t>Available abstract (not full text):</w:t>
      </w:r>
      <w:r>
        <w:t xml:space="preserve"> Abstract Building is one of the most energy consuming and CO2 producing sectors in the world. In Morocco, this sector currently accounts for 33% of total consumption nationwide. The new thermal regulation in Morocco aims at introducing energy efficient practices in this sector to reduce these consumptions. Indeed, in the Mediterranean region, the architecture of the building has a major impact on its energy and thermal performance. In addition, the integration of passive techniques and the use of local materials, phase change materials MCP could significantly reduce energy consumption in the building sector.Depending on the properties of the thermal zone where we are, it is therefore possible to integrate PCM and optimize their parameters in order to favorably diphase the energy consumption peaks and energy consumption and, by the same token, significantly reducing the use of the HC system. Consequently, the integration of this PCM in the envelopes of new buildings or in renovation would contribute to reduce the energy bill in the building sector in Morocco. So the (PCM) represents a sustainable alternative to reduce energy consumption for this a thermal dynamic simulation was realized with TRNSYS 204. Since PCM involves large latent heat at small temperature phase changes, PCM is used for temperature stabilization and for storing heat with large energy densities and capacity t</w:t>
      </w:r>
    </w:p>
    <w:p>
      <w:pPr/>
      <w:r>
        <w:rPr>
          <w:b/>
        </w:rPr>
        <w:t>POSSIBLE 2023:</w:t>
      </w:r>
      <w:r>
        <w:t xml:space="preserve"> Demand response with active phase change material based thermal energy storage in buildings — https://doi.org/10.1016/j.egyr.2022.12.131</w:t>
      </w:r>
    </w:p>
    <w:p>
      <w:pPr/>
      <w:r>
        <w:rPr>
          <w:b/>
        </w:rPr>
        <w:t>Shared claim-specific concepts:</w:t>
      </w:r>
      <w:r>
        <w:t xml:space="preserve"> building, phase, combination, response, case; EU scope not established. This is a provisional connection, not an outcome finding.</w:t>
      </w:r>
    </w:p>
    <w:p>
      <w:pPr>
        <w:pStyle w:val="SourceNote"/>
      </w:pPr>
      <w:r>
        <w:rPr>
          <w:b/>
        </w:rPr>
        <w:t>Available abstract (not full text):</w:t>
      </w:r>
      <w:r>
        <w:t xml:space="preserve"> A large potential to shift the electricity consumption to adapt to the stochastic renewable electricity generation is identified through the utilisation of a combination of Heat Pumps (HP) and local Thermal Energy Storage (TES) devices in building heating systems. In this paper, a building heating system coupled with an active Phase Change Material (PCM) TES device and a HP is simulated to characterise its potential for Demand Response (DR) applications. A control-oriented numerical model for the PCM TES is developed and previously validated numerical models of the building, HP and hot water radiators are integrated to simulate the dynamics of the coupled building heating system. A Genetic Algorithm (GA) based control strategy is designed to optimise the building heating energy consumption and operational cost with respect to time-varying electricity price signals. The developed control strategy is successfully implemented to utilise the TES capability of the PCM and the thermal inertia of the building to intelligently shift the electrical load of the HP to low price periods, while satisfying the specified indoor comfort requirements. In comparison to a reference case utilising a sensible TES, cost savings and consumption reductions of more than 40% and 30%, respectively, are attained with the active PCM TES. Simulation results indicate that utilising an active PCM TES over a s</w:t>
      </w:r>
    </w:p>
    <w:p>
      <w:pPr/>
      <w:r>
        <w:rPr>
          <w:b/>
        </w:rPr>
        <w:t>POSSIBLE 2023:</w:t>
      </w:r>
      <w:r>
        <w:t xml:space="preserve"> Evaluation of phase change material-graphene nanocomposite for thermal regulation enhancement in buildings — https://doi.org/10.1016/j.heliyon.2023.e21699</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growth of high-efficiency phase change material (PCM) nanocomposites with good heat conduction and substantial thermal capacity was of vital significance for practical matters in the sustainable utilization of energy. A novel leakage-proof n-heptadecane-graphene nanocomposite was prepared by a direct impregnation procedure from n-heptadacne as a PCM and nanographene as a skeleton. The creation of shape-stabilized nanocomposite was checked with X-ray diffraction (XRD), Raman, and Fourier transform infrared (FTIR) spectroscopy. The scanning electron microscopy (SEM) analysis illustrated that the n-heptadecane and graphene had favourable compatibility and there was no phase separation and graphene accumulation. Thermal analysis showed that the shape-stabilized nanocomposite not only had a good phase transition enthalpy (101.7 J/g) and n-heptadecane content (45.6 %) but also possessed appropriate thermal stability. The heat conduction of the obtained mesoporous nanocomposite was up to 1.527 W/mK, with a growth of 808 % compared to pure n-heptadecane. Furthermore, the optimized nanocomposite held auspicious thermal reliability, being exposed to 400 thermal cycles. Moreover, the thermoregulation tests demonstrated that the gypsum boards containing optimized nanocomposite showed a slow heat release rate and improved the building temperature profile over only the gypsum board. By v</w:t>
      </w:r>
    </w:p>
    <w:p>
      <w:pPr>
        <w:pStyle w:val="Heading2"/>
      </w:pPr>
      <w:r>
        <w:t>495.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2025:</w:t>
      </w:r>
      <w:r>
        <w:t xml:space="preserve"> Anti-Inflammatory Activity of Thymol and Thymol-Rich Essential Oils: Mechanisms, Applications, and Recent Findings — https://doi.org/10.3390/molecules30112450</w:t>
      </w:r>
    </w:p>
    <w:p>
      <w:pPr/>
      <w:r>
        <w:rPr>
          <w:b/>
        </w:rPr>
        <w:t>Shared claim-specific concepts:</w:t>
      </w:r>
      <w:r>
        <w:t xml:space="preserve"> findings, recent, shown, activities, systems; EU scope not established. This is a provisional connection, not an outcome finding.</w:t>
      </w:r>
    </w:p>
    <w:p>
      <w:pPr>
        <w:pStyle w:val="SourceNote"/>
      </w:pPr>
      <w:r>
        <w:rPr>
          <w:b/>
        </w:rPr>
        <w:t>Available abstract (not full text):</w:t>
      </w:r>
      <w:r>
        <w:t xml:space="preserve">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pPr/>
      <w:r>
        <w:rPr>
          <w:b/>
        </w:rPr>
        <w:t>POSSIBLE 2025:</w:t>
      </w:r>
      <w:r>
        <w:t xml:space="preserve"> Aging and HIV: Recent Findings in Contributing Factors — https://doi.org/10.1155/arat/8814760</w:t>
      </w:r>
    </w:p>
    <w:p>
      <w:pPr/>
      <w:r>
        <w:rPr>
          <w:b/>
        </w:rPr>
        <w:t>Shared claim-specific concepts:</w:t>
      </w:r>
      <w:r>
        <w:t xml:space="preserve"> findings, recent, science; EU scope not established. This is a provisional connection, not an outcome finding.</w:t>
      </w:r>
    </w:p>
    <w:p>
      <w:pPr>
        <w:pStyle w:val="SourceNote"/>
      </w:pPr>
      <w:r>
        <w:rPr>
          <w:b/>
        </w:rPr>
        <w:t>Available abstract (not full text):</w:t>
      </w:r>
      <w:r>
        <w:t xml:space="preserve">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pPr/>
      <w:r>
        <w:rPr>
          <w:b/>
        </w:rPr>
        <w:t>POSSIBLE 2024:</w:t>
      </w:r>
      <w:r>
        <w:t xml:space="preserve"> Inflammation and Cancer: The Most Recent Findings — https://doi.org/10.31584/jhsmr.20241082</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An in-depth investigation into the complicated relationship between inflammation and cancer provided new findings. We explored new developments that shone a light on the involvement of inflammation in the emergence of many cancers in this study. What we know of this complex interaction has been shaped over time by historical observations that have transformed into molecular mechanistic findings. Understanding the importance of the invasion of immune cells in tumor micro-surroundings, gaining knowledge of the signaling mechanisms that control inflammation-induced carcinogenesis, and identifying inflammatory agents as possible biomarkers for diagnosis and the outlook may lead to novel therapeutic strategies and improved patient outcomes. The combination of immunotherapies and other treatment techniques offers a promising way to enhance therapeutic effects. The development of novel therapies like adoptive T-cell therapy and oncolytic viral therapy further emphasizes how far we have come. The need to manage immune evasion mechanisms and improve these therapeutic approaches further are still problems. We describe the intriguing possibility of using inflammation as a tool for targeted treatment for cancer in this investigation, with possibilities for better patient outcomes and alternative treatment methods.</w:t>
      </w:r>
    </w:p>
    <w:p>
      <w:pPr/>
      <w:r>
        <w:rPr>
          <w:b/>
        </w:rPr>
        <w:t>POSSIBLE 2024:</w:t>
      </w:r>
      <w:r>
        <w:t xml:space="preserve"> Recent findings in methanotrophs: genetics, molecular ecology, and biopotential — https://doi.org/10.1007/s00253-023-12978-3</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 is particularly significant in driving alterations to the worldwide climate. Methanotrophic bacteria possess the distinctive ability to employ methane as both as source of carbon and energy. These bacteria show great potential as exceptional biocatalysts in advancing C1 bioconversion technology. The present review describes recent findings in methanotrophs including aerobic and anaerobic methanotroph bacteria, phenotypic characteristics, biotechnological potential, their physiology, ecology, and native multi-carbon utilizing pathways, and their molecular biology. The existing understanding of methanogenesis and methanotrophy in soil, as well as anaerobic methane oxidation and methanotrophy in temperate and extreme environments, is also covered in this discussion. New types of methanogens and communities of methanotrophic bacteria have been identified from various ecosystems and thoroughly examined for a range of biotechnological uses. Grasping the processes of methanogenesis and methanotrophy holds significant importance in the development of innovative agricultural techniques and industrial procedures that contribute to a more favorable equilibrium of GHG. This current review centers on the diversity of emerging methanogen and methanotroph species and their effects on the environment. By amalgamating advanced genetic analysis with ecological insights, this study pioneers a h</w:t>
      </w:r>
    </w:p>
    <w:p>
      <w:pPr/>
      <w:r>
        <w:rPr>
          <w:b/>
        </w:rPr>
        <w:t>POSSIBLE 2023:</w:t>
      </w:r>
      <w:r>
        <w:t xml:space="preserve"> Recent Findings in Physical Exercise for Cancer Survivors — https://doi.org/10.1298/ptr.r0023</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In recent years, the number of cancer survivors has been increasing each year due to advances in the early diagnosis and treatment of cancer. Cancer survivors present a variety of physical and psychological complications due to cancer and its treatment. Physical exercise is an effective nonpharmacological treatment for complications in cancer survivors. Furthermore, recent evidence has shown that physical exercise improves the prognosis of cancer survivors. The benefits of physical exercise have been widely reported, and guidelines for physical exercise for cancer survivors have been published. These guidelines recommend that cancer survivors engage in moderate- or vigorous-intensity aerobic exercises and/or resistance training. However, many cancer survivors have a poor commitment to physical exercise. In the future, it is necessary to promote physical exercise among cancer survivors through outpatient rehabilitation and community support.</w:t>
      </w:r>
    </w:p>
    <w:p>
      <w:pPr/>
      <w:r>
        <w:rPr>
          <w:b/>
        </w:rPr>
        <w:t>POSSIBLE 2023:</w:t>
      </w:r>
      <w:r>
        <w:t xml:space="preserve"> Recent findings regarding noise from tactical jet engines — https://doi.org/10.1121/10.0023676</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This paper reviews the outcomes of several recent investigations into full-scale supersonic jet noise. First, concordance has been shown between a T-7A-installed GE F404 engine’s sound power and classical jet noise theory in both the subsonic and supersonic regimes [M. A. Christian et al., JASA Express Lett. 3, 073601 (2023)]. The results indicate approximate agreement between the “eighth-power” law for subsonic engine conditions and the “third-power” law for supersonic engine conditions, with a radiation efficiency of ∼0.5–0.6% at afterburner. However, a sudden jump in radiation efficiency in the jet’s transonic region is not presently explained. Second, normalized far field-derived sound power spectra for the F404 do not agree well with a curve found in NASA SP-8072 (Eldred, 1971), likely indicating differences between the importance of different Strouhal number regimes in military jet and rocket noise and, possibly, different radiation phenomena. Third, the maximum directivity angle for overall level appears to be primarily driven by the convective Mach number associated with Kelvin–Helmholtz instability waves (M. A. Christian et al., AIAA Paper 2023-3351). Together, these recent findings represent improved understanding of full-scale tactical jet noise phenomena. [Work supported by ONR.]</w:t>
      </w:r>
    </w:p>
    <w:p>
      <w:pPr/>
      <w:r>
        <w:rPr>
          <w:b/>
        </w:rPr>
        <w:t>POSSIBLE 2023:</w:t>
      </w:r>
      <w:r>
        <w:t xml:space="preserve"> Neurobiology of Aggression—Review of Recent Findings and Relationship with Alcohol and Trauma — https://doi.org/10.3390/biology12030469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Aggression can be conceptualized as any behavior, physical or verbal, that involves attacking another person or animal with the intent of causing harm, pain or injury. Because of its high prevalence worldwide, aggression has remained a central clinical and public safety issue. Aggression can be caused by several risk factors, including biological and psychological, such as genetics and mental health disorders, and socioeconomic such as education, employment, financial status, and neighborhood. Research over the past few decades has also proposed a link between alcohol consumption and aggressive behaviors. Alcohol consumption can escalate aggressive behavior in humans, often leading to domestic violence or serious crimes. Converging lines of evidence have also shown that trauma and posttraumatic stress disorder (PTSD) could have a tremendous impact on behavior associated with both alcohol use problems and violence. However, although the link between trauma, alcohol, and aggression is well documented, the underlying neurobiological mechanisms and their impact on behavior have not been properly discussed. This article provides an overview of recent advances in understanding the translational neurobiological basis of aggression and its intricate links to alcoholism and trauma, focusing on behavior. It does so by shedding light from several perspectives, including in vivo imaging, g</w:t>
      </w:r>
    </w:p>
    <w:p>
      <w:pPr/>
      <w:r>
        <w:rPr>
          <w:b/>
        </w:rPr>
        <w:t>POSSIBLE 2023:</w:t>
      </w:r>
      <w:r>
        <w:t xml:space="preserve"> Recent Findings Related to Vocalization and Laryngeal Sensation — https://doi.org/10.5426/larynx.35.80</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Vocalization is controlled by the neuronal networks from the cerebral cortex to the medulla oblongata. The neuronal circuitry of vocalization is closely related to the respiratory neuronal network that controls respiration during vocalization. Laryngeal sensory inputs are transmitted as visceral afferent inputs, primarily to the nucleus tractus solitarius in the medulla oblongata via the internal branch of the superior laryngeal nerve. This signal is then transmitted to the medulla oblongata and cerebral cortex and may be involved in the modulation of vocal motor control as well as that of breathing and swallowing. Animal studies have shown that increasing or decreasing laryngeal sensory input affects the vocal motor patterns and voice quality. However, interferential current stimulation of the neck is a non-invasive method of increasing sensory inputs and is expected to have clinical applications. We encountered a 31-year-old female with hypofunctional dysphonia and a glottal chink during phonation. Interferential current stimulation was performed, and the glottal chink was immediately reduced. Interferential current stimulation of the larynx is a new therapeutic strategy for managing functional dysphonia.</w:t>
      </w:r>
    </w:p>
    <w:p>
      <w:pPr/>
      <w:r>
        <w:rPr>
          <w:b/>
        </w:rPr>
        <w:t>POSSIBLE 2023:</w:t>
      </w:r>
      <w:r>
        <w:t xml:space="preserve"> Ketogenic Diet and Breast Cancer: Recent Findings and Therapeutic Approaches — https://doi.org/10.3390/nu15204357</w:t>
      </w:r>
    </w:p>
    <w:p>
      <w:pPr/>
      <w:r>
        <w:rPr>
          <w:b/>
        </w:rPr>
        <w:t>Shared claim-specific concepts:</w:t>
      </w:r>
      <w:r>
        <w:t xml:space="preserve"> findings, recent, involving; EU scope not established. This is a provisional connection, not an outcome finding.</w:t>
      </w:r>
    </w:p>
    <w:p>
      <w:pPr>
        <w:pStyle w:val="SourceNote"/>
      </w:pPr>
      <w:r>
        <w:rPr>
          <w:b/>
        </w:rPr>
        <w:t>Available abstract (not full text):</w:t>
      </w:r>
      <w:r>
        <w:t xml:space="preserve"> Breast cancer (BC), a complex disease with several influencing factors, is significantly impacted by dietary habits. The ketogenic diet (KD), characterized by high fat and low carbohydrate intake, has gained attention as a potential therapeutic approach, but its effects on BC remain unclear. This review seeks to summarize the current knowledge on the principles of the KD, its metabolic influence on BC cells, and the findings of recent clinical trials, in order to elucidate the potential therapeutic role of the KD in BC management. For these purposes, a comprehensive literature review was conducted selecting preclinical and clinical studies that investigate the relationship between the KD and BC. The selection criteria prioritized studies exploring the KD's metabolic effects on BC cells and current clinical trials involving the KD in BC management. The reviewed studies provide a diverse range of findings, with some suggesting potential benefits of the KD in inhibiting tumor growth and improving treatment response. However, robust clinical trials providing clear evidence of the KD's efficacy as a standalone therapeutic approach in BC are still lacking. There are also significant concerns regarding the safety and long-term effects of sustained ketosis in cancer patients. The therapeutic potential of the KD in BC remains an area of active research and debate. While preliminary find</w:t>
      </w:r>
    </w:p>
    <w:p>
      <w:pPr>
        <w:pStyle w:val="Heading2"/>
      </w:pPr>
      <w:r>
        <w:t>496.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2024:</w:t>
      </w:r>
      <w:r>
        <w:t xml:space="preserve"> The possible future of electric road systems in Europe—time to decide and act — https://doi.org/10.1088/2634-4505/ad3576</w:t>
      </w:r>
    </w:p>
    <w:p>
      <w:pPr/>
      <w:r>
        <w:rPr>
          <w:b/>
        </w:rPr>
        <w:t>Shared claim-specific concepts:</w:t>
      </w:r>
      <w:r>
        <w:t xml:space="preserve"> time, possible, climate; EU scope visible. This is a provisional connection, not an outcome finding.</w:t>
      </w:r>
    </w:p>
    <w:p>
      <w:pPr>
        <w:pStyle w:val="SourceNote"/>
      </w:pPr>
      <w:r>
        <w:rPr>
          <w:b/>
        </w:rPr>
        <w:t>Available abstract (not full text):</w:t>
      </w:r>
      <w:r>
        <w:t xml:space="preserve"> Abstract Electrification of road transport is crucial to limit global warming. Battery electric vehicles with stationary charging infrastructure have received considerable attention in the scientific literature for both cars and trucks, while dynamic charging via electric road systems (ERS) has received much less attention and their future role in low-carbon road transport is uncertain. Here, we envision three potential scenarios for the future of ERS in European low-carbon transport. We sketch a potential European ERS network and discuss the political, technological, and market steps needed to realize these. We argue that existing field trials, tests, and research projects have collected sufficient evidence to make the next step: Decide and act. Decision-makers will never have perfect information about all aspects of ERS or competing technologies, but the urgency of the climate crisis requires a commitment one way or the other. A clear decision with respect to ERS would send a clear directive and would help focus time, effort, and money on the necessary infrastructure and policies to implement ambitious GHG abatement targets in road transport.</w:t>
      </w:r>
    </w:p>
    <w:p>
      <w:pPr/>
      <w:r>
        <w:rPr>
          <w:b/>
        </w:rPr>
        <w:t>POSSIBLE 2023:</w:t>
      </w:r>
      <w:r>
        <w:t xml:space="preserve"> Possible changes over time: poverty among migrants in the European Union — https://doi.org/10.1080/1331677x.2023.2264377</w:t>
      </w:r>
    </w:p>
    <w:p>
      <w:pPr/>
      <w:r>
        <w:rPr>
          <w:b/>
        </w:rPr>
        <w:t>Shared claim-specific concepts:</w:t>
      </w:r>
      <w:r>
        <w:t xml:space="preserve"> time, possible, increase, reduce; EU scope visible. This is a provisional connection, not an outcome finding.</w:t>
      </w:r>
    </w:p>
    <w:p>
      <w:pPr>
        <w:pStyle w:val="SourceNote"/>
      </w:pPr>
      <w:r>
        <w:rPr>
          <w:b/>
        </w:rPr>
        <w:t>Available abstract (not full text):</w:t>
      </w:r>
      <w:r>
        <w:t xml:space="preserve"> Over the past decade, the countries of the European Union have faced an increase in immigration flows from less developed and politically stable countries. The movement of migrants created new socio-economic challenges that affected their well-being. Thus, it is fair to ask: what influences the income level of migrants? The aim of the article is to study the influence of the selected determinants on the probability of poverty among migrants in the European Union. Using EU-SILC data for 2014 and 2018, we also explore possible changes in the strength of the determinants of poverty, depending on the pre-crisis and post-crisis periods associated with an increase in immigration. We report that immigrant status expressed by the birth outside the EU or holding other than EU citizenship increases the likelihood of being poor. The applied logistic model show that migrant poverty is associated with the level of education achieved, marital status, occupation, and housing ownership. Using macroeconomic variables, we find that the ratio of migrants to population, population size, and social-democratic welfare regime reduce the likelihood of poverty among migrants.</w:t>
      </w:r>
    </w:p>
    <w:p>
      <w:pPr/>
      <w:r>
        <w:rPr>
          <w:b/>
        </w:rPr>
        <w:t>POSSIBLE 2023:</w:t>
      </w:r>
      <w:r>
        <w:t xml:space="preserve"> First Expert Elicitation of Knowledge on Possible Drivers of Observed Increasing Human Cases of Tick-Borne Encephalitis in Europe — https://doi.org/10.3390/v15030791</w:t>
      </w:r>
    </w:p>
    <w:p>
      <w:pPr/>
      <w:r>
        <w:rPr>
          <w:b/>
        </w:rPr>
        <w:t>Shared claim-specific concepts:</w:t>
      </w:r>
      <w:r>
        <w:t xml:space="preserve"> possible, temperature, increase; EU scope visible. This is a provisional connection, not an outcome finding.</w:t>
      </w:r>
    </w:p>
    <w:p>
      <w:pPr>
        <w:pStyle w:val="SourceNote"/>
      </w:pPr>
      <w:r>
        <w:rPr>
          <w:b/>
        </w:rPr>
        <w:t>Available abstract (not full text):</w:t>
      </w:r>
      <w:r>
        <w:t xml:space="preserve"> Tick-borne encephalitis (TBE) is a viral disease endemic in Eurasia. The virus is mainly transmitted to humans via ticks and occasionally via the consumption of unpasteurized milk products. The European Centre for Disease Prevention and Control reported an increase in TBE incidence over the past years in Europe as well as the emergence of the disease in new areas. To better understand this phenomenon, we investigated the drivers of TBE emergence and increase in incidence in humans through an expert knowledge elicitation. We listed 59 possible drivers grouped in eight domains and elicited forty European experts to: (i) allocate a score per driver, (ii) weight this score within each domain, and (iii) weight the different domains and attribute an uncertainty level per domain. An overall weighted score per driver was calculated, and drivers with comparable scores were grouped into three terminal nodes using a regression tree analysis. The drivers with the highest scores were: (i) changes in human behavior/activities; (ii) changes in eating habits or consumer demand; (iii) changes in the landscape; (iv) influence of humidity on the survival and transmission of the pathogen; (v) difficulty to control reservoir(s) and/or vector(s); (vi) influence of temperature on virus survival and transmission; (vii) number of wildlife compartments/groups acting as reservoirs or amplifying hosts; (v</w:t>
      </w:r>
    </w:p>
    <w:p>
      <w:pPr>
        <w:pStyle w:val="Heading2"/>
      </w:pPr>
      <w:r>
        <w:t>497.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498.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pStyle w:val="Heading2"/>
      </w:pPr>
      <w:r>
        <w:t>499.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2024:</w:t>
      </w:r>
      <w:r>
        <w:t xml:space="preserve"> PRENATAL GENETIC STUDY OF THE MAIN ALTERATIONS FOUND IN THE CITY OF GOIÂNIA - GOIÁS — https://doi.org/10.22533/at.ed.1594362410049</w:t>
      </w:r>
    </w:p>
    <w:p>
      <w:pPr/>
      <w:r>
        <w:rPr>
          <w:b/>
        </w:rPr>
        <w:t>Shared claim-specific concepts:</w:t>
      </w:r>
      <w:r>
        <w:t xml:space="preserve"> found, main; EU scope not established. This is a provisional connection, not an outcome finding.</w:t>
      </w:r>
    </w:p>
    <w:p>
      <w:pPr>
        <w:pStyle w:val="SourceNote"/>
      </w:pPr>
      <w:r>
        <w:rPr>
          <w:b/>
        </w:rPr>
        <w:t>Available abstract (not full text):</w:t>
      </w:r>
      <w:r>
        <w:t xml:space="preserve"> Introduction: The first prenatal screening test was introduced in the 1970s: a single second trimester serum test for maternal serum alpha-fetoprotein, a marker of neural tube defects.Screening for aneuploidy using maternal serum markers was introduced in the 1980s, and the number and complexity of screening tests offered has been on an upward trajectory since then.Prenatal genetic screening is used to assess whether there is an increased risk of the fetus being affected by a genetic disorder.Objective: To evaluate the main alterations found in prenatal genetic studies.Methods: This is a cross-sectional, analytical, descriptive epidemiological study that will be carried out at the malformation outpatient clinic of Clínica Fértile with the findings of the last 4 years.Results: We found 73 results with fetal anomalies with a mean maternal age of 32, ranging from 16 years to 45 years.The main indication was due to increased NT with 34 (46.9%) of the cases, amniocentesis was the main test of choice 65 (89%), the age of highest incidence of changes were with maternal age below 35 years in 46 (63%) of the cases.The main alteration found was Trisomy 18, 24 (32.9%)followed by Trisomy 21 23 (31.5%), in women under 35 years the main alteration was Trisomy 18 in 18 (39, 1%) and in women over 35 years old, the main alteration was Trisomy 21, 14 (51.9%).Conclusion: In the studied group, the</w:t>
      </w:r>
    </w:p>
    <w:p>
      <w:pPr/>
      <w:r>
        <w:rPr>
          <w:b/>
        </w:rPr>
        <w:t>POSSIBLE 2023:</w:t>
      </w:r>
      <w:r>
        <w:t xml:space="preserve"> The integration of Lean Six Sigma in the industry: the main difficulties found according to the Integrative Literature Review and the application of opportunities and improvements to optimize results — https://openalex.org/W7155457411</w:t>
      </w:r>
    </w:p>
    <w:p>
      <w:pPr/>
      <w:r>
        <w:rPr>
          <w:b/>
        </w:rPr>
        <w:t>Shared claim-specific concepts:</w:t>
      </w:r>
      <w:r>
        <w:t xml:space="preserve"> found, main, lack, necessary; EU scope not established. This is a provisional connection, not an outcome finding.</w:t>
      </w:r>
    </w:p>
    <w:p>
      <w:pPr>
        <w:pStyle w:val="SourceNote"/>
      </w:pPr>
      <w:r>
        <w:rPr>
          <w:b/>
        </w:rPr>
        <w:t>Available abstract (not full text):</w:t>
      </w:r>
      <w:r>
        <w:t xml:space="preserve"> When considering the constant evolution of the Industry's procedures, standards and production, it is necessary to pay attention to the strategies that allow listing the gain in values with the reduction of waste, improving quality and productivity. Thus, in seeking to eliminate defects as much as possible, emphasis is placed on the Lean Six Sigma (LSS) methodology, which encompasses quantitative management strategies to increase and enhance these gains. In this context, the general objective of this work was to list possibilities for improvements to difficulties pointed out in the literature with regard to the integrated implementation of the LSS. To this end, a qualitative study with an Integrative Literature Review was used to synthesize findings on the main difficulties for the implementation of LSS in Industry, based on articles published between 20182023, also using Research Prism Figure. The results pointed to 10 articles that allowed the grouping of these difficulties into 7 thematic units: lack of technical training of professionals, communication and relationship failures, disregarding customer opinions and feedback, poorly designed and managed projects, waste of materials, equipment and materials of low quality and the need for Constant calibration of machines and equipment. From this data collection, it was possible to list the importance of seeking solutions for ea</w:t>
      </w:r>
    </w:p>
    <w:p>
      <w:pPr/>
      <w:r>
        <w:rPr>
          <w:b/>
        </w:rPr>
        <w:t>POSSIBLE 2023:</w:t>
      </w:r>
      <w:r>
        <w:t xml:space="preserve"> Examples Concerning the Main Result — https://doi.org/10.1007/978-3-031-27704-7_11</w:t>
      </w:r>
    </w:p>
    <w:p>
      <w:pPr/>
      <w:r>
        <w:rPr>
          <w:b/>
        </w:rPr>
        <w:t>Shared claim-specific concepts:</w:t>
      </w:r>
      <w:r>
        <w:t xml:space="preserve"> result, main, apply, necessary; EU scope not established. This is a provisional connection, not an outcome finding.</w:t>
      </w:r>
    </w:p>
    <w:p>
      <w:pPr>
        <w:pStyle w:val="SourceNote"/>
      </w:pPr>
      <w:r>
        <w:rPr>
          <w:b/>
        </w:rPr>
        <w:t>Available abstract (not full text):</w:t>
      </w:r>
      <w:r>
        <w:t xml:space="preserve"> Abstract We study whether it is possible to apply twisted Laplace spectra (and, if so, how many are necessary) to deduce isometry of some well-known examples of isospectral manifolds in the literature, due to Schüth (simply connected manifolds), Ikeda (lens spaces), Vignéras/Linowitz and Voight (arithmetic surfaces), Milnor (lattice examples), Doyle and Rossetti (Tetra and Didi), Sunada (based on group-theoretical examples from Gerst, Gaßmann and Komatsu), Brooks and Tse (surfaces of small genus, Riemann surfaces of small genus), Barden and Kang (surfaces of genus two), and Miatello and Rossetti (flat manifolds isospectral for all twists by linear characters).</w:t>
      </w:r>
    </w:p>
    <w:p>
      <w:pPr/>
      <w:r>
        <w:rPr>
          <w:b/>
        </w:rPr>
        <w:t>POSSIBLE 2023:</w:t>
      </w:r>
      <w:r>
        <w:t xml:space="preserve"> Gold-Mining Offices of Siberia in 1923–1925: Main Results of Activity — https://doi.org/10.31518/2618-9100-2023-1-15</w:t>
      </w:r>
    </w:p>
    <w:p>
      <w:pPr/>
      <w:r>
        <w:rPr>
          <w:b/>
        </w:rPr>
        <w:t>Shared claim-specific concepts:</w:t>
      </w:r>
      <w:r>
        <w:t xml:space="preserve"> found, main, time; EU scope not established. This is a provisional connection, not an outcome finding.</w:t>
      </w:r>
    </w:p>
    <w:p>
      <w:pPr>
        <w:pStyle w:val="SourceNote"/>
      </w:pPr>
      <w:r>
        <w:rPr>
          <w:b/>
        </w:rPr>
        <w:t>Available abstract (not full text):</w:t>
      </w:r>
      <w:r>
        <w:t xml:space="preserve"> The main purpose of the article is to analyze the activities of four gold-mining offices in Siberia for the entire period of their existence (1923)(1924)(1925), to determine their role and significance in Siberian gold mining.The relevance of the research is determined by the fact that significant gaps in the historiography of the industrial development of Siberia of the 1920s are filled, the experience of organizational work and the main results of the activities of small-scale gold industry units in the conditions of the new economic policy are studied.The author used historical-genetic, historical-comparative, concrete-historical methods.The methodological basis of the research is a region-oriented approach developed within the framework of modernization theory.In the course of the study, it was established that the Altai, Irkutsk, Krasnoyarsk and Tomsk gold-mining offices were organized by the Siberian authorities under the general leadership of Sibprombyuro to involve a huge mass of remote mines in the operation.These divisions gave organizational stability to mining operations in their areas of activity and consistently implemented a course of transition from buying gold to organizing prospecting works.At the same time, gold-mining offices failed to satisfactorily resolve a number of acute problems: to ensure their own self-sufficiency, organize geological exploration, me</w:t>
      </w:r>
    </w:p>
    <w:p>
      <w:pPr>
        <w:pStyle w:val="Heading2"/>
      </w:pPr>
      <w:r>
        <w:t>500.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multidimensional, age, educational, attainment;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Monitoring socioeconomic readiness for the demographic transition: Introducing the Senior Economy Tracker — https://doi.org/10.1016/j.strueco.2024.08.007</w:t>
      </w:r>
    </w:p>
    <w:p>
      <w:pPr/>
      <w:r>
        <w:rPr>
          <w:b/>
        </w:rPr>
        <w:t>Shared claim-specific concepts:</w:t>
      </w:r>
      <w:r>
        <w:t xml:space="preserve"> multidimensional, demographic; EU scope visible. This is a provisional connection, not an outcome finding.</w:t>
      </w:r>
    </w:p>
    <w:p>
      <w:pPr>
        <w:pStyle w:val="SourceNote"/>
      </w:pPr>
      <w:r>
        <w:rPr>
          <w:b/>
        </w:rPr>
        <w:t>Available abstract (not full text):</w:t>
      </w:r>
      <w:r>
        <w:t xml:space="preserve"> Aging constitutes the dominant demographic challenge globally. The demographic transition entails a paradigm shift in the economic model to accommodate economic structures to life-expectancy gains. The socioeconomic implications from this transition remain largely undefined conceptually from an integrated perspective and unrecognized in official statistics. This study introduces a multidimensional and multi-actor reference framework, and a composite indicator, the Senior Economy Tracker (SET), to measure national readiness and progress in adapting to the demographic transition, over time and across countries. We apply our indicator to 27 European countries in 2010-2021. Our study reveals crucial differences in pathways and stages of maturity in addressing the socioeconomic impacts of aging. The proposed indicator aims to guide action to adapt economic structures to longer life spans, assist organizational and individual decision making, facilitate the development of effective policy interventions and raise awareness of the demographic transition.</w:t>
      </w:r>
    </w:p>
    <w:p>
      <w:pPr/>
      <w:r>
        <w:rPr>
          <w:b/>
        </w:rPr>
        <w:t>POSSIBLE 2024:</w:t>
      </w:r>
      <w:r>
        <w:t xml:space="preserve"> Multidimensional comparative analysis of the number of students in Poland with the view to the demographic crisis and its impact on social security — https://doi.org/10.13166/jms/199491</w:t>
      </w:r>
    </w:p>
    <w:p>
      <w:pPr/>
      <w:r>
        <w:rPr>
          <w:b/>
        </w:rPr>
        <w:t>Shared claim-specific concepts:</w:t>
      </w:r>
      <w:r>
        <w:t xml:space="preserve"> multidimensional, demographic, compared, age, educational; EU scope visible. This is a provisional connection, not an outcome finding.</w:t>
      </w:r>
    </w:p>
    <w:p>
      <w:pPr>
        <w:pStyle w:val="SourceNote"/>
      </w:pPr>
      <w:r>
        <w:rPr>
          <w:b/>
        </w:rPr>
        <w:t>Available abstract (not full text):</w:t>
      </w:r>
      <w:r>
        <w:t xml:space="preserve"> Objectives The article presents the original multidimensional comparative analysis of the number of students in terms of their population in Poland with the view to the demographic crisis and its impact on the acceptable level of social security. The demographic low in Poland is one of the largest in the European Union and the largest after the Second World War. Material and methods The research would be based mainly on the analysis of available studies and materials enabling the review and organization of information concerning the demographic crisis, the transformation of the family model and the reorganization of the education system. Primary research focused on statistical analyzes of total fertility rate, including births and deaths, marriages and divorces, and the number of children in educational institutions. Results Primary data on the number of students were grouped into voivodeships, school types and compared with the population in particular age groups. Additionally, the human population was divided into two groups of dependent variables: the number of people in cities and rural areas - men and women in particular age groups. The lack of a symmetrical distribution between the number of women and men in Poland is particularly visible in the group over 62 years of age. Conclusions The visible decline in the number of students in particular age groups from 0 to 19 year</w:t>
      </w:r>
    </w:p>
    <w:p>
      <w:pPr/>
      <w:r>
        <w:rPr>
          <w:b/>
        </w:rPr>
        <w:t>POSSIBLE 2023:</w:t>
      </w:r>
      <w:r>
        <w:t xml:space="preserve"> Demographics, Land lease and Multidimensional Poverty Alleviation — https://doi.org/10.21203/rs.3.rs-3461329/v1</w:t>
      </w:r>
    </w:p>
    <w:p>
      <w:pPr/>
      <w:r>
        <w:rPr>
          <w:b/>
        </w:rPr>
        <w:t>Shared claim-specific concepts:</w:t>
      </w:r>
      <w:r>
        <w:t xml:space="preserve"> multidimensional, demographic; EU scope not established. This is a provisional connection, not an outcome finding.</w:t>
      </w:r>
    </w:p>
    <w:p>
      <w:pPr>
        <w:pStyle w:val="SourceNote"/>
      </w:pPr>
      <w:r>
        <w:rPr>
          <w:b/>
        </w:rPr>
        <w:t>Available abstract (not full text):</w:t>
      </w:r>
      <w:r>
        <w:t xml:space="preserve"> Abstract In the context of the focus of poverty governance in China shifting from eradicating absolute poverty to alleviating multidimensional poverty after comprehensive poverty eradication, this paper incorporates demographic aging, demographic feminization, and Land lease into the analytical framework based on the demographic perspective. Based on the 2018 China Family Panel Studies (CFPS) sample survey data of 5,760 farm households, the impact of demographic structure on multidimensional poverty alleviation is empirically analyzed using the least squares (OLS) model. Attention is also paid to the heterogeneity of different regions and incomes on the alleviation of multidimensional poverty, and the logit model is applied to test it. The conclusions of the study are as follows: (1) Demographic aging has a significant negative effect on multidimensional poverty alleviation. Demographic feminization has a significant positive effect on multidimensional poverty alleviation. (2) Demographic aging has a significant contribution to Land lease and helps alleviate multidimensional poverty. (3) Demographic aging has a significant negative effect on multidimensional poverty alleviation in the eastern region, and demographic feminization has a significant positive effect on multidimensional poverty alleviation in the central region. (4) Demographic aging has a significant negative effec</w:t>
      </w:r>
    </w:p>
    <w:p>
      <w:pPr/>
      <w:r>
        <w:rPr>
          <w:b/>
        </w:rPr>
        <w:t>POSSIBLE 2023:</w:t>
      </w:r>
      <w:r>
        <w:t xml:space="preserve"> The impact of ICT and robots on labour market outcomes of demographic groups in Europe — https://doi.org/10.1016/j.labeco.2023.102481</w:t>
      </w:r>
    </w:p>
    <w:p>
      <w:pPr/>
      <w:r>
        <w:rPr>
          <w:b/>
        </w:rPr>
        <w:t>Shared claim-specific concepts:</w:t>
      </w:r>
      <w:r>
        <w:t xml:space="preserve"> demographic, labour; EU scope visible. This is a provisional connection, not an outcome finding.</w:t>
      </w:r>
    </w:p>
    <w:p>
      <w:pPr>
        <w:pStyle w:val="SourceNote"/>
      </w:pPr>
      <w:r>
        <w:rPr>
          <w:b/>
        </w:rPr>
        <w:t>Available abstract (not full text):</w:t>
      </w:r>
      <w:r>
        <w:t xml:space="preserve"> Unavailable</w:t>
      </w:r>
    </w:p>
    <w:p>
      <w:pPr>
        <w:pStyle w:val="Heading2"/>
      </w:pPr>
      <w:r>
        <w:t>501.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2023:</w:t>
      </w:r>
      <w:r>
        <w:t xml:space="preserve"> Integration of migrant and refugee data in health information systems in Europe: advancing evidence, policy and practice — https://doi.org/10.1016/j.lanepe.2023.100744</w:t>
      </w:r>
    </w:p>
    <w:p>
      <w:pPr/>
      <w:r>
        <w:rPr>
          <w:b/>
        </w:rPr>
        <w:t>Shared claim-specific concepts:</w:t>
      </w:r>
      <w:r>
        <w:t xml:space="preserve"> about, not, methods, management, based; EU scope visible. This is a provisional connection, not an outcome finding.</w:t>
      </w:r>
    </w:p>
    <w:p>
      <w:pPr>
        <w:pStyle w:val="SourceNote"/>
      </w:pPr>
      <w:r>
        <w:rPr>
          <w:b/>
        </w:rPr>
        <w:t>Available abstract (not full text):</w:t>
      </w:r>
      <w:r>
        <w:t xml:space="preserve">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pStyle w:val="Heading2"/>
      </w:pPr>
      <w:r>
        <w:t>502.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r>
        <w:rPr>
          <w:b/>
        </w:rPr>
        <w:t>POSSIBLE 2025:</w:t>
      </w:r>
      <w:r>
        <w:t xml:space="preserve"> Antibiotic Use in Livestock Production and Progress Made with Regulations in Europe and Africa: Implications for Illness Prevention and Health Promotion — https://doi.org/10.1007/978-981-97-0821-5_104-1</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pPr/>
      <w:r>
        <w:rPr>
          <w:b/>
        </w:rPr>
        <w:t>POSSIBLE 2024:</w:t>
      </w:r>
      <w:r>
        <w:t xml:space="preserve"> The urgency of hydrogen: environmental issues and the need for change — https://doi.org/10.55670/fpll.fusus.2.2.5</w:t>
      </w:r>
    </w:p>
    <w:p>
      <w:pPr/>
      <w:r>
        <w:rPr>
          <w:b/>
        </w:rPr>
        <w:t>Shared claim-specific concepts:</w:t>
      </w:r>
      <w:r>
        <w:t xml:space="preserve"> need, climate, decarbonization; EU scope not established. This is a provisional connection, not an outcome finding.</w:t>
      </w:r>
    </w:p>
    <w:p>
      <w:pPr>
        <w:pStyle w:val="SourceNote"/>
      </w:pPr>
      <w:r>
        <w:rPr>
          <w:b/>
        </w:rPr>
        <w:t>Available abstract (not full text):</w:t>
      </w:r>
      <w:r>
        <w:t xml:space="preserve"> While hydrogen adoption is progressing in different industries, challenges remain. The availability of a well-developed hydrogen infrastructure, including production, storage, and distribution, is a prerequisite for broader adoption. Additionally, cost reduction through technological advancements and economies of scale is essential to make hydrogen competitive with existing energy sources. Collaborative efforts between industry, governments, and research institutions are necessary to address these challenges. Hydrogen has the potential to play a significant role in achieving decarbonization goals and transitioning to a sustainable energy future. By completely changing to a hydrogen model, the rise in global temperatures would start to revert to a normal stage after multiple years. In light of these considerations, this article aims to comprehensively review the imperative need to transition to hydrogen fuel as a pivotal component of our sustainable energy future. Furthermore, it seeks to scrutinize and dissect the unique challenges that different regions across the globe face in embracing hydrogen as a clean energy solution. By shedding light on these challenges and emphasizing the collaborative efforts required between industry, governments, and research institutions, this article aims to contribute to the discourse on harnessing hydrogen's potential to combat climate change a</w:t>
      </w:r>
    </w:p>
    <w:p>
      <w:pPr/>
      <w:r>
        <w:rPr>
          <w:b/>
        </w:rPr>
        <w:t>POSSIBLE 2024:</w:t>
      </w:r>
      <w:r>
        <w:t xml:space="preserve"> We urgently need data for equitable personalized medicine — https://doi.org/10.1146/knowable-011724-1</w:t>
      </w:r>
    </w:p>
    <w:p>
      <w:pPr/>
      <w:r>
        <w:rPr>
          <w:b/>
        </w:rPr>
        <w:t>Shared claim-specific concepts:</w:t>
      </w:r>
      <w:r>
        <w:t xml:space="preserve"> need, information, focusing; EU scope visible. This is a provisional connection, not an outcome finding.</w:t>
      </w:r>
    </w:p>
    <w:p>
      <w:pPr>
        <w:pStyle w:val="SourceNote"/>
      </w:pPr>
      <w:r>
        <w:rPr>
          <w:b/>
        </w:rPr>
        <w:t>Available abstract (not full text):</w:t>
      </w:r>
      <w:r>
        <w:t xml:space="preserve"> Warfarin is a powerful blood thinner and a leading drug for cardiovascular disease worldwide. But in South Africa, it is among the top four drug varieties leading to hospitalization from adverse drug reactions. It’s reasonable to suppose that the drug has similar problematic effects farther across sub-Saharan Africa, though the national data needed to show it are lacking.The fact that warfarin is riskier in some populations than others isn’t a surprise. Different geographic regions tend to host people with slightly different genetic makeups, and sometimes those genetic differences lead to radically different reactions to drugs. For certain people, a higher dosage of warfarin is fine; for others, it’s dangerous. Researchers have known this for decades.The problem is that the majority of medical research, including genetic research, is still done mainly on one subset of the world’s population: men of Northern European origin. This means that negative drug-gene interactions in other, less well-studied populations can fly beneath the radar. In the case of warfarin, one study concluded that using someone’s genetic information to help guide their drug dosing would benefit 18 percent to 24 percent of people categorized as white, but have no benefit for people identified as Black, Chinese or Japanese. YOU MAY ALSO LIKE Health &amp; Disease Genes and heart disease: Finally making the link H</w:t>
      </w:r>
    </w:p>
    <w:p>
      <w:pPr>
        <w:pStyle w:val="Heading2"/>
      </w:pPr>
      <w:r>
        <w:t>503.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Review on organ-on-chips for medicines safety assessment: A European regulatory perspective — https://doi.org/10.14573/altex.2502061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Capability Development in the European Medicines Regulatory Network—A European Learning Needs Analysis and Survey Study — https://doi.org/10.1002/cpt.70158</w:t>
      </w:r>
    </w:p>
    <w:p>
      <w:pPr/>
      <w:r>
        <w:rPr>
          <w:b/>
        </w:rPr>
        <w:t>Shared claim-specific concepts:</w:t>
      </w:r>
      <w:r>
        <w:t xml:space="preserve"> medicines, agency, technological, medicinal, products, challenges; EU scope visible. This is a provisional connection, not an outcome finding.</w:t>
      </w:r>
    </w:p>
    <w:p>
      <w:pPr>
        <w:pStyle w:val="SourceNote"/>
      </w:pPr>
      <w:r>
        <w:rPr>
          <w:b/>
        </w:rPr>
        <w:t>Available abstract (not full text):</w:t>
      </w:r>
      <w:r>
        <w:t xml:space="preserve">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pPr/>
      <w:r>
        <w:rPr>
          <w:b/>
        </w:rPr>
        <w:t>POSSIBLE 2025:</w:t>
      </w:r>
      <w:r>
        <w:t xml:space="preserve"> Review on organ-on-chips for medicines safety assessment: A European regulatory perspective_suppl1 — https://doi.org/10.14573/altex.2502061s1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2024:</w:t>
      </w:r>
      <w:r>
        <w:t xml:space="preserve"> The life cycle of vaccines evaluated by the European Medicines Agency — https://doi.org/10.1016/j.vaccine.2024.126186</w:t>
      </w:r>
    </w:p>
    <w:p>
      <w:pPr/>
      <w:r>
        <w:rPr>
          <w:b/>
        </w:rPr>
        <w:t>Shared claim-specific concepts:</w:t>
      </w:r>
      <w:r>
        <w:t xml:space="preserve"> medicines, agency, products, challenges, adoption; EU scope visible. This is a provisional connection, not an outcome finding.</w:t>
      </w:r>
    </w:p>
    <w:p>
      <w:pPr>
        <w:pStyle w:val="SourceNote"/>
      </w:pPr>
      <w:r>
        <w:rPr>
          <w:b/>
        </w:rPr>
        <w:t>Available abstract (not full text):</w:t>
      </w:r>
      <w:r>
        <w:t xml:space="preserve"> BACKGROUND: vaccines are complex products used in healthy populations. They should be carefully regulated, and benefits should clearly outweigh risks. OBJECTIVES: To describe the evidence used to support benefit-risk evaluations of vaccines centrally assessed by the European Medicines Agency (EMA), and to identify if real-world data (RWD) was used throughout the vaccine life cycle. METHODS: Cohort study of vaccines approved in the European Union. Inclusion criteria comprised having ATC code J07 and being centrally approved between 2012 and 2022. We collected data from regulatory documents, study protocols, and, when necessary, from scientific publications. Vaccines were followed from initial approval up to March 2023. RESULTS: We included 31 vaccines addressing 17 therapeutic areas. More than 390 studies were used in the process of initial marketing authorisation (MA) and monitoring, and 174 studies were listed in initial risk management plans. We also identified 93 studies in the EU PAS register. At MA, all vaccines had at least one pivotal trial and 27 vaccines had at least one supportive study. Most pivotal trials were randomized, double-blinded and active-controlled, with immunogenicity endpoints as primary outcome. RWD was used for extension of indications and monitoring of at least 4 vaccines, and the undertaking of RWE studies was foreseen in the RMP of at least 17 vacci</w:t>
      </w:r>
    </w:p>
    <w:p>
      <w:pPr/>
      <w:r>
        <w:rPr>
          <w:b/>
        </w:rPr>
        <w:t>POSSIBLE 2023:</w:t>
      </w:r>
      <w:r>
        <w:t xml:space="preserve"> Real world evidence: Perspectives from a European Society of Cardiology Cardiovascular Round Table with contribution from the European Medicines Agency — https://doi.org/10.1093/ehjqcco/qcad009</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Real world data (RWD) refers to healthcare information that is routinely collected in electronic healthcare records (EHR), hospital and pharmacy records, patient and disease registries, and health insurance databases. The collection and analysis of this vast amount of data is an important complement to that obtained from conventional randomised controlled trials (RCT). Real world data has been used for healthcare quality improvements, to conduct clinical trials, to support drug and device development, and to inform medical guidelines. The utility of RWD may be facilitated by common data models, which standardise format and content, and allow data from different health systems to be analysed together. The European Society of Cardiology (ESC) supports the use of RWD in collaboration with national cardiac societies, regulatory authorities, and industry to encourage continuous quality of care improvements at the hospital and country level, to conduct registry-based randomised clinical trials (R-RCT) and to facilitate safety surveillance of novel drugs and devices. The European Medicines Agency (EMA) is developing systems and processes to enable the use of RWD that can help in trial planning, defining clinical contexts, and enhancing outcome assessments. RWD can also contribute to the measurement of the impact of regulatory actions, such as contraindications or restriction of indica</w:t>
      </w:r>
    </w:p>
    <w:p>
      <w:pPr/>
      <w:r>
        <w:rPr>
          <w:b/>
        </w:rPr>
        <w:t>POSSIBLE 2023:</w:t>
      </w:r>
      <w:r>
        <w:t xml:space="preserve"> The European Medicines Agency assessment of mavacamten as treatment of symptomatic obstructive hypertrophic cardiomyopathy in adult patients — https://doi.org/10.1093/eurheartj/ehad429</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Obstructive hypertrophic cardiomyopathy (oHCM) affects approximately 1.6 per 10 000 inhabitants of the European Union (EU).1 Currently, there are no approved disease-specific or sarcomere-targeted therapies for oHCM. On 30 September 2021, Bristol-Myers Squibb Pharma EEIG applied for an initial marketing authorisation via the European Medicines Agency (EMA) centralised procedure for mavacamten (Camzyos®) for the treatment of symptomatic (New York Heart Association, NYHA, class II-III) oHCM in adult patients. The review was conducted by EMA’s Committee for Medicinal Products for Human Use (CHMP), and a positive opinion was issued on 26 April, 2023, this being the first EU approval of a cardiac myosin inhibitor. Mavacamten is a modulator of beta-cardiac myosin that reversibly inhibits its binding to actin, diminishing sarcomere force output to reduce myocardial contractility and improve ventricular compliance. It is available in capsules containing 2.5, 5, 10, or 15 mg. Mavacamten is mainly metabolised by CYP2C19, and elimination half-life strongly depends on the CYP2C19 phenotype, ranging from 72 to 533 h. Cytochrome P450 CYP2C19 genotype should therefore be determined. Having two loss-of-function alleles (*2/*2, *2/*3, *3/*3) results in a Poor Metaboliser phenotype, which has a frequency of slightly over 2% in the European population and up to 18% in the Asian population.2 The r</w:t>
      </w:r>
    </w:p>
    <w:p>
      <w:pPr>
        <w:pStyle w:val="Heading2"/>
      </w:pPr>
      <w:r>
        <w:t>504.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2025:</w:t>
      </w:r>
      <w:r>
        <w:t xml:space="preserve"> Unravelling potential plant health threats for the European Union: application of horizon scanning methodology — https://doi.org/10.5194/we-25-189-2025</w:t>
      </w:r>
    </w:p>
    <w:p>
      <w:pPr/>
      <w:r>
        <w:rPr>
          <w:b/>
        </w:rPr>
        <w:t>Shared claim-specific concepts:</w:t>
      </w:r>
      <w:r>
        <w:t xml:space="preserve"> horizon, actions, areas, efsa, preparedness, challenges; EU scope visible. This is a provisional connection, not an outcome finding.</w:t>
      </w:r>
    </w:p>
    <w:p>
      <w:pPr>
        <w:pStyle w:val="SourceNote"/>
      </w:pPr>
      <w:r>
        <w:rPr>
          <w:b/>
        </w:rPr>
        <w:t>Available abstract (not full text):</w:t>
      </w:r>
      <w:r>
        <w:t xml:space="preserve"> The European Food Safety Authority (EFSA) has been conducting horizon scanning (HS) activity in the field of plant health, in collaboration with the EC Joint Research Centre (JRC) and the French Agency for Food, Environmental and Occupational Health and Safety (ANSES), since 2017. As of 2024, this activity has produced 130 reports, named newsletters. The aim of this activity is to capture signals from the web about potential threats caused by plant pests from all around the world and to convey them to European Union risk managers in support of their preparedness and timely reactions. The tool used was the Medical Information System (MedISys), a public health surveillance system that continuously monitors the content of more than 3200 scientific and media sources worldwide. The items selected for inclusion in the monthly newsletters are reviewed and validated by a team of experts, while another team carries out further analysis on specific “not-listed” pests. This analysis, PeMoScoring (short for pest and monitoring scoring), is a fast procedure based on a ranking system that warns risk managers of the potential new threats by unknown or not-listed pests. These signals can then trigger actions by risk managers: requests for more assessments by EFSA or facilitation of preventive measures. Recently, a series of workshops and webinars have been organised to foster collaboration amo</w:t>
      </w:r>
    </w:p>
    <w:p>
      <w:pPr/>
      <w:r>
        <w:rPr>
          <w:b/>
        </w:rPr>
        <w:t>POSSIBLE 2025:</w:t>
      </w:r>
      <w:r>
        <w:t xml:space="preserve"> OP57 Introducing The New MedTech Innovation Scanning Techniques Framework: A Tool For Guiding Horizon Scanning Of MedTech Innovations — https://doi.org/10.1017/s0266462325101153</w:t>
      </w:r>
    </w:p>
    <w:p>
      <w:pPr/>
      <w:r>
        <w:rPr>
          <w:b/>
        </w:rPr>
        <w:t>Shared claim-specific concepts:</w:t>
      </w:r>
      <w:r>
        <w:t xml:space="preserve"> horizon, recommended, scanning, direction; EU scope visible. This is a provisional connection, not an outcome finding.</w:t>
      </w:r>
    </w:p>
    <w:p>
      <w:pPr>
        <w:pStyle w:val="SourceNote"/>
      </w:pPr>
      <w:r>
        <w:rPr>
          <w:b/>
        </w:rPr>
        <w:t>Available abstract (not full text):</w:t>
      </w:r>
      <w:r>
        <w:t xml:space="preserve"> Introduction Horizon scanning (HS) identifies future trends and weak signals, aiding timely healthcare decisions, but lacks a formal framework. The Innovation Observatory’s MedTech Horizon Scanning Techniques (MIST) framework integrates evidence synthesis, HS methods, and foresight approaches. MIST aligns scanning techniques with foresight stages and the technology development pipeline, offering a structured approach to detect emerging science and technology trends for healthcare advancements. Methods The MIST framework was developed iteratively, combining HS expertise with regulatory knowledge of medical devices. First, a MedTech development pathway was established with international HS agencies, providing a foundation. Second, the pathway was mapped against the regulatory milestones involved in medical technology development from ideation to post-marketing according to recent European legislation. Last, we overlaid the foresight “Three Horizons Model” with the development stages to produce a framework that combines different innovation stages with their regulatory requirements and maps sources of weak signal detection to the horizons where those sources are most likely to be relevant. Results Our MIST framework presents three horizons: emerging, transitional, and imminent. Each horizon maps to different technology readiness levels, life cycle stages, time periods, and regulat</w:t>
      </w:r>
    </w:p>
    <w:p>
      <w:pPr/>
      <w:r>
        <w:rPr>
          <w:b/>
        </w:rPr>
        <w:t>POSSIBLE 2025:</w:t>
      </w:r>
      <w:r>
        <w:t xml:space="preserve"> Invasive Alien Species Horizon Scanning in support of implementation of Regulation 1143/2014 — https://openalex.org/W7128121341</w:t>
      </w:r>
    </w:p>
    <w:p>
      <w:pPr/>
      <w:r>
        <w:rPr>
          <w:b/>
        </w:rPr>
        <w:t>Shared claim-specific concepts:</w:t>
      </w:r>
      <w:r>
        <w:t xml:space="preserve"> horizon, resulted, six, challenges, scanning, considered; EU scope visible. This is a provisional connection, not an outcome finding.</w:t>
      </w:r>
    </w:p>
    <w:p>
      <w:pPr>
        <w:pStyle w:val="SourceNote"/>
      </w:pPr>
      <w:r>
        <w:rPr>
          <w:b/>
        </w:rPr>
        <w:t>Available abstract (not full text):</w:t>
      </w:r>
      <w:r>
        <w:t xml:space="preserve"> At the core of Regulation (EU) 1143/2014 is a list of invasive alien species of Union concern. An EU-level horizon scanning for species that can be added to this list was undertaken, aiming to derive at least 100 species likely to arrive, establish, spread and have an impact on native biodiversity or ecosystem services over the next ten years. An updated methodology was put together, consisting of gathering species lists from global horizon scanning exercises and additional databases. These lists were refined, after which a rapid assessment of each species was undertaken, followed by consensus building to achieve a final list of prioritised species through an in-person workshop. This resulted in 165 species considered the most likely to enter or spread in the EU, with 57 of these presenting the highest threats to biodiversity. Possible challenges to listing species under the Regulation were identified and discussed, such as insufficient or uncertain data, management feasibility or resource constraints, and push back by different stakeholders. Finally, 49 genera and six families were identified as taxonomic groups where a high number of invasive species would call for additional policy measures to prevent their negative impact on European biodiversity.</w:t>
      </w:r>
    </w:p>
    <w:p>
      <w:pPr>
        <w:pStyle w:val="Heading2"/>
      </w:pPr>
      <w:r>
        <w:t>505.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2024:</w:t>
      </w:r>
      <w:r>
        <w:t xml:space="preserve"> Mesopelagic Fish Traits: Functions and Trade‐Offs — https://doi.org/10.1111/faf.12867</w:t>
      </w:r>
    </w:p>
    <w:p>
      <w:pPr/>
      <w:r>
        <w:rPr>
          <w:b/>
        </w:rPr>
        <w:t>Shared claim-specific concepts:</w:t>
      </w:r>
      <w:r>
        <w:t xml:space="preserve"> trade, offs, interactions, attention; EU scope not established. This is a provisional connection, not an outcome finding.</w:t>
      </w:r>
    </w:p>
    <w:p>
      <w:pPr>
        <w:pStyle w:val="SourceNote"/>
      </w:pPr>
      <w:r>
        <w:rPr>
          <w:b/>
        </w:rPr>
        <w:t>Available abstract (not full text):</w:t>
      </w:r>
      <w:r>
        <w:t xml:space="preserve"> ABSTRACT Fishes inhabiting the mesopelagic zone of the world's oceans are estimated to account for the majority of the world's fish biomass. They have recently attracted new attention because they are part of the biological carbon pump and have been reconsidered as a contribution to food security. Hence, there is an urgent need to understand how environmental conditions and species interactions shape their assemblages, and how they contribute to the functioning of marine ecosystems. Trait‐based approaches are valuable for addressing these types of questions. However, the biology and ecology of mesopelagic fishes are understudied compared to fishes in shallow and epipelagic waters. Here, we synthesise existing knowledge of traits of mesopelagic fishes and relate them to their role in survival, feeding and growth and reproduction, the key functions that contribute to fitness. Vertical migrations, specialised vision and the use of bioluminescence are among the most striking adaptations to the conditions in the mesopelagic realm. Many traits are interrelated as a result of trade‐offs, which may help to understand selection pressures. While morphological traits are straightforward to observe, major knowledge gaps exist for traits that require frequent sampling, assessment under experimental conditions or age determination. The unique adaptations of mesopelagic fishes need to be incl</w:t>
      </w:r>
    </w:p>
    <w:p>
      <w:pPr/>
      <w:r>
        <w:rPr>
          <w:b/>
        </w:rPr>
        <w:t>POSSIBLE 2024:</w:t>
      </w:r>
      <w:r>
        <w:t xml:space="preserve"> Cross‐border dimensions of Arctic climate change impacts and implications for Europe — https://doi.org/10.1002/wcc.905</w:t>
      </w:r>
    </w:p>
    <w:p>
      <w:pPr/>
      <w:r>
        <w:rPr>
          <w:b/>
        </w:rPr>
        <w:t>Shared claim-specific concepts:</w:t>
      </w:r>
      <w:r>
        <w:t xml:space="preserve"> trade, offs, between;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Beyond trade: The European Union - New Zealand Free Trade Agreement — https://doi.org/10.30722/anzjes.vol15.iss1.17363</w:t>
      </w:r>
    </w:p>
    <w:p>
      <w:pPr/>
      <w:r>
        <w:rPr>
          <w:b/>
        </w:rPr>
        <w:t>Shared claim-specific concepts:</w:t>
      </w:r>
      <w:r>
        <w:t xml:space="preserve"> evident, trade, agenda; EU scope visible. This is a provisional connection, not an outcome finding.</w:t>
      </w:r>
    </w:p>
    <w:p>
      <w:pPr>
        <w:pStyle w:val="SourceNote"/>
      </w:pPr>
      <w:r>
        <w:rPr>
          <w:b/>
        </w:rPr>
        <w:t>Available abstract (not full text):</w:t>
      </w:r>
      <w:r>
        <w:t xml:space="preserve"> The 2022 announcement of the European Union- New Zealand Free Trade Agreement was seminal for both sides. For New Zealand, the deal is projected to be worth up to an extra NZ$1.8 billion per annum by 2035. What is less evident is the motivation for securing the deal for Europe – New Zealand is only the EU’s 50th most important trading partner and accounts for 0.2% of its total trade. This article outlines three major benefits for the EU. Firstly, it symbolises that the EU’s neoliberal trading agenda is continuing in the face of perceived increased protectionism. Second, the deal includes a seminal clause of holding each partner to account in climate change responsibilities – a detail that should garner support from EU citizens. Finally, closer EU cooperation with New Zealand may add to the EU’s legitimacy in the Indo-Pacific.</w:t>
      </w:r>
    </w:p>
    <w:p>
      <w:pPr/>
      <w:r>
        <w:rPr>
          <w:b/>
        </w:rPr>
        <w:t>POSSIBLE 2023:</w:t>
      </w:r>
      <w:r>
        <w:t xml:space="preserve"> Is there a trade-off between productivity and employment? — https://doi.org/10.1787/99bede51-en</w:t>
      </w:r>
    </w:p>
    <w:p>
      <w:pPr/>
      <w:r>
        <w:rPr>
          <w:b/>
        </w:rPr>
        <w:t>Shared claim-specific concepts:</w:t>
      </w:r>
      <w:r>
        <w:t xml:space="preserve"> between, countries, progress; EU scope not established. This is a provisional connection, not an outcome finding.</w:t>
      </w:r>
    </w:p>
    <w:p>
      <w:pPr>
        <w:pStyle w:val="SourceNote"/>
      </w:pPr>
      <w:r>
        <w:rPr>
          <w:b/>
        </w:rPr>
        <w:t>Available abstract (not full text):</w:t>
      </w:r>
      <w:r>
        <w:t xml:space="preserve"> The impact of productivity on employment remains uncertain, particularly in light of growing concerns regarding potential negative effects of technological progress on labour demand. This report uses harmonised and comparable data from 13 countries spanning the last two decades to comprehensively analyse how productivity growth affects employment dynamics at various levels of aggregation. The study's findings highlight a positive correlation between productivity growth and employment as well as wage growth, both at the firm level and on a broader scale. This outcome arises from counteracting mechanisms and heterogeneous dynamics across different groups of firms. The findings have relevant policy implications: productivity is not just an isolated key economic objective, but well-designed and complementary policies can also help convert technological and organisational change into higher employment and wage growth.</w:t>
      </w:r>
    </w:p>
    <w:p>
      <w:pPr>
        <w:pStyle w:val="Heading2"/>
      </w:pPr>
      <w:r>
        <w:t>506.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2024:</w:t>
      </w:r>
      <w:r>
        <w:t xml:space="preserve"> Projection of the number of new lymphoma cases in the world — https://doi.org/10.1093/jjco/hyae147</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pPr/>
      <w:r>
        <w:rPr>
          <w:b/>
        </w:rPr>
        <w:t>POSSIBLE 2024:</w:t>
      </w:r>
      <w:r>
        <w:t xml:space="preserve"> Projection of the number of new cases of ovarian cancer in the world — https://doi.org/10.1093/jjco/hyad191</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estimated, number, cases, between;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Projection of the number of new brain and central nervous system cancer cases in the world — https://doi.org/10.1093/jjco/hyae165</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new brain and central nervous system cancer cases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the USA and Brazil (graph on the far left and second to the left) are to be interpreted with reference to the right Y-axis, by contrast with results for all other countries, given with reference to the left Y-axis of each graph. Figure 1 shows the trend in the estimated numbers of new brain and central nervous system cancer cases for males. In 2022, the largest number of new cases were found in China (42’398) followed by the USA (14 034) and Brazil (6381). Europe s</w:t>
      </w:r>
    </w:p>
    <w:p>
      <w:pPr/>
      <w:r>
        <w:rPr>
          <w:b/>
        </w:rPr>
        <w:t>POSSIBLE 2024:</w:t>
      </w:r>
      <w:r>
        <w:t xml:space="preserve"> Ammonia emission estimates using CrIS satellite observations over Europe — https://doi.org/10.5194/acp-24-10583-2024</w:t>
      </w:r>
    </w:p>
    <w:p>
      <w:pPr/>
      <w:r>
        <w:rPr>
          <w:b/>
        </w:rPr>
        <w:t>Shared claim-specific concepts:</w:t>
      </w:r>
      <w:r>
        <w:t xml:space="preserve"> number, use;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r>
        <w:rPr>
          <w:b/>
        </w:rPr>
        <w:t>POSSIBLE 2024:</w:t>
      </w:r>
      <w:r>
        <w:t xml:space="preserve"> Projection of the number of new cases of prostate cancer in the world — https://doi.org/10.1093/jjco/hyae030</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prostate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predicted percentage increase in the number of cases by 2040 relative to the number of cases in 2020 for each country. Figure 1 illustrates the projected trends in the estimated number of prostate cancer cases for males between 2020 and 2040. In 2020, the highest number of new cases of prostate cancer was estimated in the USA (209512), China (115426), Japan (106139) and Brazil (97278). Estimated numbers of cases were also high in European countries, ranging from 56 780 in the UK to 67 959 in Germany. In all other countries included in this report, numbers of cases of prostate cancer were much lower, with the lowest numbers estimated</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Projection of the number of new liver cancer cases in the world — https://doi.org/10.1093/jjco/hyad126</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liver and intrahepatic bile ducts cancer cases from 2020 to 2040 between Japan and other countries, we extracted information on reported projection of the number of new cancer cases from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shows the trend in the estimated numbers of liver cancer cases for males. In 2020, the estimated numbers of cases were highest in China (302 598; represented according to the right Y-axis of the graph of Asia because of extremely higher number than other countries) followed by Japan (29 854), the USA (29 713), Thailand (18 268), Egypt (18 145) and Republic Korea (10 926). In other countries, such as Europe and Oceania, the estimated numbers of cases were &lt;10 000 cases, especially low i</w:t>
      </w:r>
    </w:p>
    <w:p>
      <w:pPr/>
      <w:r>
        <w:rPr>
          <w:b/>
        </w:rPr>
        <w:t>POSSIBLE 2023:</w:t>
      </w:r>
      <w:r>
        <w:t xml:space="preserve"> Projection of the number of new cases of kidney and renal pelvis cancer in the world — https://doi.org/10.1093/jjco/hyad146</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kidney and renal pelvis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predicted number of cases by 2040 relative to the number of cases in 2020 for each country. Estimated number of new kidney and renal pelvis cancer cases from 2020 to 2040 (Male). Figure 1 shows the trend in the estimated numbers of kidney and renal pelvis cancer cases for males. Notice that results for China (shown in the leftmost graph) and for the USA (shown in the second graph from the left) are to be interpreted with reference to the right Y-axis, by contrast with results for all other countries, given with reference to the left Y-axis of each graph. In 2020, the highest number of new ca</w:t>
      </w:r>
    </w:p>
    <w:p>
      <w:pPr/>
      <w:r>
        <w:rPr>
          <w:b/>
        </w:rPr>
        <w:t>POSSIBLE 2023:</w:t>
      </w:r>
      <w:r>
        <w:t xml:space="preserve"> Incidence of Syndromes Associated With Frontotemporal Lobar Degeneration in 9 European Countries — https://doi.org/10.1001/jamaneurol.2022.5128</w:t>
      </w:r>
    </w:p>
    <w:p>
      <w:pPr/>
      <w:r>
        <w:rPr>
          <w:b/>
        </w:rPr>
        <w:t>Shared claim-specific concepts:</w:t>
      </w:r>
      <w:r>
        <w:t xml:space="preserve"> estimated, number, cases, increase, overall, annual; EU scope visible. This is a provisional connection, not an outcome finding.</w:t>
      </w:r>
    </w:p>
    <w:p>
      <w:pPr>
        <w:pStyle w:val="SourceNote"/>
      </w:pPr>
      <w:r>
        <w:rPr>
          <w:b/>
        </w:rPr>
        <w:t>Available abstract (not full text):</w:t>
      </w:r>
      <w:r>
        <w:t xml:space="preserve"> Importance: Diagnostic incidence data for syndromes associated with frontotemporal lobar degeneration (FTLD) in multinational studies are urgent in light of upcoming therapeutic approaches. Objective: To assess the incidence of FTLD across Europe. Design, Setting, and Participants: The Frontotemporal Dementia Incidence European Research Study (FRONTIERS) was a retrospective cohort study conducted from June 1, 2018, to May 31, 2019, using a population-based registry from 13 tertiary FTLD research clinics from the UK, the Netherlands, Finland, Sweden, Spain, Bulgaria, Serbia, Germany, and Italy and including all new FTLD-associated cases during the study period, with a combined catchment population of 11 023 643 person-years. Included patients fulfilled criteria for the behavioral variant of frontotemporal dementia (BVFTD), the nonfluent variant or semantic variant of primary progressive aphasia (PPA), unspecified PPA, progressive supranuclear palsy, corticobasal syndrome, or frontotemporal dementia with amyotrophic lateral sclerosis (FTD-ALS). Data were analyzed from July 19 to December 7, 2021. Main Outcomes and Measures: Random-intercept Poisson models were used to obtain estimates of the European FTLD incidence rate accounting for geographic heterogeneity. Results: Based on 267 identified cases (mean [SD] patient age, 66.70 [9.02] years; 156 males [58.43%]), the estimated ann</w:t>
      </w:r>
    </w:p>
    <w:p>
      <w:pPr>
        <w:pStyle w:val="Heading2"/>
      </w:pPr>
      <w:r>
        <w:t>507.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2023:</w:t>
      </w:r>
      <w:r>
        <w:t xml:space="preserve"> Environmental and socio-economic effects of construction and demolition waste recycling in the European Union — https://doi.org/10.1016/j.scitotenv.2023.168295</w:t>
      </w:r>
    </w:p>
    <w:p>
      <w:pPr/>
      <w:r>
        <w:rPr>
          <w:b/>
        </w:rPr>
        <w:t>Shared claim-specific concepts:</w:t>
      </w:r>
      <w:r>
        <w:t xml:space="preserve"> assess, environmental, union; EU scope visible. This is a provisional connection, not an outcome finding.</w:t>
      </w:r>
    </w:p>
    <w:p>
      <w:pPr>
        <w:pStyle w:val="SourceNote"/>
      </w:pPr>
      <w:r>
        <w:rPr>
          <w:b/>
        </w:rPr>
        <w:t>Available abstract (not full text):</w:t>
      </w:r>
      <w:r>
        <w:t xml:space="preserve">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environmental, based, approach;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Assessing the socio-demographic representativeness of mobile phone application data — https://doi.org/10.1016/j.apgeog.2023.102997</w:t>
      </w:r>
    </w:p>
    <w:p>
      <w:pPr/>
      <w:r>
        <w:rPr>
          <w:b/>
        </w:rPr>
        <w:t>Shared claim-specific concepts:</w:t>
      </w:r>
      <w:r>
        <w:t xml:space="preserve"> multiple, novel, approach; EU scope not established. This is a provisional connection, not an outcome finding.</w:t>
      </w:r>
    </w:p>
    <w:p>
      <w:pPr>
        <w:pStyle w:val="SourceNote"/>
      </w:pPr>
      <w:r>
        <w:rPr>
          <w:b/>
        </w:rPr>
        <w:t>Available abstract (not full text):</w:t>
      </w:r>
      <w:r>
        <w:t xml:space="preserve"> Emerging forms of mobile phone data generated from the use of mobile phone applications have the potential to advance scientific research across a range of disciplines. However, there are risks regarding uncertainties in the socio-demographic representativeness of these data, which may introduce bias and mislead policy recommendations. This paper addresses the issue directly by developing a novel approach to assessing socio-demographic representativeness, demonstrating this with two large independent mobile phone application datasets, Huq and Tamoco, each with three years data for a large and diverse city-region (Glasgow, Scotland) home to over 1.8 million people. We advance methods for detecting home location by including high-resolution land use data in the process and test representativeness across multiple dimensions. Our findings offer greater confidence in using mobile phone app data for research and planning. Both datasets show good representativeness compared to the known population distribution. Indeed, they achieve better population coverage than the ‘gold standard’ random sample survey which is the alternative source of data on population mobility in this region. More importantly, our approach provides an improved benchmark for assessing the quality of similar data sources in the future.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here, based, approach, biomass;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based;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pStyle w:val="Heading2"/>
      </w:pPr>
      <w:r>
        <w:t>508.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2024:</w:t>
      </w:r>
      <w:r>
        <w:t xml:space="preserve"> When Replication Fails: What to Conclude and Not to Conclude? — https://doi.org/10.1177/25152459241268197</w:t>
      </w:r>
    </w:p>
    <w:p>
      <w:pPr/>
      <w:r>
        <w:rPr>
          <w:b/>
        </w:rPr>
        <w:t>Shared claim-specific concepts:</w:t>
      </w:r>
      <w:r>
        <w:t xml:space="preserve"> conclude, potential, implications; EU scope not established. This is a provisional connection, not an outcome finding.</w:t>
      </w:r>
    </w:p>
    <w:p>
      <w:pPr>
        <w:pStyle w:val="SourceNote"/>
      </w:pPr>
      <w:r>
        <w:rPr>
          <w:b/>
        </w:rPr>
        <w:t>Available abstract (not full text):</w:t>
      </w:r>
      <w:r>
        <w:t xml:space="preserve">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pPr/>
      <w:r>
        <w:rPr>
          <w:b/>
        </w:rPr>
        <w:t>POSSIBLE 2023:</w:t>
      </w:r>
      <w:r>
        <w:t xml:space="preserve"> Discussing ChatGPT in education: A literature review and bibliometric analysis — https://doi.org/10.1080/2331186x.2023.2243134</w:t>
      </w:r>
    </w:p>
    <w:p>
      <w:pPr/>
      <w:r>
        <w:rPr>
          <w:b/>
        </w:rPr>
        <w:t>Shared claim-specific concepts:</w:t>
      </w:r>
      <w:r>
        <w:t xml:space="preserve"> conclude, discussing, potential; EU scope not established. This is a provisional connection, not an outcome finding.</w:t>
      </w:r>
    </w:p>
    <w:p>
      <w:pPr>
        <w:pStyle w:val="SourceNote"/>
      </w:pPr>
      <w:r>
        <w:rPr>
          <w:b/>
        </w:rPr>
        <w:t>Available abstract (not full text):</w:t>
      </w:r>
      <w:r>
        <w:t xml:space="preserve">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pPr/>
      <w:r>
        <w:rPr>
          <w:b/>
        </w:rPr>
        <w:t>POSSIBLE 2023:</w:t>
      </w:r>
      <w:r>
        <w:t xml:space="preserve"> A Brief Overview of ChatGPT: The History, Status Quo and Potential Future Development — https://doi.org/10.1109/jas.2023.123618</w:t>
      </w:r>
    </w:p>
    <w:p>
      <w:pPr/>
      <w:r>
        <w:rPr>
          <w:b/>
        </w:rPr>
        <w:t>Shared claim-specific concepts:</w:t>
      </w:r>
      <w:r>
        <w:t xml:space="preserve"> conclude, potential; EU scope not established. This is a provisional connection, not an outcome finding.</w:t>
      </w:r>
    </w:p>
    <w:p>
      <w:pPr>
        <w:pStyle w:val="SourceNote"/>
      </w:pPr>
      <w:r>
        <w:rPr>
          <w:b/>
        </w:rPr>
        <w:t>Available abstract (not full text):</w:t>
      </w:r>
      <w:r>
        <w:t xml:space="preserve">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509.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transition, ghg,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reduction;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Feedbacks in district heating systems and transition policies: A systems analysis of net-zero district heating transitions in Europe — https://doi.org/10.1016/j.egyr.2024.11.067</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Net-zero district heating systems are considered a feasible heating alternative to replace individual natural gas boilers to mitigate emissions in European cities. However, achieving carbon-neutral cities in Europe is a complex affair due to interdependencies in energy transitions. Energy transitions are discussed as products of interdependencies between socio-technical elements within each context, including but not limited to institutions, society, culture, markets, policies, regulations, and technological disruptions/changes. These interdependencies have the potential to transcend beyond the boundaries of technologies, sectors, markets, policies, cities, and even countries which may result in feedback effects. The presence of feedback effects implies co-evolution: policy-making shapes energy system developments which, in turn, influences policy-making through a range of feedback effects. The objective of this study is to increase knowledge on the implications of feedback effects in energy systems and transition policies by highlighting how they can lead to unexpected systemic consequences, thereby causing inertia or acceleration during the switch out of individual natural gas boilers towards net-zero district heating systems. Understanding the root causes and mechanisms behind district heating transitions could support European policymakers in developing policies that can st</w:t>
      </w:r>
    </w:p>
    <w:p>
      <w:pPr/>
      <w:r>
        <w:rPr>
          <w:b/>
        </w:rPr>
        <w:t>POSSIBLE 2024:</w:t>
      </w:r>
      <w:r>
        <w:t xml:space="preserve"> Study and analysis of energy transition in European ports — https://openalex.org/W7131511882</w:t>
      </w:r>
    </w:p>
    <w:p>
      <w:pPr/>
      <w:r>
        <w:rPr>
          <w:b/>
        </w:rPr>
        <w:t>Shared claim-specific concepts:</w:t>
      </w:r>
      <w:r>
        <w:t xml:space="preserve"> transition; EU scope visible. This is a provisional connection, not an outcome finding.</w:t>
      </w:r>
    </w:p>
    <w:p>
      <w:pPr>
        <w:pStyle w:val="SourceNote"/>
      </w:pPr>
      <w:r>
        <w:rPr>
          <w:b/>
        </w:rPr>
        <w:t>Available abstract (not full text):</w:t>
      </w:r>
      <w:r>
        <w:t xml:space="preserve"> This study aims to analyze the possible alternatives to fossil fuels for obtaining energy and their respective production processes. It will explain the physical properties of fuels, the resources required for production and storage resources. The legal framework of the European and IMO regulation system will also be explained, detailing application dates, scope, and obligations for shipping companies and port operators. Subsequently, a methodology for establishing an energy transition plan will be explained, citing specific cases and examples. And finally, an analysis of an hypothetical case of a container terminal will be done to develop a set of solutions to reduce the carbon footprint in a profitable way.</w:t>
      </w:r>
    </w:p>
    <w:p>
      <w:pPr/>
      <w:r>
        <w:rPr>
          <w:b/>
        </w:rPr>
        <w:t>POSSIBLE 2023:</w:t>
      </w:r>
      <w:r>
        <w:t xml:space="preserve"> Long-term trends in human body size track regional variation in subsistence transitions and growth acceleration linked to dairying — https://doi.org/10.1073/pnas.2209482119</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Evidence for a reduction in stature between Mesolithic foragers and Neolithic farmers has been interpreted as reflective of declines in health, however, our current understanding of this trend fails to account for the complexity of cultural and dietary transitions or the possible causes of phenotypic change. The agricultural transition was extended in primary centers of domestication and abrupt in regions characterized by demic diffusion. In regions such as Northern Europe where foreign domesticates were difficult to establish, there is strong evidence for natural selection for lactase persistence in relation to dairying. We employ broad-scale analyses of diachronic variation in stature and body mass in the Levant, Europe, the Nile Valley, South Asia, and China, to test three hypotheses about the timing of subsistence shifts and human body size, that: 1) the adoption of agriculture led to a decrease in stature, 2) there were different trajectories in regions of in situ domestication or cultural diffusion of agriculture; and 3) increases in stature and body mass are observed in regions with evidence for selection for lactase persistence. Our results demonstrate that 1) decreases in stature preceded the origins of agriculture in some regions; 2) the Levant and China, regions of in situ domestication of species and an extended period of mixed foraging and agricultural subsistence,</w:t>
      </w:r>
    </w:p>
    <w:p>
      <w:pPr>
        <w:pStyle w:val="Heading2"/>
      </w:pPr>
      <w:r>
        <w:t>510.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2024:</w:t>
      </w:r>
      <w:r>
        <w:t xml:space="preserve"> Understanding and addressing shortfalls in European wild bee data — https://doi.org/10.1016/j.biocon.2024.110455</w:t>
      </w:r>
    </w:p>
    <w:p>
      <w:pPr/>
      <w:r>
        <w:rPr>
          <w:b/>
        </w:rPr>
        <w:t>Shared claim-specific concepts:</w:t>
      </w:r>
      <w:r>
        <w:t xml:space="preserve"> despite, national, long-term, still;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511.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512.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line, climate, two;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2024:</w:t>
      </w:r>
      <w:r>
        <w:t xml:space="preserve"> The uncertain world: The gift of development on the Mekong — https://doi.org/10.1017/s0026749x24000088</w:t>
      </w:r>
    </w:p>
    <w:p>
      <w:pPr/>
      <w:r>
        <w:rPr>
          <w:b/>
        </w:rPr>
        <w:t>Shared claim-specific concepts:</w:t>
      </w:r>
      <w:r>
        <w:t xml:space="preserve"> uncertain, two, other; EU scope not established. This is a provisional connection, not an outcome finding.</w:t>
      </w:r>
    </w:p>
    <w:p>
      <w:pPr>
        <w:pStyle w:val="SourceNote"/>
      </w:pPr>
      <w:r>
        <w:rPr>
          <w:b/>
        </w:rPr>
        <w:t>Available abstract (not full text):</w:t>
      </w:r>
      <w:r>
        <w:t xml:space="preserve"> Abstract Development promises change. It is fundamental to the word both in English and in Lao: an improvement towards a pre-determined goal, but it is a process that is never entirely complete. In the Lao-speaking parts of Thailand, promises of development have formed the key commitments of particular regimes: military and monarchical, neoliberal and capitalist. Each presents a future that is nationally focused, guided by a paternalistic hand, be it that of a general, monarch, or tycoon. Spirits, too, play into such regimes, ensuring that development projects will fulfil their promises and that more such projects will come. But what happens when these goals shift towards distant centres of power? Here, I examine the magico-religious aspect of these promises. As large-scale hydropower on the Mekong, part of Chinese infrastructure projects, throws the river into chaos, new regimes of development arise. In the realm of popular religion, the link between spirits and development, too, has altered, with old powers’ promises growing stale, and new ones yet to appear. And between these two conflicting orders of power—orders that collapse state and religious dimensions—emerge different pathways towards navigating the uncertain world: an appeal towards other sources of monarchical authority, a search for survival in a newly shifting and globalized realm, and a waiting for a future as ye</w:t>
      </w:r>
    </w:p>
    <w:p>
      <w:pPr/>
      <w:r>
        <w:rPr>
          <w:b/>
        </w:rPr>
        <w:t>POSSIBLE 2024:</w:t>
      </w:r>
      <w:r>
        <w:t xml:space="preserve"> The adverse role of endocrine disrupting chemicals in the reproductive system — https://doi.org/10.3389/fendo.2023.1324993</w:t>
      </w:r>
    </w:p>
    <w:p>
      <w:pPr/>
      <w:r>
        <w:rPr>
          <w:b/>
        </w:rPr>
        <w:t>Shared claim-specific concepts:</w:t>
      </w:r>
      <w:r>
        <w:t xml:space="preserve"> role, potential, other; EU scope not established. This is a provisional connection, not an outcome finding.</w:t>
      </w:r>
    </w:p>
    <w:p>
      <w:pPr>
        <w:pStyle w:val="SourceNote"/>
      </w:pPr>
      <w:r>
        <w:rPr>
          <w:b/>
        </w:rPr>
        <w:t>Available abstract (not full text):</w:t>
      </w:r>
      <w:r>
        <w:t xml:space="preserve"> Reproductive system diseases pose prominent threats to human physical and mental well-being. Besides being influenced by genetic material regulation and changes in lifestyle, the occurrence of these diseases is closely connected to exposure to harmful substances in the environment. Endocrine disrupting chemicals (EDCs), characterized by hormone-like effects, have a wide range of influences on the reproductive system. EDCs are ubiquitous in the natural environment and are present in a wide range of industrial and everyday products. Currently, thousands of chemicals have been reported to exhibit endocrine effects, and this number is likely to increase as the testing for potential EDCs has not been consistently required, and obtaining data has been limited, partly due to the long latency of many diseases. The ability to avoid exposure to EDCs, especially those of artificially synthesized origin, is increasingly challenging. While EDCs can be divided into persistent and non-persistent depending on their degree of degradation, due to the recent uptick in research studies in this area, we have chosen to focus on the research pertaining to the detrimental effects on reproductive health of exposure to several EDCs that are widely encountered in daily life over the past six years, specifically bisphenol A (BPA), phthalates (PAEs), polychlorinated biphenyls (PCBs), parabens, pesticides, </w:t>
      </w:r>
    </w:p>
    <w:p>
      <w:pPr/>
      <w:r>
        <w:rPr>
          <w:b/>
        </w:rPr>
        <w:t>POSSIBLE 2023:</w:t>
      </w:r>
      <w:r>
        <w:t xml:space="preserve"> Economics for an uncertain world — https://doi.org/10.1016/j.worlddev.2023.106426</w:t>
      </w:r>
    </w:p>
    <w:p>
      <w:pPr/>
      <w:r>
        <w:rPr>
          <w:b/>
        </w:rPr>
        <w:t>Shared claim-specific concepts:</w:t>
      </w:r>
      <w:r>
        <w:t xml:space="preserve"> uncertain, however, two; EU scope not established. This is a provisional connection, not an outcome finding.</w:t>
      </w:r>
    </w:p>
    <w:p>
      <w:pPr>
        <w:pStyle w:val="SourceNote"/>
      </w:pPr>
      <w:r>
        <w:rPr>
          <w:b/>
        </w:rPr>
        <w:t>Available abstract (not full text):</w:t>
      </w:r>
      <w:r>
        <w:t xml:space="preserve"> Uncertainty, where we do not know the likelihood of future events, dominates our world. This article examines how economics as a profession and discipline can address uncertainty. From Frank Knight to John Maynard Keynes to Friedrich von Hayek to George Shackle, economics has highlighted the importance of uncertain knowledge and distinguished this from calculable risk. In this article we show how such insights were lost through the rise of narrow neoclassical thinking and were excluded through the emergence of a dominant economics of control that rose to prominence during the twentieth century and especially in the neoliberal era. However, through a range of perspectives in economics that emphasise the importance of complexity, informality, positionality and narratives, uncertainty is once again being embraced within an increasingly heterodox economics. In many ways, this chimes with the work of Albert Hirschman who, starting from the mid-1960s, emphasised the importance of addressing uncertainty in development theory and practice. Through two examples on pastoral development and global financial governance, we highlight the continued relevance of Hirschman’s thinking on the importance of adaptation, flexibility and learning-by-doing as responses to uncertainty and for the development of reliable, robust approaches to development policy and practice. In conclusion, we argue tha</w:t>
      </w:r>
    </w:p>
    <w:p>
      <w:pPr/>
      <w:r>
        <w:rPr>
          <w:b/>
        </w:rPr>
        <w:t>POSSIBLE 2023:</w:t>
      </w:r>
      <w:r>
        <w:t xml:space="preserve"> Ethics of Socially Disruptive Technologies — https://doi.org/10.11647/obp.0366</w:t>
      </w:r>
    </w:p>
    <w:p>
      <w:pPr/>
      <w:r>
        <w:rPr>
          <w:b/>
        </w:rPr>
        <w:t>Shared claim-specific concepts:</w:t>
      </w:r>
      <w:r>
        <w:t xml:space="preserve"> disruptive, potential, climate; EU scope not established. This is a provisional connection, not an outcome finding.</w:t>
      </w:r>
    </w:p>
    <w:p>
      <w:pPr>
        <w:pStyle w:val="SourceNote"/>
      </w:pPr>
      <w:r>
        <w:rPr>
          <w:b/>
        </w:rPr>
        <w:t>Available abstract (not full text):</w:t>
      </w:r>
      <w:r>
        <w:t xml:space="preserve"> Technologies shape who we are, how we organize our societies and how we relate to nature. For example, social media challenges democracy; artificial intelligence raises the question of what is unique to humans; and the possibility to create artificial wombs may affect notions of motherhood and birth. Some have suggested that we address global warming by engineering the climate, but how does this impact our responsibility to future generations and our relation to nature? This book shows how technologies can be socially and conceptually disruptive and investigates how to come to terms with this disruptive potential.</w:t>
      </w:r>
    </w:p>
    <w:p>
      <w:pPr>
        <w:pStyle w:val="Heading2"/>
      </w:pPr>
      <w:r>
        <w:t>513.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2024:</w:t>
      </w:r>
      <w:r>
        <w:t xml:space="preserve"> Imperatives of Nuclear Energy in India's Clean Energy Transition — https://doi.org/10.11610/connections.23.3.03</w:t>
      </w:r>
    </w:p>
    <w:p>
      <w:pPr/>
      <w:r>
        <w:rPr>
          <w:b/>
        </w:rPr>
        <w:t>Shared claim-specific concepts:</w:t>
      </w:r>
      <w:r>
        <w:t xml:space="preserve"> nuclear, energy, low-carbon, electricity, source, increase; EU scope not established. This is a provisional connection, not an outcome finding.</w:t>
      </w:r>
    </w:p>
    <w:p>
      <w:pPr>
        <w:pStyle w:val="SourceNote"/>
      </w:pPr>
      <w:r>
        <w:rPr>
          <w:b/>
        </w:rPr>
        <w:t>Available abstract (not full text):</w:t>
      </w:r>
      <w:r>
        <w:t xml:space="preserve">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pPr/>
      <w:r>
        <w:rPr>
          <w:b/>
        </w:rPr>
        <w:t>POSSIBLE 2024:</w:t>
      </w:r>
      <w:r>
        <w:t xml:space="preserve"> Prospects of Nuclear Energy for Clean and Sustainable Energy Development in Rwanda — https://doi.org/10.11648/j.ns.20240904.11</w:t>
      </w:r>
    </w:p>
    <w:p>
      <w:pPr/>
      <w:r>
        <w:rPr>
          <w:b/>
        </w:rPr>
        <w:t>Shared claim-specific concepts:</w:t>
      </w:r>
      <w:r>
        <w:t xml:space="preserve"> nuclear, energy, electricity, source, current; EU scope not established. This is a provisional connection, not an outcome finding.</w:t>
      </w:r>
    </w:p>
    <w:p>
      <w:pPr>
        <w:pStyle w:val="SourceNote"/>
      </w:pPr>
      <w:r>
        <w:rPr>
          <w:b/>
        </w:rPr>
        <w:t>Available abstract (not full text):</w:t>
      </w:r>
      <w:r>
        <w:t xml:space="preserve"> Rwanda, just like many other developing countries, still faces challenges in the energy sector. The country is still not able to supply reliable and affordable electricity to meet the current and future energy needs, as a result of rapid economic growth, increasing population and urbanization. Rwanda currently has limited generation resources, particularly during the dry season, when several hydropower stations are experiencing water shortages. Sometimes, leased diesel generation is needed to meet peak demand, which comes at a hefty cost. Efforts are being made to determine the true number of existing resources in the country for energy generation. Diversifying sources of energy inevitably becomes a strategic option. Rwanda has decided to embark on an ambitious programme for nuclear development as one of the alternatives to tackle energy challenges. This paper briefly presents plans featuring in the nuclear science and technology programme with the ultimate goal to leverage nuclear applications for sustainable social-economic development. A review of the country’s energy sector status is presented with focus on prospects of the nuclear programme as the solution to the country’s high energy demand and applications in different socio-economic sectors. In efforts to join the rest of world in the “net zero” greenhouse gas emission by 2050, Rwanda embraces the perspective under whic</w:t>
      </w:r>
    </w:p>
    <w:p>
      <w:pPr/>
      <w:r>
        <w:rPr>
          <w:b/>
        </w:rPr>
        <w:t>POSSIBLE 2024:</w:t>
      </w:r>
      <w:r>
        <w:t xml:space="preserve"> Sustainability of Nuclear Energy—A Critical Review from a UK Perspective — https://doi.org/10.3390/su162410952</w:t>
      </w:r>
    </w:p>
    <w:p>
      <w:pPr/>
      <w:r>
        <w:rPr>
          <w:b/>
        </w:rPr>
        <w:t>Shared claim-specific concepts:</w:t>
      </w:r>
      <w:r>
        <w:t xml:space="preserve"> nuclear, energy, low-carbon, electricity, source, overall; EU scope not established. This is a provisional connection, not an outcome finding.</w:t>
      </w:r>
    </w:p>
    <w:p>
      <w:pPr>
        <w:pStyle w:val="SourceNote"/>
      </w:pPr>
      <w:r>
        <w:rPr>
          <w:b/>
        </w:rPr>
        <w:t>Available abstract (not full text):</w:t>
      </w:r>
      <w:r>
        <w:t xml:space="preserve"> Many countries, including the United Kingdom, have committed to reaching “net zero” emissions by 2050. To meet this challenge requires urgent deployment of low-carbon energy-generating technologies, not just for electricity generation but also other sectors, including transportation and heating. However, this will only be successful if the other two pillars of sustainability (social and economic impacts) are balanced with the environmental drivers. All energy-generation technologies have benefits and drawbacks, and these must be objectively and fairly assessed using a “level playing field” approach. Nuclear energy has benefits that are complementary to renewables and thus can play a valuable role in delivering large amounts of low-carbon energy globally. However, critics of nuclear energy raise concerns related to safety (and security), radioactive waste management, and economics that have challenged its acceptance as a sustainable energy source in some quarters. Nevertheless, objective consideration of sustainability in global energy needs and the different generating technologies clearly indicate a valuable role for nuclear energy in a sustainable and low-carbon future. It is concluded that nuclear energy should be recognised as “sustainable”, and the analysis shows that energy portfolios incorporating nuclear provide the most sustainable system overall.</w:t>
      </w:r>
    </w:p>
    <w:p>
      <w:pPr/>
      <w:r>
        <w:rPr>
          <w:b/>
        </w:rPr>
        <w:t>POSSIBLE 2024:</w:t>
      </w:r>
      <w:r>
        <w:t xml:space="preserve"> Nexus between Nuclear Energy, Economic Growth, and Greenhouse Gas Emissions in India — https://doi.org/10.32479/ijeep.15347</w:t>
      </w:r>
    </w:p>
    <w:p>
      <w:pPr/>
      <w:r>
        <w:rPr>
          <w:b/>
        </w:rPr>
        <w:t>Shared claim-specific concepts:</w:t>
      </w:r>
      <w:r>
        <w:t xml:space="preserve"> nuclear, energy, increase, power; EU scope not established. This is a provisional connection, not an outcome finding.</w:t>
      </w:r>
    </w:p>
    <w:p>
      <w:pPr>
        <w:pStyle w:val="SourceNote"/>
      </w:pPr>
      <w:r>
        <w:rPr>
          <w:b/>
        </w:rPr>
        <w:t>Available abstract (not full text):</w:t>
      </w:r>
      <w:r>
        <w:t xml:space="preserve"> The escalating demand for fossil fuels in India has resulted in a significant strain on the environment due to the amplified emissions of greenhouse gases (GHGs). Nevertheless, India possesses a significant capacity for nuclear energy, as seen by its 22 operational nuclear reactors. This capacity holds promise for reducing GHG emissions. This research utilized a dataset spanning from 1969 to 2021 to examine the impact of nuclear energy utilization on GHG emissions. The study also aimed to verify the validity of the environmental Kuznets curve (EKC) hypothesis in India, employing the Autoregressive Distributive Lag (ARDL) model. The findings suggest that the EKC is applicable to India. Furthermore, it has been observed that a marginal increase of 1% in the use of nuclear energy leads to a reduction of GHG by 0.02% in the immediate term and 0.16% in the long term. This finding highlights the significance of expanding nuclear power as a crucial policy objective in order to attain environmentally friendly and sustainable economic development.</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even, power, now;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A Comprehensive Review of Green Energy Technologies: Towards Sustainable Clean Energy Transition and Global Net-Zero Carbon Emissions — https://doi.org/10.3390/pr13010069</w:t>
      </w:r>
    </w:p>
    <w:p>
      <w:pPr/>
      <w:r>
        <w:rPr>
          <w:b/>
        </w:rPr>
        <w:t>Shared claim-specific concepts:</w:t>
      </w:r>
      <w:r>
        <w:t xml:space="preserve"> nuclear, energy, source, overall; EU scope not established. This is a provisional connection, not an outcome finding.</w:t>
      </w:r>
    </w:p>
    <w:p>
      <w:pPr>
        <w:pStyle w:val="SourceNote"/>
      </w:pPr>
      <w:r>
        <w:rPr>
          <w:b/>
        </w:rPr>
        <w:t>Available abstract (not full text):</w:t>
      </w:r>
      <w:r>
        <w:t xml:space="preserve"> The present paper seeks to showcase the significant potential of alternative energy technologies in driving clean energy transition. Renewable energy sources, including hydro, geothermal, biomass, solar, and wind energy, are developed and marketed as low- or non-carbon alternatives to conventional energy sources. However, the high upfront costs of these energy resources, coupled with their intermittency, are demerits that must be dealt with. Since certain nuclear technologies generate significantly less waste than coal and oil, nuclear energy is occasionally regarded as a green energy source, though the primary source of nuclear energy, namely uranium, is a finite resource. The main goal of developing green energy technologies is to provide energy in a sustainable manner while cutting down on waste and greenhouse gas emissions, thus reducing the overall carbon footprint of energy production.</w:t>
      </w:r>
    </w:p>
    <w:p>
      <w:pPr/>
      <w:r>
        <w:rPr>
          <w:b/>
        </w:rPr>
        <w:t>POSSIBLE 2024:</w:t>
      </w:r>
      <w:r>
        <w:t xml:space="preserve"> The Need for Diversification of the Nigerian Economy through a Low-Carbon Energy Mix Programme Using Nuclear Power — https://doi.org/10.37745/ijeer.13/vol12n25582</w:t>
      </w:r>
    </w:p>
    <w:p>
      <w:pPr/>
      <w:r>
        <w:rPr>
          <w:b/>
        </w:rPr>
        <w:t>Shared claim-specific concepts:</w:t>
      </w:r>
      <w:r>
        <w:t xml:space="preserve"> nuclear, energy, low-carbon, expected, power; EU scope not established. This is a provisional connection, not an outcome finding.</w:t>
      </w:r>
    </w:p>
    <w:p>
      <w:pPr>
        <w:pStyle w:val="SourceNote"/>
      </w:pPr>
      <w:r>
        <w:rPr>
          <w:b/>
        </w:rPr>
        <w:t>Available abstract (not full text):</w:t>
      </w:r>
      <w:r>
        <w:t xml:space="preserve"> Numerous structural issues, such as poor infrastructure, trade and non-tariff barriers, investment barriers, a lack of trust in the currency's worth, and restricted foreign exchange facilities, limit Nigeria's economic potential. Since the late 1960s, when the oil and gas industry replaced agriculture as the primary driver of expansion, there has been very little progress made in diversifying the economy and laying a stronger foundation for rapid, steady, and productive growth. Despite massive oil earnings, the nation remains among the World's poorest in terms of important development indicators. Prosperity and progress have not followed as expected. The economy continues to grow in an unpredictable manner, devoid of steady or constant growth, and is influenced by fluctuations in the price of oil and gas, despite a multitude of plans, frameworks for policy, and reforms. While incompetence, corruption, and inefficiency remain at the core of economic management, every plan, programme, vision, and change raises high aspirations but never achieve the desired impact. Nigeria's economic dependency on crude oil and other commodities makes economic diversification difficult. Nigeria's economy must diversify in order to support employment, economic growth and human development to meet up the country's fast expanding population needs. In order to have a life beyond oil and gas, there is </w:t>
      </w:r>
    </w:p>
    <w:p>
      <w:pPr/>
      <w:r>
        <w:rPr>
          <w:b/>
        </w:rPr>
        <w:t>POSSIBLE 2024:</w:t>
      </w:r>
      <w:r>
        <w:t xml:space="preserve"> Toward a Global History of the Nuclear Age — https://doi.org/10.5007/2175-7976.2024.e102709</w:t>
      </w:r>
    </w:p>
    <w:p>
      <w:pPr/>
      <w:r>
        <w:rPr>
          <w:b/>
        </w:rPr>
        <w:t>Shared claim-specific concepts:</w:t>
      </w:r>
      <w:r>
        <w:t xml:space="preserve"> nuclear, energy, major, power; EU scope not established. This is a provisional connection, not an outcome finding.</w:t>
      </w:r>
    </w:p>
    <w:p>
      <w:pPr>
        <w:pStyle w:val="SourceNote"/>
      </w:pPr>
      <w:r>
        <w:rPr>
          <w:b/>
        </w:rPr>
        <w:t>Available abstract (not full text):</w:t>
      </w:r>
      <w:r>
        <w:t xml:space="preserve"> The environmental history of the nuclear enterprise has grown increasingly important, not the least because of the strong conviction that an ongoing, and self-proclaimed “renaissance” in nuclear energy must be a major part of world energy scenarios in the battle against global warming and the need to abandon carbon-based energy production. This article suggests a number of ways to take advantage of the recently available primary sources by using a global approach to make sense of nuclear environmental history. It calls for looking at environmental impacts across a variety of ecosystems: desert, Arctic, tropical, limnological and oceanic. It insists on considering the entire nuclear enterprise from mining to enrichment to fission. It suggests focusing on interactions between the atom, nature, and the lives of mammals, fish and birds in the nuclear world. In the end, this analysis shows that the atom is not green, and that the argument that nuclear power is a solution to global warming ignores the troubled relationship between the natural environment and peaceful and military technologies.</w:t>
      </w:r>
    </w:p>
    <w:p>
      <w:pPr/>
      <w:r>
        <w:rPr>
          <w:b/>
        </w:rPr>
        <w:t>POSSIBLE 2023:</w:t>
      </w:r>
      <w:r>
        <w:t xml:space="preserve"> The Role of Nuclear Energy in Reducing Greenhouse Gas (GHG) Emissions and Energy Security: A Systematic Review — https://doi.org/10.1155/2023/8823507</w:t>
      </w:r>
    </w:p>
    <w:p>
      <w:pPr/>
      <w:r>
        <w:rPr>
          <w:b/>
        </w:rPr>
        <w:t>Shared claim-specific concepts:</w:t>
      </w:r>
      <w:r>
        <w:t xml:space="preserve"> nuclear, energy, low-carbon, source, increase; EU scope not established. This is a provisional connection, not an outcome finding.</w:t>
      </w:r>
    </w:p>
    <w:p>
      <w:pPr>
        <w:pStyle w:val="SourceNote"/>
      </w:pPr>
      <w:r>
        <w:rPr>
          <w:b/>
        </w:rPr>
        <w:t>Available abstract (not full text):</w:t>
      </w:r>
      <w:r>
        <w:t xml:space="preserve"> The energy sector accounts for about two-thirds of all human-related greenhouse gas (GHG) emissions due to the reliance on fossil-based fuels. This is a significant concern as it can have dire consequences on the survival of humankind and disrupt other natural processes. The research indicated that some mitigation measures to curb GHG emissions are to increase energy from low-carbon sources such as nuclear. However, due to the continuous adverse climate change impact, a comprehensive systematic review of research in this area must be conducted to inform policy practice and future studies. This study attempts to address this gap by mapping the global reflections on the potential of nuclear technology to mitigate GHG through a bibliometric review process. A total of 741 studies were retrieved from the Scopus database and a few from Google Scholar, spanning from 1962 to 2022, and analyzed using a science mapping tool—VOSviewer. The study confirmed that fossil fuels are a significant source of greenhouse gas emissions and contributor to greenhouse emissions. Those authors concluded that promoting clean and alternative energy sources to fossil fuels would help reduce carbon emissions. Although renewable energy has proven to be very efficient among pollution and climate change mitigation sources, nuclear energy is the most dependable option for meeting national and regional CO2 emiss</w:t>
      </w:r>
    </w:p>
    <w:p>
      <w:pPr/>
      <w:r>
        <w:rPr>
          <w:b/>
        </w:rPr>
        <w:t>POSSIBLE 2023:</w:t>
      </w:r>
      <w:r>
        <w:t xml:space="preserve"> Outlook on Industrial Requirements for Incorporating Nuclear Energy into Industrial Processes — https://doi.org/10.2172/2293480</w:t>
      </w:r>
    </w:p>
    <w:p>
      <w:pPr/>
      <w:r>
        <w:rPr>
          <w:b/>
        </w:rPr>
        <w:t>Shared claim-specific concepts:</w:t>
      </w:r>
      <w:r>
        <w:t xml:space="preserve"> nuclear, energy, electricity, power; EU scope not established. This is a provisional connection, not an outcome finding.</w:t>
      </w:r>
    </w:p>
    <w:p>
      <w:pPr>
        <w:pStyle w:val="SourceNote"/>
      </w:pPr>
      <w:r>
        <w:rPr>
          <w:b/>
        </w:rPr>
        <w:t>Available abstract (not full text):</w:t>
      </w:r>
      <w:r>
        <w:t xml:space="preserve"> The manufacturing of pulp and paper requires large amounts of low-pressure steam to digest and wash wood fibers for pulp and press and dry pulp into paper.Most of the low-pressure steam is generated from burning wood waste material; bark is burned in hog boilers, and lignin is boiled in the black liquor recovery boiler.In a typical integrated pulp and paper mill, 50-80% of the steam is produced from these sources, and additional steam is produced in a natural gas or fuel oil boiler.Steam is sent through turbines to lower the pressure and generate electricity for the plant.The other energy intense process in the plant is the lime kilns, which require high temperatures from natural gas combustion to convert compounds needed for the chemical recovery process.A nuclear power plant could replace steam and electricity generated from wood waste and natural gas allowing lignin and bark to be processed into bio-based chemicals or fuels.Ammonia is the second largest manufactured industrial chemical.The most widely used process to synthesize ammonia is the Haber-Bosch process with steam methane reforming being used to produce the hydrogen while an air separation unit is most often used to produce the nitrogen that is fixed by the hydrogen .THe Harber-Bosch process synthesizes ammonia under very high-pressure conditions.Both steam-methane reforming and high-pressure compression are energy </w:t>
      </w:r>
    </w:p>
    <w:p>
      <w:pPr>
        <w:pStyle w:val="Heading2"/>
      </w:pPr>
      <w:r>
        <w:t>514.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2024:</w:t>
      </w:r>
      <w:r>
        <w:t xml:space="preserve"> Industry Experts’ Perspectives on the Difficulties and Opportunities of the Integration of Bio-Based Insulation Materials in the European Construction Sector — https://doi.org/10.3390/su16177314</w:t>
      </w:r>
    </w:p>
    <w:p>
      <w:pPr/>
      <w:r>
        <w:rPr>
          <w:b/>
        </w:rPr>
        <w:t>Shared claim-specific concepts:</w:t>
      </w:r>
      <w:r>
        <w:t xml:space="preserve"> building, experts, perceptions, well, environmental; EU scope visible. This is a provisional connection, not an outcome finding.</w:t>
      </w:r>
    </w:p>
    <w:p>
      <w:pPr>
        <w:pStyle w:val="SourceNote"/>
      </w:pPr>
      <w:r>
        <w:rPr>
          <w:b/>
        </w:rPr>
        <w:t>Available abstract (not full text):</w:t>
      </w:r>
      <w:r>
        <w:t xml:space="preserve"> This paper explores the current status of bio-based insulation materials (BbIMs) integration in Europe, through structured online questionnaires. with industry experts. The findings show that the main common difficulties are obtaining European Conformity (CE) marking, high costs, a skills gap, a lack of trained builders, and slow acceptance from industry decision-makers. On the other hand, the main common opportunities are the gradual improvement with certain supportive policies and incentives, the growing environmental awareness, thermal, acoustic, and environmental performance, long-term cost savings and value, and increasing educational initiatives, advertising, and awareness campaigns. The finding also emphasizes the critical role that users and buyers play in the adoption of these materials as a potential driver and barrier. The professionals suggest strengthening environmentally friendly standards, integrating natural materials into construction databases, leading by example, withdrawing subsidies for hazardous waste disposal, providing continuing education, workshops, collaboration among stakeholders, and referencing exemplary projects in France. Further insights on bio-based building materials integration in building information modeling (BIM) practices indicate that the rate of their integration is very low. This research contributes to the scientific literature on BbI</w:t>
      </w:r>
    </w:p>
    <w:p>
      <w:pPr/>
      <w:r>
        <w:rPr>
          <w:b/>
        </w:rPr>
        <w:t>POSSIBLE 2023:</w:t>
      </w:r>
      <w:r>
        <w:t xml:space="preserve"> Basic Elements and Characteristics in Building an Expert System — https://doi.org/10.55849/jnhl.v1i3.337</w:t>
      </w:r>
    </w:p>
    <w:p>
      <w:pPr/>
      <w:r>
        <w:rPr>
          <w:b/>
        </w:rPr>
        <w:t>Shared claim-specific concepts:</w:t>
      </w:r>
      <w:r>
        <w:t xml:space="preserve"> building, well, benefits; EU scope not established. This is a provisional connection, not an outcome finding.</w:t>
      </w:r>
    </w:p>
    <w:p>
      <w:pPr>
        <w:pStyle w:val="SourceNote"/>
      </w:pPr>
      <w:r>
        <w:rPr>
          <w:b/>
        </w:rPr>
        <w:t>Available abstract (not full text):</w:t>
      </w:r>
      <w:r>
        <w:t xml:space="preserve"> The basic elements and characteristics of an expert system are important in the application of an expert system, so that in the application of a makar expert system, the basic elements and characteristics of an expert system are first known. By knowing the basic elements and characteristics of an expert system, the goals and benefits of making an expert system can be more focused and have good fundamentals.This journal is a learning system in designing and knowing expert systems that have fundamental characteristics, so that the utilization that is carried out can run well.</w:t>
      </w:r>
    </w:p>
    <w:p>
      <w:pPr>
        <w:pStyle w:val="Heading2"/>
      </w:pPr>
      <w:r>
        <w:t>515.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r>
        <w:rPr>
          <w:b/>
        </w:rPr>
        <w:t>POSSIBLE 2023:</w:t>
      </w:r>
      <w:r>
        <w:t xml:space="preserve"> Dynamics of EU Central and Eastern European donors’ development cooperation — https://doi.org/10.12688/stomiedintrelat.17714.1</w:t>
      </w:r>
    </w:p>
    <w:p>
      <w:pPr/>
      <w:r>
        <w:rPr>
          <w:b/>
        </w:rPr>
        <w:t>Shared claim-specific concepts:</w:t>
      </w:r>
      <w:r>
        <w:t xml:space="preserve"> order, understand, applied, main; EU scope visible. This is a provisional connection, not an outcome finding.</w:t>
      </w:r>
    </w:p>
    <w:p>
      <w:pPr>
        <w:pStyle w:val="SourceNote"/>
      </w:pPr>
      <w:r>
        <w:rPr>
          <w:b/>
        </w:rPr>
        <w:t>Available abstract (not full text):</w:t>
      </w:r>
      <w:r>
        <w:t xml:space="preserve">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pPr/>
      <w:r>
        <w:rPr>
          <w:b/>
        </w:rPr>
        <w:t>POSSIBLE 2023:</w:t>
      </w:r>
      <w:r>
        <w:t xml:space="preserve"> What Can We Expect for the Development of Rural Areas in Europe?—Trends of the Last Decade and Their Opportunities for Rural Regeneration — https://doi.org/10.3390/su15065485</w:t>
      </w:r>
    </w:p>
    <w:p>
      <w:pPr/>
      <w:r>
        <w:rPr>
          <w:b/>
        </w:rPr>
        <w:t>Shared claim-specific concepts:</w:t>
      </w:r>
      <w:r>
        <w:t xml:space="preserve"> order, understand, transition; EU scope visible. This is a provisional connection, not an outcome finding.</w:t>
      </w:r>
    </w:p>
    <w:p>
      <w:pPr>
        <w:pStyle w:val="SourceNote"/>
      </w:pPr>
      <w:r>
        <w:rPr>
          <w:b/>
        </w:rPr>
        <w:t>Available abstract (not full text):</w:t>
      </w:r>
      <w:r>
        <w:t xml:space="preserve"> Rural areas in Europe have been undergoing structural change for years, resulting in strong functional differentiation and fragmentation into prosperous and structurally weak areas. Rural areas are as diverse as the challenges they face. Not only various megatrends but also social, economic, technological, ecological, and political trends influence and shape the development of rural areas. In order to understand the problems and causes of the current development of rural areas, this paper provides a differentiated trend analysis for rural areas at the European level. A content analysis of more than 70 EU-funded project reports on rural areas and rural development is carried out. The aim is to identify trends and their drivers over the last decade and to summarize opportunities and challenges for successful rural regeneration. These external and overarching trends, particularly in the context of a sustainable transition, renewable energies, the emergence of new technologies and growing awareness of environmental impacts, offer rural areas more opportunities than ever before. The interplay between external incentives (e.g., European Union policies) and endogenous regional development (e.g., local actors) is crucial for the successful exploitation of these opportunities for rural regeneration.</w:t>
      </w:r>
    </w:p>
    <w:p>
      <w:pPr/>
      <w:r>
        <w:rPr>
          <w:b/>
        </w:rPr>
        <w:t>POSSIBLE 2023:</w:t>
      </w:r>
      <w:r>
        <w:t xml:space="preserve"> The Governance of European Space Policy — https://doi.org/10.32625/kjei.2023.31.175</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The aim of this study is to analyse the historical processes and institutional features of European space policy governance in order to understand its unique governance characteristics, which are designed to ensure that horizontal cooperation at the European level between the ESA and the EU and vertical cooperation between the ESA and Member States' national space agencies are complementary. To this end, this study first examines the historical process of the development of European space policy from the perspective of the history of European integration and the history of legal institutions, in order to understand the nature of the parallel development of European space policy centred on ESA, independent of the evolution of European integration from the ECSC to the EU. On this basis, it will analyse the multi-layered governance of European space policy today, focusing on the two characteristics of 'hybridity' and 'integrity' in order to contribute to a more accurate understanding of European space policy.</w:t>
      </w:r>
    </w:p>
    <w:p>
      <w:pPr/>
      <w:r>
        <w:rPr>
          <w:b/>
        </w:rPr>
        <w:t>POSSIBLE 2023:</w:t>
      </w:r>
      <w:r>
        <w:t xml:space="preserve"> Innovations and development of artificial intelligence in Europe: some empirical evidences — https://doi.org/10.1108/ejmbe-03-2023-0085</w:t>
      </w:r>
    </w:p>
    <w:p>
      <w:pPr/>
      <w:r>
        <w:rPr>
          <w:b/>
        </w:rPr>
        <w:t>Shared claim-specific concepts:</w:t>
      </w:r>
      <w:r>
        <w:t xml:space="preserve"> approach, possible; EU scope visible. This is a provisional connection, not an outcome finding.</w:t>
      </w:r>
    </w:p>
    <w:p>
      <w:pPr>
        <w:pStyle w:val="SourceNote"/>
      </w:pPr>
      <w:r>
        <w:rPr>
          <w:b/>
        </w:rPr>
        <w:t>Available abstract (not full text):</w:t>
      </w:r>
      <w:r>
        <w:t xml:space="preserve"> Purpose The objective of this paper is to analyze the relationship between innovation and the development of artificial intelligence (AI) and digital technologies in Europe. The use of digital technologies among European companies is studied through a composite index, while the relationship between innovation and AI is studied through a log-linear regression model. The results of the model have made possible to develop interesting indications for economic and industrial policy. Design/methodology/approach The use of digital technologies among European companies is studied through a composite index of AI and information technology (ICT) (using the Fair and Sustainable Welfare methodology) with the aim of measuring territorial gaps and to know which European countries are more or less inclined to its use, while the relationship between innovation and AI is studied through a log-linear regression model. Findings In the paper, two different methodologies were used to analyze the relationship between innovation and the development of digital technologies in Europe. The synthetic indicator made possible to develop a taxonomy between the different countries, the log-linear model made possible to identify and explain the determinants of innovation. Originality/value The description of the biunivocal relationship between innovation and AI is a topical and relevant issue that is treated </w:t>
      </w:r>
    </w:p>
    <w:p>
      <w:pPr/>
      <w:r>
        <w:rPr>
          <w:b/>
        </w:rPr>
        <w:t>POSSIBLE 2023:</w:t>
      </w:r>
      <w:r>
        <w:t xml:space="preserve"> Urban Development and Transportation: Investigating Spatial Performance Indicators of 12 European Union Coastal Regions — https://doi.org/10.3390/land12091757</w:t>
      </w:r>
    </w:p>
    <w:p>
      <w:pPr/>
      <w:r>
        <w:rPr>
          <w:b/>
        </w:rPr>
        <w:t>Shared claim-specific concepts:</w:t>
      </w:r>
      <w:r>
        <w:t xml:space="preserve"> order, understand, about, developed, approach; EU scope visible. This is a provisional connection, not an outcome finding.</w:t>
      </w:r>
    </w:p>
    <w:p>
      <w:pPr>
        <w:pStyle w:val="SourceNote"/>
      </w:pPr>
      <w:r>
        <w:rPr>
          <w:b/>
        </w:rPr>
        <w:t>Available abstract (not full text):</w:t>
      </w:r>
      <w:r>
        <w:t xml:space="preserve"> Urbanization is one of the most dominant economic and social changes of the 20th century. This phenomenon brings about rapid urban development, which is inextricably linked to transport development. In order to understand this relationship, it is important to analyze the spatial spillover effects of the phenomenon in the urban environment. This study analyzes the spatial performance, in terms of urban development, of 12 European Union regions from five European countries with coastal areas by incorporating spatial data such as length of road network, population distribution, land uses, and other factors. Key performance indicators have been developed for evaluating the structural development model of the regions (e.g., dense or sprawl development). In addition, the incorporation of spatial spillover effects in the evaluation of the regions was conducted by the extended spatial data envelopment analysis (SDEA) method. The results of SDEA identified the best and worst-performing regions in terms of urban growth. Finally, this study implements a target-setting approach where under-performing regions can best perform. Based on the target-setting approach, local authorities can set realistic targets for improving the structural model that the regions are following.</w:t>
      </w:r>
    </w:p>
    <w:p>
      <w:pPr/>
      <w:r>
        <w:rPr>
          <w:b/>
        </w:rPr>
        <w:t>POSSIBLE 2023:</w:t>
      </w:r>
      <w:r>
        <w:t xml:space="preserve"> Unraveling the European Agricultural Policy Sustainable Development Trajectory — https://doi.org/10.3390/land12091749</w:t>
      </w:r>
    </w:p>
    <w:p>
      <w:pPr/>
      <w:r>
        <w:rPr>
          <w:b/>
        </w:rPr>
        <w:t>Shared claim-specific concepts:</w:t>
      </w:r>
      <w:r>
        <w:t xml:space="preserve"> about, balance, approach, main;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pStyle w:val="Heading2"/>
      </w:pPr>
      <w:r>
        <w:t>516.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Regulating the Press for Accuracy and Objectivity — https://doi.org/10.1093/oso/9780198858607.003.0005</w:t>
      </w:r>
    </w:p>
    <w:p>
      <w:pPr/>
      <w:r>
        <w:rPr>
          <w:b/>
        </w:rPr>
        <w:t>Shared claim-specific concepts:</w:t>
      </w:r>
      <w:r>
        <w:t xml:space="preserve"> same, time, presented; EU scope visible. This is a provisional connection, not an outcome finding.</w:t>
      </w:r>
    </w:p>
    <w:p>
      <w:pPr>
        <w:pStyle w:val="SourceNote"/>
      </w:pPr>
      <w:r>
        <w:rPr>
          <w:b/>
        </w:rPr>
        <w:t>Available abstract (not full text):</w:t>
      </w:r>
      <w:r>
        <w:t xml:space="preserve">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pPr/>
      <w:r>
        <w:rPr>
          <w:b/>
        </w:rPr>
        <w:t>POSSIBLE 2024:</w:t>
      </w:r>
      <w:r>
        <w:t xml:space="preserve"> Implementing Nutrient Recommendations for Breakfast in Europe through Dietetic Practice—The European Federation of Associations of Dietitians (EFAD) Breakfast Toolkit Survey — https://doi.org/10.3390/proceedings2023091238</w:t>
      </w:r>
    </w:p>
    <w:p>
      <w:pPr/>
      <w:r>
        <w:rPr>
          <w:b/>
        </w:rPr>
        <w:t>Shared claim-specific concepts:</w:t>
      </w:r>
      <w:r>
        <w:t xml:space="preserve"> same, time, objectives, food, needed, population; EU scope visible. This is a provisional connection, not an outcome finding.</w:t>
      </w:r>
    </w:p>
    <w:p>
      <w:pPr>
        <w:pStyle w:val="SourceNote"/>
      </w:pPr>
      <w:r>
        <w:rPr>
          <w:b/>
        </w:rPr>
        <w:t>Available abstract (not full text):</w:t>
      </w:r>
      <w:r>
        <w:t xml:space="preserve"> Background and objectives: The International Breakfast Research Initiative developed nutrient recommendations for a balanced breakfast, based on daily guidelines and actual contribution of breakfast in Europe. The aim of the Breakfast Toolkit Project is to translate nutrient recommendations into practical advice for both individuals and health professionals, and to develop a toolkit for dietitians. Methods: We conducted a 19-item online survey to assess the experience and resources of dietitians when recommending breakfast as part of a balanced diet. Results: A total of 336 dietitians from 27 countries participated in the survey. Forty-nine percent were working in clinical practice or private consulting. Around 50% thought that the general population is somewhat aware of the impact of breakfast on health, with the highest number of people not being aware in northern Europe. A lack of time and not feeling hungry in the morning are the main obstacles to achieve a healthy breakfast all over Europe, while a lack of money is more concerning in central and eastern Europe than other areas. Although slight differences are observed between European regions, increasing fresh fruit and vegetables (17%), decreasing sugary food (14.5%), and switching to whole grain cereals (18%) are the most peremptory needed interventions, according to the experience of the dietitians. Educational material</w:t>
      </w:r>
    </w:p>
    <w:p>
      <w:pPr/>
      <w:r>
        <w:rPr>
          <w:b/>
        </w:rPr>
        <w:t>POSSIBLE 2024:</w:t>
      </w:r>
      <w:r>
        <w:t xml:space="preserve"> Healthy air as an obligation of result in the whole European Union: definitely a matter of time — https://doi.org/10.4337/9781035300426.00013</w:t>
      </w:r>
    </w:p>
    <w:p>
      <w:pPr/>
      <w:r>
        <w:rPr>
          <w:b/>
        </w:rPr>
        <w:t>Shared claim-specific concepts:</w:t>
      </w:r>
      <w:r>
        <w:t xml:space="preserve"> same, time, result; EU scope visible. This is a provisional connection, not an outcome finding.</w:t>
      </w:r>
    </w:p>
    <w:p>
      <w:pPr>
        <w:pStyle w:val="SourceNote"/>
      </w:pPr>
      <w:r>
        <w:rPr>
          <w:b/>
        </w:rPr>
        <w:t>Available abstract (not full text):</w:t>
      </w:r>
      <w:r>
        <w:t xml:space="preserve"> This chapter explains how the field of air quality jurisprudence in the context of EU air quality law was radically transformed, in recent years, often under pressure of strategic litigation brought forward by civil society, because health protection was taken as a main driver. Healthy air has become an obligation of result in the whole European Union, with the same applicable ambient air limit values everywhere. The driving force for such advances was found in the relation air builds with health and life and, therefore, calls for repetition. Because many European laws, besides the Ambient Air Quality Directive, also have an impact on the composition of the air we breathe, and together pursue an explicit objective of health protection, the solid framework that was recently patiently built, bit by bit, should be inspirational for further developments, such as in the field of industrial pollution control, where indeed the first similar advances are being observed. But the jurisprudence also shows how the relation to time and right timing is of the essence and runs through most cases. In that regard, the lawmaker must be aware that inserting new deadlines in revised legislation might undo the patiently gained robust interpretations.</w:t>
      </w:r>
    </w:p>
    <w:p>
      <w:pPr/>
      <w:r>
        <w:rPr>
          <w:b/>
        </w:rPr>
        <w:t>POSSIBLE 2023:</w:t>
      </w:r>
      <w:r>
        <w:t xml:space="preserve"> Differentiated European Integration and the Changing Type of Capitalism in Central Europe — https://doi.org/10.33067/se.2.2023.6</w:t>
      </w:r>
    </w:p>
    <w:p>
      <w:pPr/>
      <w:r>
        <w:rPr>
          <w:b/>
        </w:rPr>
        <w:t>Shared claim-specific concepts:</w:t>
      </w:r>
      <w:r>
        <w:t xml:space="preserve"> same, time, type; EU scope visible. This is a provisional connection, not an outcome finding.</w:t>
      </w:r>
    </w:p>
    <w:p>
      <w:pPr>
        <w:pStyle w:val="SourceNote"/>
      </w:pPr>
      <w:r>
        <w:rPr>
          <w:b/>
        </w:rPr>
        <w:t>Available abstract (not full text):</w:t>
      </w:r>
      <w:r>
        <w:t xml:space="preserve"> The objective of this paper is to analyse the double-layered diversiﬁcation of the European integration system represented by the countries of Central Europe (CE). Here exempliﬁed by the Visegrad Four (V4) states (Poland, Hungary, Slovakia, and Czechia), the region offers a unique laboratory of European differentiated integration (DI). The V4 positions itself on the outer-core of the European Union hemispheres. At the same time, the bloc itself is internally diversiﬁed in various, important aspects of integration (conﬂicting trajectories with Brussels, monetary integration, energy policy, relations with Russia, etc.). Unpacking this intra-V4 diversity will be accompanied by an exploration of the economic and institutional factors possibly affecting it. The political-economy perspective allows us to capture the determinants intersecting at the crossroads of economic and political dimensions. The authors will explore the selected building blocks of the system of differentiation inside the V4 group.</w:t>
      </w:r>
    </w:p>
    <w:p>
      <w:pPr>
        <w:pStyle w:val="Heading2"/>
      </w:pPr>
      <w:r>
        <w:t>517.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corresponding, regional, regions;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2023:</w:t>
      </w:r>
      <w:r>
        <w:t xml:space="preserve"> ART in Europe, 2019: results generated from European registries by ESHRE — https://doi.org/10.1093/humrep/dead197</w:t>
      </w:r>
    </w:p>
    <w:p>
      <w:pPr/>
      <w:r>
        <w:rPr>
          <w:b/>
        </w:rPr>
        <w:t>Shared claim-specific concepts:</w:t>
      </w:r>
      <w:r>
        <w:t xml:space="preserve"> corresponding, findings, not; EU scope visible. This is a provisional connection, not an outcome finding.</w:t>
      </w:r>
    </w:p>
    <w:p>
      <w:pPr>
        <w:pStyle w:val="SourceNote"/>
      </w:pPr>
      <w:r>
        <w:rPr>
          <w:b/>
        </w:rPr>
        <w:t>Available abstract (not full text):</w:t>
      </w:r>
      <w:r>
        <w:t xml:space="preserve">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pStyle w:val="Heading2"/>
      </w:pPr>
      <w:r>
        <w:t>518.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presents, challenges, increasing, energy;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presents, challenges, increasing, union;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Challenges and best practices in sustainable urban tourism development in Central and Eastern Europe — https://doi.org/10.4337/9781803926742.00041</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Urban destinations worldwide face many challenges, including an increasing number of visitors, a growing number of people living in cities, and economic and environmental disruptions, to name but a few. Sustainable development of urban destinations is thus an important topic that researchers have started to examine over the past decade. Still, little has been written on sustainable tourism development and the challenges faced by city destinations from Central and Eastern Europe (CEE), a region with a tumultuous history, many conquests, turmoil, and displacements. These events are reflected in the rich culture and diverse traditions that are maintained even today in some cities from the region. This chapter aims to contribute to filling this gap by discussing the challenges faced by CEE countries in their efforts to promote and implement sustainable tourism initiatives, with a focus on urban destinations. Additionally, it briefly explores the situation of sustainable urban tourism in post-communist Romania and presents examples of best practice in sustainable tourism implementation from several CEE cities.</w:t>
      </w:r>
    </w:p>
    <w:p>
      <w:pPr/>
      <w:r>
        <w:rPr>
          <w:b/>
        </w:rPr>
        <w:t>POSSIBLE 2023:</w:t>
      </w:r>
      <w:r>
        <w:t xml:space="preserve"> Challenges and opportunities of the European Critical Raw Materials Act — https://doi.org/10.1007/s13563-023-00394-y</w:t>
      </w:r>
    </w:p>
    <w:p>
      <w:pPr/>
      <w:r>
        <w:rPr>
          <w:b/>
        </w:rPr>
        <w:t>Shared claim-specific concepts:</w:t>
      </w:r>
      <w:r>
        <w:t xml:space="preserve"> challenges, increasing, energy, union, achieving; EU scope visible. This is a provisional connection, not an outcome finding.</w:t>
      </w:r>
    </w:p>
    <w:p>
      <w:pPr>
        <w:pStyle w:val="SourceNote"/>
      </w:pPr>
      <w:r>
        <w:rPr>
          <w:b/>
        </w:rPr>
        <w:t>Available abstract (not full text):</w:t>
      </w:r>
      <w:r>
        <w:t xml:space="preserve"> Abstract The Critical Raw Materials Act (CRMA) is an essential regulatory framework designed to address the pressing challenges faced by the European Union (EU) in the strategic sectors of decarbonization, digitalization, and aerospace and defense. It aims to tackle the lack of secure and sustainable access to critical raw materials (CRMs) by increasing anticipation and mitigation of supply risks, fostering domestic CRM potential, and promoting sustainable sourcing practices. Part of a broader “Green Industrial Plan” and aligned with the “Net-Zero Industry Act” (NZIA), the CRMA strives to position the EU as a leading hub for clean tech industries. The NZIA and CRMA packages respond to international trends of protecting clean energy technology and resources, akin to the US Inflation Reduction Act. Defining materials as “strategic” based on their relevance and expected demand for strategic technologies, the CRMA regulation establishes benchmarks for minimum shares of EU demand to be covered by domestically sourced and processed as well as recycled raw materials and aims at reducing dependencies on single third country suppliers in all steps of the supply chain. A communication complements the regulation by focusing on increasing CRM supply security and sustainability through circularity, standardization efforts, skill development, and strategic actions for research and innovation</w:t>
      </w:r>
    </w:p>
    <w:p>
      <w:pPr/>
      <w:r>
        <w:rPr>
          <w:b/>
        </w:rPr>
        <w:t>POSSIBLE 2023:</w:t>
      </w:r>
      <w:r>
        <w:t xml:space="preserve"> EUROPEAN PRACTICES OF RURAL GREEN TOURISM: CHALLENGES AND PROSPECTS — https://doi.org/10.30525/2256-0742/2023-9-5-275-282</w:t>
      </w:r>
    </w:p>
    <w:p>
      <w:pPr/>
      <w:r>
        <w:rPr>
          <w:b/>
        </w:rPr>
        <w:t>Shared claim-specific concepts:</w:t>
      </w:r>
      <w:r>
        <w:t xml:space="preserve"> presents, challenges, context; EU scope visible. This is a provisional connection, not an outcome finding.</w:t>
      </w:r>
    </w:p>
    <w:p>
      <w:pPr>
        <w:pStyle w:val="SourceNote"/>
      </w:pPr>
      <w:r>
        <w:rPr>
          <w:b/>
        </w:rPr>
        <w:t>Available abstract (not full text):</w:t>
      </w:r>
      <w:r>
        <w:t xml:space="preserve"> The relevance of researching rural green tourism in Europe is an important field that offers tourists the opportunity to enjoy nature and the countryside, interact with locals and participate in authentic rural life. Implementing environmentally sustainable green tourism practices will help conserve natural resources and reduce the environmental impact of tourism. Encouraging the development of local entrepreneurship and crafts can contribute to preserving the authenticity and economic development of rural areas. Rural green tourism can become a forum for cultural exchange between tourists and local people, promoting mutual understanding. A balanced approach that takes into account infrastructure needs, environmental sustainability, cultural aspects and the participation of local communities is key to the successful development of rural green tourism in Europe. The purpose of the study is to consider the theoretical and practical aspects of European practices of rural green tourism in the context of challenges, to analyse the prospects and opportunities for the development of rural green tourism. The research methodology of the topic includes the systemic method, which recognises the importance of studying the rural green tourism system in Europe, considering its elements and their interaction. The structural method aims at revealing the structure of the object, identifying the</w:t>
      </w:r>
    </w:p>
    <w:p>
      <w:pPr/>
      <w:r>
        <w:rPr>
          <w:b/>
        </w:rPr>
        <w:t>POSSIBLE 2023:</w:t>
      </w:r>
      <w:r>
        <w:t xml:space="preserve"> Climate Change in Europe — https://doi.org/10.1201/9781003404194-3</w:t>
      </w:r>
    </w:p>
    <w:p>
      <w:pPr/>
      <w:r>
        <w:rPr>
          <w:b/>
        </w:rPr>
        <w:t>Shared claim-specific concepts:</w:t>
      </w:r>
      <w:r>
        <w:t xml:space="preserve"> presents, challenges, union, achieving, climate, neutrality; EU scope visible. This is a provisional connection, not an outcome finding.</w:t>
      </w:r>
    </w:p>
    <w:p>
      <w:pPr>
        <w:pStyle w:val="SourceNote"/>
      </w:pPr>
      <w:r>
        <w:rPr>
          <w:b/>
        </w:rPr>
        <w:t>Available abstract (not full text):</w:t>
      </w:r>
      <w:r>
        <w:t xml:space="preserve"> This chapter presents an evaluation of the historical and projected impacts of climate change in Europe. The evaluation reveals that climate change manifests in various forms across all European regions, including warming temperatures, altered precipitation patterns, increased frequency and duration of heatwaves and droughts, and intensified coastal flooding events. Furthermore, several European nations – notably Germany, the United Kingdom, France, Italy, and Spain – have historically contributed significantly to global greenhouse gas (GHG) emissions. However, between 1990 and 2020, many of these countries successfully reduced their emissions; for instance, emissions from the European Union decreased by 31% during this period. Notably, a substantial portion of this reduction occurred during the COVID-19 pandemic. There is optimism that Europe may become the world&amp;s;s first carbon-neutral bloc by 2050 as European nations are currently implementing strategies and policies aimed at significantly reducing GHG emissions. Nevertheless, achieving climate neutrality by 2050 will depend on Europe&amp;s;s ability to address several critical challenges outlined in this chapter over the coming years.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presents, challenges, investments;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OPINIONS OF EUROPEAN MANAGERS ON THE CHALLENGES OF TEAM MANAGEMENT IN MULTICULTURAL WORK ENVIRONMENTS — https://doi.org/10.34739/zn.2023.61.01</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In contemporary companies, the knowledge and experience of both employees and managers significantly influence decision-making, operational effectiveness, and strategy implementation, especially in conditions of the continuously increasing role played by international cooperation. Multiculturalism is not only a common feature of companies which operate in the global market but also increasingly a key factor when it comes to people management. Although cultural diversity can bring many positive effects, it can also be a source of a range of problems. Thus it is so important for managers of culturally diverse teams to understand the essence of multiculturalism, to be able to manage cultural diversity skilfully, and to endorse values and adhere to principles which are highly relevant in multicultural work environments. The study presented in the article (individual in-depth interviews) was conducted among managers from six European countries. The main aim of the study was to identify challenges posed by multicultural work environments based on the opinions of managers who work with multicultural teams. The theoretical part of the article explains the concept of multiculturalism and presents multiculturalism in the context of management in contemporary work environments. The empirical part discusses the results of the interviews and the resulting conclusions. Undoubtedly, multicult</w:t>
      </w:r>
    </w:p>
    <w:p>
      <w:pPr>
        <w:pStyle w:val="Heading2"/>
      </w:pPr>
      <w:r>
        <w:t>519.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2024:</w:t>
      </w:r>
      <w:r>
        <w:t xml:space="preserve"> Cohort Differences in Physical Health and Disability in the United States and Europe — https://doi.org/10.1093/geronb/gbae113</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pPr/>
      <w:r>
        <w:rPr>
          <w:b/>
        </w:rPr>
        <w:t>POSSIBLE 2024:</w:t>
      </w:r>
      <w:r>
        <w:t xml:space="preserve"> Generational differences in physical health and disability in the United States and Europe — https://doi.org/10.1101/2024.01.16.24301347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pPr/>
      <w:r>
        <w:rPr>
          <w:b/>
        </w:rPr>
        <w:t>POSSIBLE 2023:</w:t>
      </w:r>
      <w:r>
        <w:t xml:space="preserve"> Burden of infectious disease studies in Europe and the United Kingdom: a review of methodological design choices — https://doi.org/10.1017/s0950268823000031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pStyle w:val="Heading2"/>
      </w:pPr>
      <w:r>
        <w:t>520.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2024:</w:t>
      </w:r>
      <w:r>
        <w:t xml:space="preserve"> Reducing pollution and economic sustainability policies from the use of renewable energy in European Union nations — https://doi.org/10.61435/ijred.2024.53205</w:t>
      </w:r>
    </w:p>
    <w:p>
      <w:pPr/>
      <w:r>
        <w:rPr>
          <w:b/>
        </w:rPr>
        <w:t>Shared claim-specific concepts:</w:t>
      </w:r>
      <w:r>
        <w:t xml:space="preserve"> much, pollution, energy, consumption; EU scope visible. This is a provisional connection, not an outcome finding.</w:t>
      </w:r>
    </w:p>
    <w:p>
      <w:pPr>
        <w:pStyle w:val="SourceNote"/>
      </w:pPr>
      <w:r>
        <w:rPr>
          <w:b/>
        </w:rPr>
        <w:t>Available abstract (not full text):</w:t>
      </w:r>
      <w:r>
        <w:t xml:space="preserve">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pPr/>
      <w:r>
        <w:rPr>
          <w:b/>
        </w:rPr>
        <w:t>POSSIBLE 2024:</w:t>
      </w:r>
      <w:r>
        <w:t xml:space="preserve"> Energy, Energy Subsidies and Economic Planning Gone Wild — https://doi.org/10.4324/9781003308225-14</w:t>
      </w:r>
    </w:p>
    <w:p>
      <w:pPr/>
      <w:r>
        <w:rPr>
          <w:b/>
        </w:rPr>
        <w:t>Shared claim-specific concepts:</w:t>
      </w:r>
      <w:r>
        <w:t xml:space="preserve"> much, pollution, energy, consumption, increase; EU scope visible. This is a provisional connection, not an outcome finding.</w:t>
      </w:r>
    </w:p>
    <w:p>
      <w:pPr>
        <w:pStyle w:val="SourceNote"/>
      </w:pPr>
      <w:r>
        <w:rPr>
          <w:b/>
        </w:rPr>
        <w:t>Available abstract (not full text):</w:t>
      </w:r>
      <w:r>
        <w:t xml:space="preserve"> Energy is enormously important for modern economies. Because of its economic and social importance, the production and end-use cost of energy are of keen interest to governments around the world. Governments will therefore sometimes explicitly or implicitly subsidize energy. Measuring subsidies is tricky, but where they exist, they reduce incentives for conservation and promote energy use, with sometimes enormous budgetary and pollution consequences. In general, energy subsidies reduce social welfare, though subsidies that address externalities, such as indoor air pollution from biomass fuels, may increase human welfare. All energy subsidies must be analyzed carefully because of potential lock-in effects. Comprehensive economic planning in the so-called Soviet Bloc was an extreme example of what can occur when subsidies are substantial. Though we may not know for sure how much of the extra environmental damage done there was directly due to energy subsidies, we know that energy in the Soviet Bloc was much cheaper than in the West. When the system fully ended in August 1991, energy and other prices shot up, consumption of energy fell, and pollution problems came to look much more like those in Western Europe. Now 11 of the 27 members of the European Union are former Soviet Bloc members.</w:t>
      </w:r>
    </w:p>
    <w:p>
      <w:pPr/>
      <w:r>
        <w:rPr>
          <w:b/>
        </w:rPr>
        <w:t>POSSIBLE 2023:</w:t>
      </w:r>
      <w:r>
        <w:t xml:space="preserve"> A comprehensive insight into Waste to Energy conversion strategies in India and its associated air pollution hazard — https://doi.org/10.1016/j.eti.2023.103017</w:t>
      </w:r>
    </w:p>
    <w:p>
      <w:pPr/>
      <w:r>
        <w:rPr>
          <w:b/>
        </w:rPr>
        <w:t>Shared claim-specific concepts:</w:t>
      </w:r>
      <w:r>
        <w:t xml:space="preserve"> much, pollution, energy, strategies; EU scope visible. This is a provisional connection, not an outcome finding.</w:t>
      </w:r>
    </w:p>
    <w:p>
      <w:pPr>
        <w:pStyle w:val="SourceNote"/>
      </w:pPr>
      <w:r>
        <w:rPr>
          <w:b/>
        </w:rPr>
        <w:t>Available abstract (not full text):</w:t>
      </w:r>
      <w:r>
        <w:t xml:space="preserve"> With the increasing demand for cheap energy sources, Waste-to-Energy (WtE) strategies are gaining importance across the world. In India, such strategies have a two-way benefit i.e., generating electricity using municipal solid waste and helping in solid waste management by reducing the need for landfill sites. In this review, the focus has been given to identifying and analysing toxicological problems related to major air pollutants emitted during the WtE conversion process. Depending upon the country and state, the nature of solid waste and emission standards vary which directly impacts air quality standards and steps required to reduce such emissions. In India, the percentage of wet solid waste is much higher than dry solid waste which significantly deters the economic and technical feasibility of WtE plants. The heating value of solid waste reduces significantly when improper waste segregation occurs which is detrimental from both the electricity generation and pollution viewpoint. These problems associated with solid waste management have been covered in detail in the manuscript. This review article also provides a comparative study of Indian WtE plants with their global specifically European counterparts. The adverse effect of pollutants emitted from WtE plants on human health has been discussed in the article along with the air pollution control methods to mitigate the pr</w:t>
      </w:r>
    </w:p>
    <w:p>
      <w:pPr/>
      <w:r>
        <w:rPr>
          <w:b/>
        </w:rPr>
        <w:t>POSSIBLE 2023:</w:t>
      </w:r>
      <w:r>
        <w:t xml:space="preserve"> Globalization and Pollution in Central and Eastern European EU Countries — https://doi.org/10.61225/rjrs.2023.03</w:t>
      </w:r>
    </w:p>
    <w:p>
      <w:pPr/>
      <w:r>
        <w:rPr>
          <w:b/>
        </w:rPr>
        <w:t>Shared claim-specific concepts:</w:t>
      </w:r>
      <w:r>
        <w:t xml:space="preserve"> pollution, energy, consumption; EU scope visible. This is a provisional connection, not an outcome finding.</w:t>
      </w:r>
    </w:p>
    <w:p>
      <w:pPr>
        <w:pStyle w:val="SourceNote"/>
      </w:pPr>
      <w:r>
        <w:rPr>
          <w:b/>
        </w:rPr>
        <w:t>Available abstract (not full text):</w:t>
      </w:r>
      <w:r>
        <w:t xml:space="preserve"> Pollution and globalization are current challenges for Central and Eastern Europe (CEE), especially in the context of negative effects of globalization on environment. The aim of this paper is to assess the impact of globalization index on CO2 emissions in the CEE countries that joined the EU in the period 2005-2021. The results based on a panel data approach with DOLS/FMOLS estimators confirm the hypothesis that globalization enhances pollution in this region, but a non-linear relationship was validated between CO2 emissions and globalization index. After reaching a maximum level, the CO2 emissions begin to decrease, while globalization enhances. On the other hand, economic freedom and electricity prices in household consumers had a positive impact on pollution. Renewable energy consumption has the capacity to reduce pollution, while higher electricity prices for non-household users discourage economic activities, which contribute to environmental protection. These empirical findings could support policy proposals to reduce pollution in this region.</w:t>
      </w:r>
    </w:p>
    <w:p>
      <w:pPr/>
      <w:r>
        <w:rPr>
          <w:b/>
        </w:rPr>
        <w:t>POSSIBLE 2023:</w:t>
      </w:r>
      <w:r>
        <w:t xml:space="preserve"> Impact of 2020 COVID-19 lockdowns on particulate air pollution across Europe — https://doi.org/10.5194/acp-23-10145-2023</w:t>
      </w:r>
    </w:p>
    <w:p>
      <w:pPr/>
      <w:r>
        <w:rPr>
          <w:b/>
        </w:rPr>
        <w:t>Shared claim-specific concepts:</w:t>
      </w:r>
      <w:r>
        <w:t xml:space="preserve"> pollution, expected, size; EU scope visible. This is a provisional connection, not an outcome finding.</w:t>
      </w:r>
    </w:p>
    <w:p>
      <w:pPr>
        <w:pStyle w:val="SourceNote"/>
      </w:pPr>
      <w:r>
        <w:rPr>
          <w:b/>
        </w:rPr>
        <w:t>Available abstract (not full text):</w:t>
      </w:r>
      <w:r>
        <w:t xml:space="preserve"> Abstract. To fight against the first wave of Coronavirus disease 2019 (COVID-19) in 2020, lockdown measures were implemented in most European countries. These lockdowns had well-documented effects on human mobility. We assessed the impact of the lockdown implementation and relaxation on air pollution by comparing daily particulate matter (PM), nitrogen dioxide (NO2), and ozone (O3) concentrations, as well as particle number size distributions (PNSD) and particle light absorption coefficients in-situ measurement data with values expected if no COVID-19 epidemic had occurred at 28 sites across Europe for the period 17 February – 31 May 2020. Expected PM, NO2 and O3 concentrations were calculated from the 2020 Copernicus Atmospheric Monitoring Service (CAMS) Ensemble forecasts, combined with 2019 CAMS Ensemble forecasts and measurement data. On average, lockdown implementations did not lead to a decrease in PM2.5 mass concentrations at urban sites, while relaxations resulted in a +26 ± 21% rebound. The impacts of lockdown implementation and relaxation on NO2 concentrations were more consistent (−29 ± 17 %, and +31 ± 30 %, respectively). The implementation of the lockdown measures also induced statistically significant increases in O3 concentrations at half of all sites (+13 % on average). An enhanced oxidizing capacity of the atmosphere could have boosted the production of seconda</w:t>
      </w:r>
    </w:p>
    <w:p>
      <w:pPr/>
      <w:r>
        <w:rPr>
          <w:b/>
        </w:rPr>
        <w:t>POSSIBLE 2023:</w:t>
      </w:r>
      <w:r>
        <w:t xml:space="preserve"> Assessing the environmental impacts of renewable energy sources: A case study on air pollution and carbon emissions in China — https://doi.org/10.1016/j.jenvman.2023.118525</w:t>
      </w:r>
    </w:p>
    <w:p>
      <w:pPr/>
      <w:r>
        <w:rPr>
          <w:b/>
        </w:rPr>
        <w:t>Shared claim-specific concepts:</w:t>
      </w:r>
      <w:r>
        <w:t xml:space="preserve"> pollution, energy, consumption, increase, strategies; EU scope not established. This is a provisional connection, not an outcome finding.</w:t>
      </w:r>
    </w:p>
    <w:p>
      <w:pPr>
        <w:pStyle w:val="SourceNote"/>
      </w:pPr>
      <w:r>
        <w:rPr>
          <w:b/>
        </w:rPr>
        <w:t>Available abstract (not full text):</w:t>
      </w:r>
      <w:r>
        <w:t xml:space="preserve"> This study investigates the impact of renewable and non-renewable energy sources on carbon emissions in the context of China's 14th Five-Year Plan (2021-2025). The plan emphasises a "Dual-control" strategy of simultaneously setting energy consumption limits and reducing energy intensity for GDP (gross domestic product) in order to meet the targets of the five-year plan. Using a comprehensive dataset of Chinese energy and macroeconomic information spanning from 1990 to 2022, we conduct a Granger causality analysis to explore the relationship between energy sources and the level of air pollution. Our findings reveal a unidirectional link, wherein renewable energy contributes to a reduction in air pollution, while non-renewable energy sources lead to an increase. Despite the government's investment in renewable energy, our results show that China's economy remains heavily reliant on traditional energy sources (e.g., fossil fuels). This research is the first systematic examination of the interplay between energy usage and carbon emissions in the Chinese context. Our findings provide valuable insights for policy and market strategies aimed at promoting carbon neutrality and driving technological advancements in both government and industries.</w:t>
      </w:r>
    </w:p>
    <w:p>
      <w:pPr/>
      <w:r>
        <w:rPr>
          <w:b/>
        </w:rPr>
        <w:t>POSSIBLE 2023:</w:t>
      </w:r>
      <w:r>
        <w:t xml:space="preserve"> Is there a pollution haven in European Union global value chain participation? — https://doi.org/10.1007/s10668-023-03563-9</w:t>
      </w:r>
    </w:p>
    <w:p>
      <w:pPr/>
      <w:r>
        <w:rPr>
          <w:b/>
        </w:rPr>
        <w:t>Shared claim-specific concepts:</w:t>
      </w:r>
      <w:r>
        <w:t xml:space="preserve"> pollution, energy, consumption; EU scope visible. This is a provisional connection, not an outcome finding.</w:t>
      </w:r>
    </w:p>
    <w:p>
      <w:pPr>
        <w:pStyle w:val="SourceNote"/>
      </w:pPr>
      <w:r>
        <w:rPr>
          <w:b/>
        </w:rPr>
        <w:t>Available abstract (not full text):</w:t>
      </w:r>
      <w:r>
        <w:t xml:space="preserve"> Abstract This paper aims to test the pollution haven hypothesis within the European Union (EU), especially among newcomer countries, through the participation in global value chains (GVCs). The study used a combination of multiregional input–output method and multilevel mixed econometric analysis to investigate the relationship between global value chain trade flows, foreign direct investment flows, energy consumption, and carbon emissions across countries, sectors, and time. The study tested both the “pollution haven” and “pollution halo” hypotheses and found a non-linear relationship between foreign capital flows and carbon emissions, which became less relevant after the economic integration process. The results suggest the existence of a pollution haven in Europe. Although Eastern economies still exhibit problematic issues in relation to pollution control, they have made significant progress in reducing their emissions intensity. The conclusions include some policy recommendations based on the main findings of the research.</w:t>
      </w:r>
    </w:p>
    <w:p>
      <w:pPr>
        <w:pStyle w:val="Heading2"/>
      </w:pPr>
      <w:r>
        <w:t>521.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2024:</w:t>
      </w:r>
      <w:r>
        <w:t xml:space="preserve"> Soil pollution in the European Union – An outlook — https://doi.org/10.1016/j.envsci.2024.103876</w:t>
      </w:r>
    </w:p>
    <w:p>
      <w:pPr/>
      <w:r>
        <w:rPr>
          <w:b/>
        </w:rPr>
        <w:t>Shared claim-specific concepts:</w:t>
      </w:r>
      <w:r>
        <w:t xml:space="preserve"> union, relevant; EU scope visible. This is a provisional connection, not an outcome finding.</w:t>
      </w:r>
    </w:p>
    <w:p>
      <w:pPr>
        <w:pStyle w:val="SourceNote"/>
      </w:pPr>
      <w:r>
        <w:rPr>
          <w:b/>
        </w:rPr>
        <w:t>Available abstract (not full text):</w:t>
      </w:r>
      <w:r>
        <w:t xml:space="preserve"> Soil pollution in the European Union (EU) is poorly quantified, because of several years of reduced attention and limited funding on soil research and monitoring.Moreover, issues such as different monitoring methodologies within Member States (MS), and quantification methods focused on pseudototal rather than the available fraction of pollutants, has been limiting our understanding of risk under soil pollution.Despite that, thanks to efforts from the scientific community, it was possible to achieve some progress, which is by far insufficient for the problem at hand.In the anticipation of future policy demands and towards a common strategy for tackling soil pollution in the EU, it seemed relevant to describe the limited knowledge and main uncertainties.Such analysis should provide evidence for the development of efficient policies, as well as updating current ones to better tackle the interdisciplinary of soil.This perspective provides our view on current knowledge on soil pollution at EU scale, by compiling the most updated assessments made at EU scale, identifying soil pollution drivers, impacts on health and the environment, and evaluating current state of knowledge.Allowing us to infer about current level of uncertainties and knowledge gaps and identify solutions through future research and policies.Our suggestions are in line with an increasing investment on research and in</w:t>
      </w:r>
    </w:p>
    <w:p>
      <w:pPr/>
      <w:r>
        <w:rPr>
          <w:b/>
        </w:rPr>
        <w:t>POSSIBLE 2024:</w:t>
      </w:r>
      <w:r>
        <w:t xml:space="preserve"> Credit Claiming in the European Union — https://doi.org/10.1086/732970</w:t>
      </w:r>
    </w:p>
    <w:p>
      <w:pPr/>
      <w:r>
        <w:rPr>
          <w:b/>
        </w:rPr>
        <w:t>Shared claim-specific concepts:</w:t>
      </w:r>
      <w:r>
        <w:t xml:space="preserve"> union, frequently, strategies; EU scope visible. This is a provisional connection, not an outcome finding.</w:t>
      </w:r>
    </w:p>
    <w:p>
      <w:pPr>
        <w:pStyle w:val="SourceNote"/>
      </w:pPr>
      <w:r>
        <w:rPr>
          <w:b/>
        </w:rPr>
        <w:t>Available abstract (not full text):</w:t>
      </w:r>
      <w:r>
        <w:t xml:space="preserve"> Incumbents in multilevel systems are assumed to exploit uncertainty of responsibility by claiming credit and shifting blame, yet little is known about when and how they engage in these rhetorical strategies. This article draws on the example of Europe’s multilevel system of governance to argue that electoral incentives determine governments’ presentation of the European Union (EU) in their domestic public spheres. I use an original dataset of over 6,000 classified statements by heads of government presenting the outcomes of EU summits to their national media between 2005 and 2018 and find that governments both claim credit for themselves and share credit with other levels of government. Governments are more likely to claim credit when domestic Euroskepticism is high and for issues that are salient to domestic audiences. Findings challenge the conventional view that the EU receives little recognition from politicians in domestic public spheres and that governments frequently shift blame onto the EU. Rather, the EU is credited for policy issues citizens care less about, whereas governments claim credit for issues that are electorally salient. Findings have implications for democratic accountability in multilevel systems of governance.</w:t>
      </w:r>
    </w:p>
    <w:p>
      <w:pPr/>
      <w:r>
        <w:rPr>
          <w:b/>
        </w:rPr>
        <w:t>POSSIBLE 2023:</w:t>
      </w:r>
      <w:r>
        <w:t xml:space="preserve"> The European Union One Health 2022 Zoonoses Report — https://doi.org/10.2903/j.efsa.2023.8442</w:t>
      </w:r>
    </w:p>
    <w:p>
      <w:pPr/>
      <w:r>
        <w:rPr>
          <w:b/>
        </w:rPr>
        <w:t>Shared claim-specific concepts:</w:t>
      </w:r>
      <w:r>
        <w:t xml:space="preserve"> union, frequently, relevant, last;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Digitalisation and Economic Growth in the European Union — https://doi.org/10.3390/electronics12071718</w:t>
      </w:r>
    </w:p>
    <w:p>
      <w:pPr/>
      <w:r>
        <w:rPr>
          <w:b/>
        </w:rPr>
        <w:t>Shared claim-specific concepts:</w:t>
      </w:r>
      <w:r>
        <w:t xml:space="preserve"> union, taken;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522.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pStyle w:val="Heading2"/>
      </w:pPr>
      <w:r>
        <w:t>523.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pStyle w:val="Heading2"/>
      </w:pPr>
      <w:r>
        <w:t>524.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r>
        <w:rPr>
          <w:b/>
        </w:rPr>
        <w:t>POSSIBLE 2024:</w:t>
      </w:r>
      <w:r>
        <w:t xml:space="preserve"> Meeting Abstracts for the Society for Simulation in Europe 2024 — https://doi.org/10.1186/s41077-024-00287-2</w:t>
      </w:r>
    </w:p>
    <w:p>
      <w:pPr/>
      <w:r>
        <w:rPr>
          <w:b/>
        </w:rPr>
        <w:t>Shared claim-specific concepts:</w:t>
      </w:r>
      <w:r>
        <w:t xml:space="preserve"> society, both; EU scope visible. This is a provisional connection, not an outcome finding.</w:t>
      </w:r>
    </w:p>
    <w:p>
      <w:pPr>
        <w:pStyle w:val="SourceNote"/>
      </w:pPr>
      <w:r>
        <w:rPr>
          <w:b/>
        </w:rPr>
        <w:t>Available abstract (not full text):</w:t>
      </w:r>
      <w:r>
        <w:t xml:space="preserve"> Advances in Simulation 2024, 9(1): O1 man cohort.In conclusion, the multidimensional assessment model used in our study was able to discriminate between 3rd and 4th year residents in both cohorts, demonstrating validity, but did not show differences among residents from two different training systems.</w:t>
      </w:r>
    </w:p>
    <w:p>
      <w:pPr/>
      <w:r>
        <w:rPr>
          <w:b/>
        </w:rPr>
        <w:t>POSSIBLE 2024:</w:t>
      </w:r>
      <w:r>
        <w:t xml:space="preserve"> Assumptions and simplifications in discrete-event simulation modelling — https://doi.org/10.1080/17477778.2024.2407369</w:t>
      </w:r>
    </w:p>
    <w:p>
      <w:pPr/>
      <w:r>
        <w:rPr>
          <w:b/>
        </w:rPr>
        <w:t>Shared claim-specific concepts:</w:t>
      </w:r>
      <w:r>
        <w:t xml:space="preserve"> incorporating, assumptions; EU scope not established. This is a provisional connection, not an outcome finding.</w:t>
      </w:r>
    </w:p>
    <w:p>
      <w:pPr>
        <w:pStyle w:val="SourceNote"/>
      </w:pPr>
      <w:r>
        <w:rPr>
          <w:b/>
        </w:rPr>
        <w:t>Available abstract (not full text):</w:t>
      </w:r>
      <w:r>
        <w:t xml:space="preserve"> All discrete-event simulation models are approximations of the real system that they represent. It is through making assumptions and incorporating simplifications into such models that they become an approximation. However, despite their importance, the 4definition, role and management of assumptions and simplifications is not well understood. In this paper we explore assumptions and simplifications in discrete-event simulation modelling in detail. Our approach is firstly to explore the existing literature on this topic, and then to draw this together with our extensive experience of real projects to recommend an approach to managing assumptions and simplifications in a simulation study. In doing so, we locate the role of assumptions and simplifications in a simulation study against knowledge acquisition and model abstraction respectively. We define the terms “assumptions” and “simplifications”, also identifying the role of “simplifying assumptions”. An approach to documenting, assessing and treating assumptions and simplifications which has been implemented in real projects is then described; and it is illustrated through application to a Ford Motor Company case study. This paper provides much needed clarity on the topic of assumptions and simplifications in simulation modelling, and it sets out a means for managing assumptions and simplifications during a simulation study.</w:t>
      </w:r>
    </w:p>
    <w:p>
      <w:pPr/>
      <w:r>
        <w:rPr>
          <w:b/>
        </w:rPr>
        <w:t>POSSIBLE 2023:</w:t>
      </w:r>
      <w:r>
        <w:t xml:space="preserve"> Introduction: Assimilation, integration or transnationalism? An overview of theories of migrant incorporation — https://doi.org/10.1111/imig.13118</w:t>
      </w:r>
    </w:p>
    <w:p>
      <w:pPr/>
      <w:r>
        <w:rPr>
          <w:b/>
        </w:rPr>
        <w:t>Shared claim-specific concepts:</w:t>
      </w:r>
      <w:r>
        <w:t xml:space="preserve"> society, policies, both, societies, process; EU scope visible. This is a provisional connection, not an outcome finding.</w:t>
      </w:r>
    </w:p>
    <w:p>
      <w:pPr>
        <w:pStyle w:val="SourceNote"/>
      </w:pPr>
      <w:r>
        <w:rPr>
          <w:b/>
        </w:rPr>
        <w:t>Available abstract (not full text):</w:t>
      </w:r>
      <w:r>
        <w:t xml:space="preserve"> The incorporation of immigrants is one of the most important issues both in immigration research and for immigration societies. The question of how foreigners become members of a new society and are able to enjoy full access to social, economic and political rights has been as relevant for historical immigration processes like the 19th-century European immigration to the United States as it is for the recent Syrian refugee immigration to Europe or migrants from Latin America who are seeking to escape the violence and corruption in their home countries and are trying to cross the US southern border. To explain incorporation processes, two research paradigms have for a long time dominated scholarly and later also political debates. The first one, assimilation, was introduced as a scholarly concept at the end of the 19th century, but the article Racial Assimilation in Secondary Groups with Particular Reference to Negro by US sociologist Robert Park published in 1914 is widely considered the first seminal contribution on the topic. The ideas expressed by Park were further developed over the next decades, and in the 1980 s, the concept of assimilation crossed the Atlantic and was taken up by European sociologists. In Germany, in particular, US assimilation theory became the basis for one of the most important approaches, the integration concept by sociologist Hartmut Esser (1980, 20</w:t>
      </w:r>
    </w:p>
    <w:p>
      <w:pPr>
        <w:pStyle w:val="Heading2"/>
      </w:pPr>
      <w:r>
        <w:t>525.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r>
        <w:rPr>
          <w:b/>
        </w:rPr>
        <w:t>POSSIBLE 2023:</w:t>
      </w:r>
      <w:r>
        <w:t xml:space="preserve"> Costs and benefits of climate services for heat-health adaptation in Europe — https://doi.org/10.1093/eurpub/ckad160.371</w:t>
      </w:r>
    </w:p>
    <w:p>
      <w:pPr/>
      <w:r>
        <w:rPr>
          <w:b/>
        </w:rPr>
        <w:t>Shared claim-specific concepts:</w:t>
      </w:r>
      <w:r>
        <w:t xml:space="preserve"> background, climate, heat;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How future climate and tree distribution changes shape the biodiversity of macrofungi across Europe — https://doi.org/10.1111/ddi.13688</w:t>
      </w:r>
    </w:p>
    <w:p>
      <w:pPr/>
      <w:r>
        <w:rPr>
          <w:b/>
        </w:rPr>
        <w:t>Shared claim-specific concepts:</w:t>
      </w:r>
      <w:r>
        <w:t xml:space="preserve"> varying, climate, including; EU scope visible. This is a provisional connection, not an outcome finding.</w:t>
      </w:r>
    </w:p>
    <w:p>
      <w:pPr>
        <w:pStyle w:val="SourceNote"/>
      </w:pPr>
      <w:r>
        <w:rPr>
          <w:b/>
        </w:rPr>
        <w:t>Available abstract (not full text):</w:t>
      </w:r>
      <w:r>
        <w:t xml:space="preserve"> Abstract Aim Climate change is affecting biodiversity at an accelerating rate. Despite the importance of fungi in ecosystems in general, and in the global carbon and nitrogen cycle in particular, there is little research on the response of fungi to climate change compared with plants and animals. Earlier studies show that climatic factors and tree species are key determinants of macrofungal diversity and distribution at large spatial scales. However, our knowledge of how climate change will affect macrofungal diversity and distribution in the future remains poorly understood. Location Europe. Methods Using openly available occurrence data of 1845 macrofungal species from eight European countries (i.e. Norway, Sweden, Finland, Denmark, Netherlands, Germany, France and Spain), we built ensemble species distribution models to predict macrofungal response to climate change alone and combined climate and tree distribution change under the IPCC special report on 2080 emissions scenarios (SRES A2 and B2). Results Considering climate change alone, we predict that about 77% (74.1%–80.7%) of the modelled species will expand their distribution range, and around 57% (56.1%–58.4%) of the modelled area will have an increase in macrofungal species richness. However, when considering the combined climate and tree species distribution change, only 50% (50%–50.9%) of the species are predicted to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background, climate, july, warmer;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pStyle w:val="Heading2"/>
      </w:pPr>
      <w:r>
        <w:t>526.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2024:</w:t>
      </w:r>
      <w:r>
        <w:t xml:space="preserve"> Narrative Beginnings: Relations between First Full-Fledged Scenes and the Beginning of the Main Action — https://doi.org/10.1353/nar.2024.a916602</w:t>
      </w:r>
    </w:p>
    <w:p>
      <w:pPr/>
      <w:r>
        <w:rPr>
          <w:b/>
        </w:rPr>
        <w:t>Shared claim-specific concepts:</w:t>
      </w:r>
      <w:r>
        <w:t xml:space="preserve"> first, identify, main, alternative; EU scope not established. This is a provisional connection, not an outcome finding.</w:t>
      </w:r>
    </w:p>
    <w:p>
      <w:pPr>
        <w:pStyle w:val="SourceNote"/>
      </w:pPr>
      <w:r>
        <w:rPr>
          <w:b/>
        </w:rPr>
        <w:t>Available abstract (not full text):</w:t>
      </w:r>
      <w:r>
        <w:t xml:space="preserve"> ABSTRACT: This essay focuses on two important phenomena in the context of narrative “beginnings”: the beginning of the action proper and the first full-fledged scene (FFS), namely, the first time-section in the text that the author finds to be of consequence enough to deserve full scenic treatment. The point of departure for my discussion is Meir Sternberg’s claim that the FFS always signals the beginning of the action proper (and the end of the exposition) in the fabula. To refute this as an absolute claim, I examine several types of openings where the FFS either succeeds or precedes chronologically the beginning of the action proper. I thereby also try to demonstrate it is instructive to consider the FFS more generally as significant on aesthetic and rhetorical grounds within the narrative whole; it can perform various and possibly alternative functions to the one Sternberg attributes to it as necessary and constant. Moreover, regarding the question of establishing the beginning point of the action proper, I suggest as an alternative signpost another full-fledged scene—the first in what I call the “main linear sequence” of the work (the application of both criteria often leads to the same result, but not always). This alternative indicator is not without its limitations either, but these limitations are methodologically useful since they help us identify and explain cases whe</w:t>
      </w:r>
    </w:p>
    <w:p>
      <w:pPr/>
      <w:r>
        <w:rPr>
          <w:b/>
        </w:rPr>
        <w:t>POSSIBLE 2024:</w:t>
      </w:r>
      <w:r>
        <w:t xml:space="preserve"> Population of Kalmykia: Main Geodemographic Trends of the First Quarter of the 21st Century — https://doi.org/10.15688/re.volsu.2024.4.15</w:t>
      </w:r>
    </w:p>
    <w:p>
      <w:pPr/>
      <w:r>
        <w:rPr>
          <w:b/>
        </w:rPr>
        <w:t>Shared claim-specific concepts:</w:t>
      </w:r>
      <w:r>
        <w:t xml:space="preserve"> first, identify, main, trends, region; EU scope not established. This is a provisional connection, not an outcome finding.</w:t>
      </w:r>
    </w:p>
    <w:p>
      <w:pPr>
        <w:pStyle w:val="SourceNote"/>
      </w:pPr>
      <w:r>
        <w:rPr>
          <w:b/>
        </w:rPr>
        <w:t>Available abstract (not full text):</w:t>
      </w:r>
      <w:r>
        <w:t xml:space="preserve"> The article analyzes the main trends in the quantitative, spatial, and settlement dynamics of the population of Kalmykia in the first quarter of the 21 st century. It was found that migration was the main factor of geodemographic changes. The active outflow of population determined the increased rate of demographic losses in the republic (8.8% for 2002–2024 was the highest rate among regions in the South of Russia), despite the maintenance of a positive natural growth rate until the early 2020s. A slight reduction in the scale of migration loss in the 2000s and its new growth in the 2010s make it possible to identify two periods in the demographic dynamics of the republic’s population, which generally coincide with the first two decades of the 21 st century. The outflow of population was widespread, but its intensity varied significantly across the territory of Kalmykia. The maximum demographic losses (21–30%) in the first quarter of the century were suffered by the western and northwestern districts (Gorodovikovsky, Priyutnensky, Sarpinsky, Ketcherovsky), in which significant outflow was combined with a natural decrease in the population due to its national structure (high proportion of Russians). In the inter-regional exchange, all the territorial communities of Kalmykia, including the capital, lost their population. In the intraregional population circulation, the metropolit</w:t>
      </w:r>
    </w:p>
    <w:p>
      <w:pPr/>
      <w:r>
        <w:rPr>
          <w:b/>
        </w:rPr>
        <w:t>POSSIBLE 2023:</w:t>
      </w:r>
      <w:r>
        <w:t xml:space="preserve"> Identifying the Main Factors of Providing Primary Preventive Care Services to the Elderly in Iran — https://doi.org/10.32598/sija.2022.3180.3</w:t>
      </w:r>
    </w:p>
    <w:p>
      <w:pPr/>
      <w:r>
        <w:rPr>
          <w:b/>
        </w:rPr>
        <w:t>Shared claim-specific concepts:</w:t>
      </w:r>
      <w:r>
        <w:t xml:space="preserve"> first, identify, main, systems, face, terms; EU scope not established. This is a provisional connection, not an outcome finding.</w:t>
      </w:r>
    </w:p>
    <w:p>
      <w:pPr>
        <w:pStyle w:val="SourceNote"/>
      </w:pPr>
      <w:r>
        <w:rPr>
          <w:b/>
        </w:rPr>
        <w:t>Available abstract (not full text):</w:t>
      </w:r>
      <w:r>
        <w:t xml:space="preserve"> Objectives: The ageing of the population lead to various problems in terms of health care. An important issue related to the promotion of elderly health is preventive care. The health care systems make appropriate changes in the structure and process of providing these services to the patients. This study aims to identify the most important factors of providing primary preventive care services to the elderly in Iran. Methods &amp; Materials: In this descriptive-survey study, the variables were measured using a questionnaire and the causal relationships between them were identified. First, the factors affecting the provision of primary preventive care services to the elderly in selected countries including Iran were compared. Then, using the experiences of a panel of experts (n=12), an initial questionnaire was designed. To obtain consensus from the panel of experts, a Delphi process was carried out in three rounds. After determining the face and content validity of the questionnaire and assessing its reliability using Cronbach’s alpha coefficient, the questionnaire were completed by 176 experts. To measure the effect of the components on the main variable, the structural equation modeling (SEM) was used. Results: The model had 6 dimensions (planning, organizing, resource supply, monitoring, leadership, and preventive care). The factor load for the variable of planning was 0.68 (t=5</w:t>
      </w:r>
    </w:p>
    <w:p>
      <w:pPr/>
      <w:r>
        <w:rPr>
          <w:b/>
        </w:rPr>
        <w:t>POSSIBLE 2023:</w:t>
      </w:r>
      <w:r>
        <w:t xml:space="preserve"> Soil and vegetation water content identify the main terrestrial ecosystem changes — https://doi.org/10.1093/nsr/nwad026</w:t>
      </w:r>
    </w:p>
    <w:p>
      <w:pPr/>
      <w:r>
        <w:rPr>
          <w:b/>
        </w:rPr>
        <w:t>Shared claim-specific concepts:</w:t>
      </w:r>
      <w:r>
        <w:t xml:space="preserve"> identify, main, trends, driving, responses, water; EU scope not established. This is a provisional connection, not an outcome finding.</w:t>
      </w:r>
    </w:p>
    <w:p>
      <w:pPr>
        <w:pStyle w:val="SourceNote"/>
      </w:pPr>
      <w:r>
        <w:rPr>
          <w:b/>
        </w:rPr>
        <w:t>Available abstract (not full text):</w:t>
      </w:r>
      <w:r>
        <w:t xml:space="preserve"> Environmental change is a consequence of many interrelated factors. How vegetation responds to natural and human activity still needs to be well established, quantified and understood. Recent satellite missions providing hydrologic and ecological indicators enable better monitoring of Earth system changes, yet there is no automatic way to address this issue directly from observations. Here, we develop an observation-based methodology to capture evidence of changes in global terrestrial ecosystems and attribute these changes to natural or anthropogenic activity. We use the longest time record of global microwave L-band soil moisture and vegetation optical depth as satellite data and build spatially explicit maps of change in soil and vegetation water content and biomass reflecting large ecosystem changes during the last decade, 2010-20. Regions of prominent trends (from [Formula: see text] to 9% per year) are observed, especially in humid and semi-arid climates. We further combine such trends with land cover change maps, vegetation greenness and precipitation variability to assess their relationship with major documented ecosystem changes. Several regions emerge from our results. They cluster changes according to human activity drivers, including deforestation (Amazon, Central Africa) and wildfires (East Australia), artificial reforestation (South-East China), abandonment of far</w:t>
      </w:r>
    </w:p>
    <w:p>
      <w:pPr>
        <w:pStyle w:val="Heading2"/>
      </w:pPr>
      <w:r>
        <w:t>527.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r>
        <w:rPr>
          <w:b/>
        </w:rPr>
        <w:t>POSSIBLE 2023:</w:t>
      </w:r>
      <w:r>
        <w:t xml:space="preserve"> Modern paradigms and megatrends of industrialdevelopment — https://doi.org/10.15407/econindustry2023.01.005</w:t>
      </w:r>
    </w:p>
    <w:p>
      <w:pPr/>
      <w:r>
        <w:rPr>
          <w:b/>
        </w:rPr>
        <w:t>Shared claim-specific concepts:</w:t>
      </w:r>
      <w:r>
        <w:t xml:space="preserve"> megatrends, long-term, current, increasingly; EU scope not established. This is a provisional connection, not an outcome finding.</w:t>
      </w:r>
    </w:p>
    <w:p>
      <w:pPr>
        <w:pStyle w:val="SourceNote"/>
      </w:pPr>
      <w:r>
        <w:rPr>
          <w:b/>
        </w:rPr>
        <w:t>Available abstract (not full text):</w:t>
      </w:r>
      <w:r>
        <w:t xml:space="preserve"> Implementation of long-term strategies by all industrial stakeholders. The global nature of the challenges necessitates the organic and harmonious integration of all national economies into a new paradigmatic development framework. This requires active rethinking of strategic concepts and industrial policies by political and economic elites at the national, regional, and global levels. There is a growing trend towards expanding the targeted multi-dimensionality of industrial development as a component of holistic socio-economic systems at any level. Thus, the task of deepening the balance and harmonization of individual vectors and processes, both in the sector itself and in related sectors of the economy, is becoming more urgent. As part of the implementation of the imperatives of the socio-humanitarian paradigm, megatrends are being formed to prioritize the inclusion of humanitarian progress goals in industrial strategies and policies, transition to customer-oriented business models, and reorientation of industrial activities to form/expand the "comfort zone" (in various dimensions). The trend of systemic changes in the models of production use of all types of resources on the basis of maximizing resources’ efficiency and environmental safety is strategically important for global industrial development. This will lead to a shift in emphasis in long-term strategies from maximi</w:t>
      </w:r>
    </w:p>
    <w:p>
      <w:pPr/>
      <w:r>
        <w:rPr>
          <w:b/>
        </w:rPr>
        <w:t>POSSIBLE 2023:</w:t>
      </w:r>
      <w:r>
        <w:t xml:space="preserve"> Drivers of German Economic Development in the Context of the Megatrend of Digitalization — https://doi.org/10.32983/2222-4459-2023-9-49-55</w:t>
      </w:r>
    </w:p>
    <w:p>
      <w:pPr/>
      <w:r>
        <w:rPr>
          <w:b/>
        </w:rPr>
        <w:t>Shared claim-specific concepts:</w:t>
      </w:r>
      <w:r>
        <w:t xml:space="preserve"> long-term, driving, forces; EU scope visible. This is a provisional connection, not an outcome finding.</w:t>
      </w:r>
    </w:p>
    <w:p>
      <w:pPr>
        <w:pStyle w:val="SourceNote"/>
      </w:pPr>
      <w:r>
        <w:rPr>
          <w:b/>
        </w:rPr>
        <w:t>Available abstract (not full text):</w:t>
      </w:r>
      <w:r>
        <w:t xml:space="preserve"> Digitalization is one of the key modern drivers of influence on the development of the economies of both individual countries and the world economy as a whole. Accordingly, the megatrend of digitalization determines both opportunities and challenges for national economies with the most significant focus on the largest economies of the countries to which the German economy belongs. The aim of the article is to analyze the features of the complex of actions of the part of the Federal Republic of Germany to support digitalization in the traditional sectors of the economy. The article discusses the features of transformation under the influence of digitalization in the traditional sectors of the German economy, which leads to significant changes in the driving forces of the economic model of the Federal Republic. It is noted that the German economy faces a number of short-term challenges, including the long-term consequences of the COVID-19 pandemic and the Russian-Ukrainian war. In particular, under the influence of exogenous factors, the inflation rate in Germany increased to 7.9% in 2022 from 3.1% in 2021. These crisis challenges have put a certain strain on various sectors of the German economy, creating new challenges for economic development. It is noted that the Federal Government of Germany applies an integrated approach aimed at stimulating both economic development at the</w:t>
      </w:r>
    </w:p>
    <w:p>
      <w:pPr/>
      <w:r>
        <w:rPr>
          <w:b/>
        </w:rPr>
        <w:t>POSSIBLE 2023:</w:t>
      </w:r>
      <w:r>
        <w:t xml:space="preserve"> The Role of Think Tanks in Megatrends Analysis and Future Research — https://doi.org/10.32388/p4hg2e.2</w:t>
      </w:r>
    </w:p>
    <w:p>
      <w:pPr/>
      <w:r>
        <w:rPr>
          <w:b/>
        </w:rPr>
        <w:t>Shared claim-specific concepts:</w:t>
      </w:r>
      <w:r>
        <w:t xml:space="preserve"> megatrends, driving, regions; EU scope not established. This is a provisional connection, not an outcome finding.</w:t>
      </w:r>
    </w:p>
    <w:p>
      <w:pPr>
        <w:pStyle w:val="SourceNote"/>
      </w:pPr>
      <w:r>
        <w:rPr>
          <w:b/>
        </w:rPr>
        <w:t>Available abstract (not full text):</w:t>
      </w:r>
      <w:r>
        <w:t xml:space="preserve"> This paper aims to explore the interconnection between megatrends analysis, future research, and the work of think tanks. Policymakers, business leaders, and asset managers have shown a growing interest in megatrends analysis and future research which is leading to increased visibility for some think tanks, including in the Global South. Based on our analysis of the role and evolving landscape of think tanks and our engagement with leaders of think tanks from different world regions, we argue that a growing number of think tanks are involved in driving megatrends discourses and make significant contributions to future research and strategic foresight though solid evidence in form of statistics are not available. This paper will try to analyse the question to which extent think tanks engage in discourses on megatrends and future research and if and how such discourses have a wider impact on the orientation of think tanks? We argue that the landscape of think tanks is very diverse, not just in terms of size or political orientation. They apply diverse strategies of knowledge dissemination and policy advice. Thus, it would not be advisable to test general hypotheses and draw far-reaching conclusions. However, we consider it worthwhile to have a closer look at think tanks from different countries and world regions in order to understand how their work relates to megatrends and futu</w:t>
      </w:r>
    </w:p>
    <w:p>
      <w:pPr>
        <w:pStyle w:val="Heading2"/>
      </w:pPr>
      <w:r>
        <w:t>528.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2025:</w:t>
      </w:r>
      <w:r>
        <w:t xml:space="preserve"> TOWARDS THE EU NET-ZERO: ENERGY PERFORMANCE CONTRACTINGIN THE EUROPEAN UNION POLICY AND REGULATORY FRAMEWORK — https://doi.org/10.46763/scgw25112g203c</w:t>
      </w:r>
    </w:p>
    <w:p>
      <w:pPr/>
      <w:r>
        <w:rPr>
          <w:b/>
        </w:rPr>
        <w:t>Shared claim-specific concepts:</w:t>
      </w:r>
      <w:r>
        <w:t xml:space="preserve"> revision, energy, performance, directive; EU scope visible. This is a provisional connection, not an outcome finding.</w:t>
      </w:r>
    </w:p>
    <w:p>
      <w:pPr>
        <w:pStyle w:val="SourceNote"/>
      </w:pPr>
      <w:r>
        <w:rPr>
          <w:b/>
        </w:rPr>
        <w:t>Available abstract (not full text):</w:t>
      </w:r>
      <w:r>
        <w:t xml:space="preserve">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pPr/>
      <w:r>
        <w:rPr>
          <w:b/>
        </w:rPr>
        <w:t>POSSIBLE 2024:</w:t>
      </w:r>
      <w:r>
        <w:t xml:space="preserve"> Towards harmonising energy performance certificate indicators in Europe — https://doi.org/10.1016/j.jobe.2024.110323</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2024:</w:t>
      </w:r>
      <w:r>
        <w:t xml:space="preserve"> Energy and environmental performance from field operation of commercial-scale SOFC systems — https://doi.org/10.1016/j.ijhydene.2024.08.332</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Solid Oxide Fuel Cells (SOFCs) are capable of generating electrical and thermal power with very high conversion efficiency and almost no pollutant emissions into the atmosphere. Despite extensive literature on SOFC-based energy system models and experimental testing at the cell and short-stack level, there is currently a lack of performance data for SOFC modules under actual field conditions. To fill this gap, the present work investigates the energy and environmental performance of six SOFC modules, ranging in size from 10 to 60 kW, over thousands of hours of operation. These systems, supplied by the three leading SOFC manufacturers in Europe, have been installed and operated in different non-residential buildings worldwide, as part of the European Comsos project. The aim of this study is to establish a comprehensive set of field operation data to characterise commercial-scale SOFC systems. Specifically, raw data are processed to derived electrical and thermal efficiency maps, degradation rates and pollutant emissions, including particulate matter (PM), nitrogen oxides (NOx) and carbon monoxide (CO). A comparison with competing technologies is also provided to better highlight the potential benefits of adopting SOFC-based cogeneration systems. Values in the range of 51–61% were found for the system-level electrical efficiency under rated conditions. The electrical efficiency a</w:t>
      </w:r>
    </w:p>
    <w:p>
      <w:pPr/>
      <w:r>
        <w:rPr>
          <w:b/>
        </w:rPr>
        <w:t>POSSIBLE 2024:</w:t>
      </w:r>
      <w:r>
        <w:t xml:space="preserve"> Going beyond the Council as brake of EU energy policy: Analysing the internal process of the Council in the recast of the Energy Performance of Buildings Directive — https://doi.org/10.1016/j.enpol.2024.114388</w:t>
      </w:r>
    </w:p>
    <w:p>
      <w:pPr/>
      <w:r>
        <w:rPr>
          <w:b/>
        </w:rPr>
        <w:t>Shared claim-specific concepts:</w:t>
      </w:r>
      <w:r>
        <w:t xml:space="preserve"> energy, performance, directive; EU scope visible. This is a provisional connection, not an outcome finding.</w:t>
      </w:r>
    </w:p>
    <w:p>
      <w:pPr>
        <w:pStyle w:val="SourceNote"/>
      </w:pPr>
      <w:r>
        <w:rPr>
          <w:b/>
        </w:rPr>
        <w:t>Available abstract (not full text):</w:t>
      </w:r>
      <w:r>
        <w:t xml:space="preserve"> The Council is the voice of the member states' governments in the EU policymaking process and the institutional setting where member states can enforce their national interest. The literature on Council decision-making has previously mostly used expert interviews or voting patterns. Through a detailed examination of one specific legislative file in the recent ‘Fit for 55’ climate package in which subsidiarity and varying national conditions is central, this study focus on how disagreements between member states are resolved and how strategic word framing can aid in resolving political controversies in EU energy policy. This article analyses Council working group meeting notes and revisions of the recent recast of the Energy Performance of Buildings Directive, providing a unique look behind the curtains of negotiations between member states in the Council within a deliberative intergovernmental framework. A mix of quantitative and qualitative text analysis is applied to deliberations and legislative revisions. The findings show that a fragile consensus is reached despite disagreement through enabling of national flexibility in policy decisions, indicating that the Council determines the speed of European integration in the policy domain.</w:t>
      </w:r>
    </w:p>
    <w:p>
      <w:pPr/>
      <w:r>
        <w:rPr>
          <w:b/>
        </w:rPr>
        <w:t>POSSIBLE 2024:</w:t>
      </w:r>
      <w:r>
        <w:t xml:space="preserve"> Challenges and opportunities in European smart buildings energy management: A critical review — https://doi.org/10.1016/j.rser.2024.114472</w:t>
      </w:r>
    </w:p>
    <w:p>
      <w:pPr/>
      <w:r>
        <w:rPr>
          <w:b/>
        </w:rPr>
        <w:t>Shared claim-specific concepts:</w:t>
      </w:r>
      <w:r>
        <w:t xml:space="preserve"> energy, performance, building, stock; EU scope visible. This is a provisional connection, not an outcome finding.</w:t>
      </w:r>
    </w:p>
    <w:p>
      <w:pPr>
        <w:pStyle w:val="SourceNote"/>
      </w:pPr>
      <w:r>
        <w:rPr>
          <w:b/>
        </w:rPr>
        <w:t>Available abstract (not full text):</w:t>
      </w:r>
      <w:r>
        <w:t xml:space="preserve"> The substantial stock of European buildings, accounting for more than 40% of energy consumption, has prompted member states to establish a renovation standard with stringent performance criteria. As advancing into the era of digital transformation, the concept of smart buildings emerges as a solution to create sustainable, efficient, resilient, active, and comfortable living and working spaces. This is achieved through intelligent resource use optimization, including the smart management of energy production, storage and distribution systems. Smart buildings operate by harnessing monitoring data and leveraging artificial intelligence algorithms and big data techniques. The integration of monitoring data with contextual information, such as building information modelling, physics, or simulation models, enhances the intelligent management of resources. Moreover, the incorporation of metrics like the smart readiness indicator promotes the adoption of smart buildings. This study delves into the significance of these techniques, expanding on existing research in the field of smart buildings. It integrates concepts of data enrichment, smartness, and user-centric approaches. Key findings provide insights into future opportunities within the sector, emphasizing the need for user awareness strategies, the development of new smart algorithms, and services that incorporate contextual data</w:t>
      </w:r>
    </w:p>
    <w:p>
      <w:pPr/>
      <w:r>
        <w:rPr>
          <w:b/>
        </w:rPr>
        <w:t>POSSIBLE 2023:</w:t>
      </w:r>
      <w:r>
        <w:t xml:space="preserve"> Impact of climate change on the energy performance of building envelopes and implications on energy regulations across Europe — https://doi.org/10.1016/j.energy.2023.129886</w:t>
      </w:r>
    </w:p>
    <w:p>
      <w:pPr/>
      <w:r>
        <w:rPr>
          <w:b/>
        </w:rPr>
        <w:t>Shared claim-specific concepts:</w:t>
      </w:r>
      <w:r>
        <w:t xml:space="preserve"> revision, energy, performance, building; EU scope visible. This is a provisional connection, not an outcome finding.</w:t>
      </w:r>
    </w:p>
    <w:p>
      <w:pPr>
        <w:pStyle w:val="SourceNote"/>
      </w:pPr>
      <w:r>
        <w:rPr>
          <w:b/>
        </w:rPr>
        <w:t>Available abstract (not full text):</w:t>
      </w:r>
      <w:r>
        <w:t xml:space="preserve"> This paper delves into the potential impact of a changing climate on the energy performance of European buildings. Research aims to provide a comprehensive evaluation of current energy requirements focusing on the envelope, considering existing regulations in national policies. Energy simulations are conducted at 94 locations across the European Union to cover the climatic variability and Koppen climate classification. The research analyzes future climate scenarios for the years 2030, 2050, and 2070, using three different Representative Concentration Pathways (RCP 2.6, 4.5, 8.5). According to a comprehensive analysis of heating, cooling, and overall energy performance, climate plays a significant role in buildings' energy balance. In moderately cool climate countries, the demand for air conditioning is projected to decrease in the years ahead. Conversely, in countries with a warm climate, there is a projected increase in the overall energy demand. Consequently, a revision of current energy regulations should be a priority. Providing insights into the relation between building design, energy efficiency, and climate change, the research identifies policy adjustments to ensure buildings can effectively respond to changing climatic conditions. A holistic and dynamic approach can support building design accounting for long-term impacts of climate change to create resilient and energ</w:t>
      </w:r>
    </w:p>
    <w:p>
      <w:pPr/>
      <w:r>
        <w:rPr>
          <w:b/>
        </w:rPr>
        <w:t>POSSIBLE 2023:</w:t>
      </w:r>
      <w:r>
        <w:t xml:space="preserve"> Assessing Efficiency and Environmental Performance of a Nearly Zero-Energy University Building’s Energy System in Norway — https://doi.org/10.3390/buildings13010169</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Increasing awareness of climate issues in recent decades has led to new policies on buildings’ energy consumption and energy performance. The European Union (EU) directive 2010/31/EC, i.e., the energy performance of buildings directive (EPBD), is one of the measures initiated to achieve climate and energy goals by reducing energy use and greenhouse gas emissions in the building sector. The EPBD required all new buildings to be nearly zero-energy buildings (nZEBs) by 2021. Nearly zero-energy buildings (nZEBs) are buildings with a very-high-energy performance and nearly zero or low-energy requirements covered to a very significant extent by energy from renewable sources produced on-site or nearby. The utilisation of solar photovoltaic (PV) panels is a common approach for achieving the nZEB standard. The carbon footprint of PV panels is often not discussed as a parameter. This paper aimed to analyse the environmental performance of an existing nearly zero-energy university building in a Norwegian use case scenario. This analysis is performed by assessing annual electricity and heat consumption from both energetic and environmental perspectives. The energy required for the building during the studied period is then used to analyse the environmental and energy performance of the building. When it comes to the environmental assessment, the commercial software SimaPro was used. The pr</w:t>
      </w:r>
    </w:p>
    <w:p>
      <w:pPr/>
      <w:r>
        <w:rPr>
          <w:b/>
        </w:rPr>
        <w:t>POSSIBLE 2023:</w:t>
      </w:r>
      <w:r>
        <w:t xml:space="preserve"> Energy Economic Development in Europe — https://doi.org/10.3390/books978-3-0365-7112-6</w:t>
      </w:r>
    </w:p>
    <w:p>
      <w:pPr/>
      <w:r>
        <w:rPr>
          <w:b/>
        </w:rPr>
        <w:t>Shared claim-specific concepts:</w:t>
      </w:r>
      <w:r>
        <w:t xml:space="preserve"> energy, achieve;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Analysis of the energy performance strategies in a historical building used as a music school — https://doi.org/10.1016/j.dibe.2023.100195</w:t>
      </w:r>
    </w:p>
    <w:p>
      <w:pPr/>
      <w:r>
        <w:rPr>
          <w:b/>
        </w:rPr>
        <w:t>Shared claim-specific concepts:</w:t>
      </w:r>
      <w:r>
        <w:t xml:space="preserve"> energy, performance, building; EU scope not established. This is a provisional connection, not an outcome finding.</w:t>
      </w:r>
    </w:p>
    <w:p>
      <w:pPr>
        <w:pStyle w:val="SourceNote"/>
      </w:pPr>
      <w:r>
        <w:rPr>
          <w:b/>
        </w:rPr>
        <w:t>Available abstract (not full text):</w:t>
      </w:r>
      <w:r>
        <w:t xml:space="preserve"> Energy consumption in public education buildings depends on use and occupancy. To improve energy performance, energy audits are essential to identify specific solutions for each building. In this study, we conducted an energy audit of a historical building used as a public education centre. We collected gas and electricity bills and recorded indoor temperatures for over a year to determine heating and cooling set points and the schedules. Our analysis showed that 47.42% of the electricity bills were unused. To reduce energy demand and improve thermal comfort, we both developed and validated a Building Energy Modelling (BEM) approach using TRNSYS18 and weather data during year 2021. The BEM model allowed us to propose efficient measures to meet the Standard Passive requirements. Our results demonstrate the effectiveness of energy audits and BEM modelling in reducing energy consumption in public education buildings.</w:t>
      </w:r>
    </w:p>
    <w:p>
      <w:pPr>
        <w:pStyle w:val="Heading2"/>
      </w:pPr>
      <w:r>
        <w:t>529.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2024:</w:t>
      </w:r>
      <w:r>
        <w:t xml:space="preserve"> Soil Quality Index According to Diverse Land Use Systems Across the Europe — https://doi.org/10.1002/ldr.5438</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pPr/>
      <w:r>
        <w:rPr>
          <w:b/>
        </w:rPr>
        <w:t>POSSIBLE 2024:</w:t>
      </w:r>
      <w:r>
        <w:t xml:space="preserve"> A unifying modelling of multiple land degradation pathways in Europe — https://doi.org/10.1038/s41467-024-48252-x</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European Extreme Events Climate Index (E3CI) — https://doi.org/10.5194/egusphere-egu23-13344</w:t>
      </w:r>
    </w:p>
    <w:p>
      <w:pPr/>
      <w:r>
        <w:rPr>
          <w:b/>
        </w:rPr>
        <w:t>Shared claim-specific concepts:</w:t>
      </w:r>
      <w:r>
        <w:t xml:space="preserve"> use, index, also, useful; EU scope visible. This is a provisional connection, not an outcome finding.</w:t>
      </w:r>
    </w:p>
    <w:p>
      <w:pPr>
        <w:pStyle w:val="SourceNote"/>
      </w:pPr>
      <w:r>
        <w:rPr>
          <w:b/>
        </w:rPr>
        <w:t>Available abstract (not full text):</w:t>
      </w:r>
      <w:r>
        <w:t xml:space="preserve"> The European Extreme Events Climate Index (E3CI) is an innovative climate service (operational since January 2021) to assess the frequency and severity of weather-induced hazards over Europe. This service has been funded by Foundation Big Data and Artificial Intelligence for Human Development (IFAB) and developed through the collaboration between Fondazione CMCC Euro-Mediterranean Center on Climate Change (CMCC) and Leithà Unipol Group. Specifically, E3CI proposes to define a synthetic index aimed at providing information about the areas affected by different types of weather-induced hazards and the significance of such events. At this stage, E3CI permits equipping Europe, SADC (Southern African Development Community) and North America with an index similar to Actuaries Climate Index, (NA-ACI; actuariesclimateindex.org) developed over North America and already fully operational. From a methodological point of view, using ERA5 reanalysis data (Hersbach et al., 2020), E3CI permits evaluating seven main dynamics: cold and heat stresses, droughts, extreme precipitation, winds, the predisposing conditions leading to hail events and forest fire. Furthermore, five E3CI components are tested using a subset of regional climate projections from the EURO-CORDEX (Jacob et al., 2014, 2020; Giorgi and Gutowski, 2015) program at the highest available resolution (about 11 km) considering three</w:t>
      </w:r>
    </w:p>
    <w:p>
      <w:pPr/>
      <w:r>
        <w:rPr>
          <w:b/>
        </w:rPr>
        <w:t>POSSIBLE 2023:</w:t>
      </w:r>
      <w:r>
        <w:t xml:space="preserve"> Towards Inclusive Prosperity and Development in European Countries Using the Transitioning Performance Index — https://doi.org/10.5817/cz.muni.p280-0311-2023-23</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The need to assess sustainable processes and states is a driving assumption for the paper, having as an objective to explore the assessment model of the Transitioning Performance Index by the European Union. The purpose is to analyze for 24 out of the EU-27 countries for the year 2020 using multivariate, the distribution of performance within the 37 indicators used for the estimation of the transitioning performance index. The results produced 24 principal components of which the first 8 accounted for 89 percent cumulative variation and 10 accounted for 93 percent. The 24 countries selected were further classified into 4 groups based on the PCA results and the observable correlations between the original variables and the PCA were also determined. The results showed that the main indicators and the new PCA could be used as policy and decision-making guidelines for individual countries to determine strengths, weaknesses and opportunities for inclusive and sustainable development initiatives and programmes.</w:t>
      </w:r>
    </w:p>
    <w:p>
      <w:pPr/>
      <w:r>
        <w:rPr>
          <w:b/>
        </w:rPr>
        <w:t>POSSIBLE 2023:</w:t>
      </w:r>
      <w:r>
        <w:t xml:space="preserve"> The Effect of Volatility Index on Turkish and European Stock Indices — https://doi.org/10.36880/c15.02767</w:t>
      </w:r>
    </w:p>
    <w:p>
      <w:pPr/>
      <w:r>
        <w:rPr>
          <w:b/>
        </w:rPr>
        <w:t>Shared claim-specific concepts:</w:t>
      </w:r>
      <w:r>
        <w:t xml:space="preserve"> use, index, also, effect; EU scope visible. This is a provisional connection, not an outcome finding.</w:t>
      </w:r>
    </w:p>
    <w:p>
      <w:pPr>
        <w:pStyle w:val="SourceNote"/>
      </w:pPr>
      <w:r>
        <w:rPr>
          <w:b/>
        </w:rPr>
        <w:t>Available abstract (not full text):</w:t>
      </w:r>
      <w:r>
        <w:t xml:space="preserve"> In times of high uncertainty, it is usual for investors to be cautious about the capital markets and turn to investment instruments that are considered a security blanket. This situation may adversely affect the capital markets and the real sector. In this context, it is aimed to investigate the effect of the Volatility Index (VIX), also known as Fear Index, on some European stock markets. In the study, five different models were created in which the independent variable is VIX and the dependent variables are FTSE 100, DAX, CAC 40, BIST 30 and BIST Participation 30. Including the BIST Participation 30 Index in the study; it is also desired to determine whether there is a difference in the context of the conventional index-Islamic Index. In the study, a weekly data set including 76 observations was used in the period of 12.11.2021-28.04.2023. Data were obtained from Refinitiv Eikon. The long-term relationship of the variables was examined with the Engle-Granger Cointegration Test. Cointegration relationships were determined between VIX and FTSE 100; it was specified that there is no cointegrated relationships between VIX and BIST 30, BIST Participation 30, DAX and CAC 40. Fully Modified Ordinary Least Squares (FMOLS) method was used to estimate the coefficients of the relationship between the variables whose cointegration relationship was determined. Consistent with the literatu</w:t>
      </w:r>
    </w:p>
    <w:p>
      <w:pPr/>
      <w:r>
        <w:rPr>
          <w:b/>
        </w:rPr>
        <w:t>POSSIBLE 2023:</w:t>
      </w:r>
      <w:r>
        <w:t xml:space="preserve"> Assessment of fire weather index calculations in Europe — https://doi.org/10.5194/egusphere-egu23-12233</w:t>
      </w:r>
    </w:p>
    <w:p>
      <w:pPr/>
      <w:r>
        <w:rPr>
          <w:b/>
        </w:rPr>
        <w:t>Shared claim-specific concepts:</w:t>
      </w:r>
      <w:r>
        <w:t xml:space="preserve"> use, index, also, useful; EU scope visible. This is a provisional connection, not an outcome finding.</w:t>
      </w:r>
    </w:p>
    <w:p>
      <w:pPr>
        <w:pStyle w:val="SourceNote"/>
      </w:pPr>
      <w:r>
        <w:rPr>
          <w:b/>
        </w:rPr>
        <w:t>Available abstract (not full text):</w:t>
      </w:r>
      <w:r>
        <w:t xml:space="preserve"> Wildfires caused by extreme weather conditions e.g high temperatures and drought have been increasing both in frequency and magnitude in the recent years. Due to the changing climate also regions with few recorded forest fires in the past are likely to be more frequently affected by wildfires. These wildfires have many social, economic, and environmental impacts. The EU funded SAFERS project, Structured Approaches for Forest Fire Emergencies in Resilient Societies, is creating an open and integrated platform featuring a forest fire decision support system in order to support societies becoming more resilient when acting against forests fires. The platform will, among other information, provide weather forecasts and forest fire indices to assess the risk of forest fires. Using the Canadian Forest Fire Weather Index (FWI) system [Van Wagner, 1974], fuel moisture (FFMC, DMC, DC) and fire behaviour indices (ISI, BUI, FWI) can be calculated using solely meteorological parameters (temperature, relative humidity, wind speed, and 24-hour precipitation). The Canadian FWI has been proved useful for forest fire risk assessment in different regions and has been adapted by multiple meteorological agencies worldwide. In our study, we use high resolution deterministic weather forecasts, as well as medium-range and extended-range weather forecasts provided by the European Centre for Medium-Ran</w:t>
      </w:r>
    </w:p>
    <w:p>
      <w:pPr>
        <w:pStyle w:val="Heading2"/>
      </w:pPr>
      <w:r>
        <w:t>530.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2024:</w:t>
      </w:r>
      <w:r>
        <w:t xml:space="preserve"> Mechanical thrombectomy practices in Europe: Insights from a survey of European neuroradiologists from the ESMINT — https://doi.org/10.1177/23969873241286000</w:t>
      </w:r>
    </w:p>
    <w:p>
      <w:pPr/>
      <w:r>
        <w:rPr>
          <w:b/>
        </w:rPr>
        <w:t>Shared claim-specific concepts:</w:t>
      </w:r>
      <w:r>
        <w:t xml:space="preserve"> two, surveys, data, between, training, other; EU scope visible. This is a provisional connection, not an outcome finding.</w:t>
      </w:r>
    </w:p>
    <w:p>
      <w:pPr>
        <w:pStyle w:val="SourceNote"/>
      </w:pPr>
      <w:r>
        <w:rPr>
          <w:b/>
        </w:rPr>
        <w:t>Available abstract (not full text):</w:t>
      </w:r>
      <w:r>
        <w:t xml:space="preserve">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pPr/>
      <w:r>
        <w:rPr>
          <w:b/>
        </w:rPr>
        <w:t>POSSIBLE 2024:</w:t>
      </w:r>
      <w:r>
        <w:t xml:space="preserve"> Current practices in clinical gait analysis in Europe: A comprehensive survey-based study from the European society for movement analysis in adults and children (ESMAC) standard initiative — https://doi.org/10.1016/j.gaitpost.2024.04.014</w:t>
      </w:r>
    </w:p>
    <w:p>
      <w:pPr/>
      <w:r>
        <w:rPr>
          <w:b/>
        </w:rPr>
        <w:t>Shared claim-specific concepts:</w:t>
      </w:r>
      <w:r>
        <w:t xml:space="preserve"> there, collaboration, data, between, training; EU scope visible. This is a provisional connection, not an outcome finding.</w:t>
      </w:r>
    </w:p>
    <w:p>
      <w:pPr>
        <w:pStyle w:val="SourceNote"/>
      </w:pPr>
      <w:r>
        <w:rPr>
          <w:b/>
        </w:rPr>
        <w:t>Available abstract (not full text):</w:t>
      </w:r>
      <w:r>
        <w:t xml:space="preserve">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pPr/>
      <w:r>
        <w:rPr>
          <w:b/>
        </w:rPr>
        <w:t>POSSIBLE 2023:</w:t>
      </w:r>
      <w:r>
        <w:t xml:space="preserve"> Subspecialisation in radiology in Europe, a survey of the accreditation council of imaging — https://doi.org/10.1186/s13244-023-01481-y</w:t>
      </w:r>
    </w:p>
    <w:p>
      <w:pPr/>
      <w:r>
        <w:rPr>
          <w:b/>
        </w:rPr>
        <w:t>Shared claim-specific concepts:</w:t>
      </w:r>
      <w:r>
        <w:t xml:space="preserve"> two, there, offer, training, insight; EU scope visible. This is a provisional connection, not an outcome finding.</w:t>
      </w:r>
    </w:p>
    <w:p>
      <w:pPr>
        <w:pStyle w:val="SourceNote"/>
      </w:pPr>
      <w:r>
        <w:rPr>
          <w:b/>
        </w:rPr>
        <w:t>Available abstract (not full text):</w:t>
      </w:r>
      <w:r>
        <w:t xml:space="preserve">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pPr/>
      <w:r>
        <w:rPr>
          <w:b/>
        </w:rPr>
        <w:t>POSSIBLE 2023:</w:t>
      </w:r>
      <w:r>
        <w:t xml:space="preserve"> Landslide monitoring techniques in the Geological Surveys of Europe — https://doi.org/10.1007/s10346-022-02007-1</w:t>
      </w:r>
    </w:p>
    <w:p>
      <w:pPr/>
      <w:r>
        <w:rPr>
          <w:b/>
        </w:rPr>
        <w:t>Shared claim-specific concepts:</w:t>
      </w:r>
      <w:r>
        <w:t xml:space="preserve"> surveys, indicate, data, between, each; EU scope visible. This is a provisional connection, not an outcome finding.</w:t>
      </w:r>
    </w:p>
    <w:p>
      <w:pPr>
        <w:pStyle w:val="SourceNote"/>
      </w:pPr>
      <w:r>
        <w:rPr>
          <w:b/>
        </w:rPr>
        <w:t>Available abstract (not full text):</w:t>
      </w:r>
      <w:r>
        <w:t xml:space="preserve"> Abstract Landslide monitoring is a mandatory step in landslide risk assessment. It requires collecting data on landslide conditions (e.g., areal extent, landslide kinematics, surface topography, hydrogeometeorological parameters, and failure surfaces) from different time periods and at different scales, from site-specific to local, regional, and national, to assess landslide activity. In this analysis, we collected information on landslide monitoring techniques from 17 members of the Earth Observation and Geohazards Expert Group (from EuroGeoSurveys) deployed between 2005 and 2021. We examined the types of the 75 recorded landslides, the landslide techniques, spatial resolution, temporal resolution, status of the technique (operational, non-operational), time of using (before the event, during the event, after the event), and the applicability of the technique in early warning systems. The research does not indicate the accuracy of each technique but, rather, the extent to which Geological Surveys conduct landslide monitoring and the predominant techniques used. Among the types of landslides, earth slides predominate and are mostly monitored by geological and engineering geological mapping. The results showed that Geological Surveys mostly utilized more traditional monitoring techniques since they have a broad mandate to collect geological data. In addition, this paper provides</w:t>
      </w:r>
    </w:p>
    <w:p>
      <w:pPr/>
      <w:r>
        <w:rPr>
          <w:b/>
        </w:rPr>
        <w:t>POSSIBLE 2023:</w:t>
      </w:r>
      <w:r>
        <w:t xml:space="preserve"> Soft Drink Intake in Europe—A Review of Data from Nationally Representative Food Consumption Surveys — https://doi.org/10.3390/nu15061368</w:t>
      </w:r>
    </w:p>
    <w:p>
      <w:pPr/>
      <w:r>
        <w:rPr>
          <w:b/>
        </w:rPr>
        <w:t>Shared claim-specific concepts:</w:t>
      </w:r>
      <w:r>
        <w:t xml:space="preserve"> surveys, data, insight; EU scope visible. This is a provisional connection, not an outcome finding.</w:t>
      </w:r>
    </w:p>
    <w:p>
      <w:pPr>
        <w:pStyle w:val="SourceNote"/>
      </w:pPr>
      <w:r>
        <w:rPr>
          <w:b/>
        </w:rPr>
        <w:t>Available abstract (not full text):</w:t>
      </w:r>
      <w:r>
        <w:t xml:space="preserve"> Public health interest in reducing the intake of sugar-sweetened soft drinks has resulted in various guidelines and initiatives related to their consumption, together with an increase in availability and sales of low and no-sugars versions. The aim of this review was to gain insight regarding individual-level amounts and types of soft drinks consumed across the lifecycle as reported in nationally representative surveys in Europe. The review highlighted significant gaps and challenges regarding the availability of recent country-specific soft drink consumption data including heterogeneity in categorisations used in reporting soft drinks. Nonetheless, crude estimates of mean intake (across countries) indicated that total soft drinks and soft drinks with sugars was highest in adolescents and lowest in infants/toddlers and older adults. For infants/toddlers, crude mean intakes of soft drinks with reduced/no sugars were higher than soft drinks with sugars. The review also found that consumption of total soft drinks is decreasing with a shift to consumption of soft drinks with reduced/no sugars in replacement of sugars-containing soft drinks. This review provides valuable insight into what data are currently available on soft drink consumption in Europe with heterogeneity in categorisations, terminology, and definitions of soft drinks observed.</w:t>
      </w:r>
    </w:p>
    <w:p>
      <w:pPr/>
      <w:r>
        <w:rPr>
          <w:b/>
        </w:rPr>
        <w:t>POSSIBLE 2023:</w:t>
      </w:r>
      <w:r>
        <w:t xml:space="preserve"> 15 years overview of European zoonotic surveys in wild boar and red deer: A systematic review — https://doi.org/10.1016/j.onehlt.2023.100519</w:t>
      </w:r>
    </w:p>
    <w:p>
      <w:pPr/>
      <w:r>
        <w:rPr>
          <w:b/>
        </w:rPr>
        <w:t>Shared claim-specific concepts:</w:t>
      </w:r>
      <w:r>
        <w:t xml:space="preserve"> surveys, there, other; EU scope visible. This is a provisional connection, not an outcome finding.</w:t>
      </w:r>
    </w:p>
    <w:p>
      <w:pPr>
        <w:pStyle w:val="SourceNote"/>
      </w:pPr>
      <w:r>
        <w:rPr>
          <w:b/>
        </w:rPr>
        <w:t>Available abstract (not full text):</w:t>
      </w:r>
      <w:r>
        <w:t xml:space="preserve"> Wild boar (Sus scrofa) and red deer (Cervus elaphus) are the main large game species hunted in Europe. They can also be a source of zoonotic infections for cohabiting humans. The purpose of this systematic review was to examine the spatiotemporal tendencies and sanitary profiles of surveys on zoonotic diseases of wild boars and red deer in Europe in 15 years (2006–2020). Through the search strategy “((sus scrofa OR wild boar OR cervus elaphus OR red deer) AND (zoonosis OR zoonot* OR infectious disease))” in Pubmed and ScienceDirect databases, 1419 articles were assessed in February of 2021. Pursuing the inclusion criteria: species of interest – wild boar and red deer, established zoonosis and presence of natural infection and the exclusion filters: European study, specified a timeline (2006–2020), printed in English and with open-access. To conduct this systematic review, 194 European surveys issued in indexed journals were included after revising all abstracts and eliminating 323 unrepeated articles. Geographically, dissimilarity in the pattern of distribution of surveys was uttered. In the short term, the pattern of the number of publications about zoonotic diseases in wild boars and red deer oscillates, but with an increasing tendency over 15 years under study. When examining the sanitary profile of the eligible surveys, the focus is mostly on zoonoses such as Hepatitis E vi</w:t>
      </w:r>
    </w:p>
    <w:p>
      <w:pPr>
        <w:pStyle w:val="Heading2"/>
      </w:pPr>
      <w:r>
        <w:t>531.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r>
        <w:rPr>
          <w:b/>
        </w:rPr>
        <w:t>POSSIBLE 2024:</w:t>
      </w:r>
      <w:r>
        <w:t xml:space="preserve"> Approaches to a New Regional Energy Security Model in the Perspective of the European Transition to Green Energy — https://doi.org/10.3390/economies12030061</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The EU energy sector became a very important one as a result of the war in Ukraine. On the other hand, the EU started in defining and implementing new strategies regarding green economy and sustainability. Even though these strategies cover short and medium periods, they have as a main goal the decrease in the EU’s dependence of energy imports. This research is focused on present challenges, risks, and uncertainties related to energy production and consumption in all EU member states. In order to achieve the research objectives, a huge statistical database, which covered 2012–2021, was used. The analysis is based on specific indicators regarding primary energy production; imports and exports; gross available energy; final energy consumption; non-energy consumption; energy dependency; and energy intensity. There are at least three research procedures used in this paper: a meta-analysis, a statistical analysis, and an econometric analysis, as well. Finally, the analysis points out the disparities between member states regarding energetic resources and energy dependency using a new model for quantifying risk factors in the European energy system. Moreover, new public policies are proposed by the authors under a cluster approach of the EU’s regions.</w:t>
      </w:r>
    </w:p>
    <w:p>
      <w:pPr/>
      <w:r>
        <w:rPr>
          <w:b/>
        </w:rPr>
        <w:t>POSSIBLE 2024:</w:t>
      </w:r>
      <w:r>
        <w:t xml:space="preserve"> Current European Energy Architecture — https://openalex.org/W7110603362</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r>
        <w:rPr>
          <w:b/>
        </w:rPr>
        <w:t>POSSIBLE 2023:</w:t>
      </w:r>
      <w:r>
        <w:t xml:space="preserve"> A Comparison of American, Canadian, and European Home Energy Performance in Heating Dominated – Moist Climates Based on Building Codes — https://doi.org/10.7275/4925868</w:t>
      </w:r>
    </w:p>
    <w:p>
      <w:pPr/>
      <w:r>
        <w:rPr>
          <w:b/>
        </w:rPr>
        <w:t>Shared claim-specific concepts:</w:t>
      </w:r>
      <w:r>
        <w:t xml:space="preserve"> quantify, energy, climate, objectives; EU scope visible. This is a provisional connection, not an outcome finding.</w:t>
      </w:r>
    </w:p>
    <w:p>
      <w:pPr>
        <w:pStyle w:val="SourceNote"/>
      </w:pPr>
      <w:r>
        <w:rPr>
          <w:b/>
        </w:rPr>
        <w:t>Available abstract (not full text):</w:t>
      </w:r>
      <w:r>
        <w:t xml:space="preserve"> This research compares the energy performance of a code-built residential building within the moist climate zone classification in Canada, Europe, and the Northeastern United States. The primary objectives are to reveal how specific differences in code requirements in similar climates influence a building’s energy profile, offer a means to quantify and evaluate the extent of energy savings as a result of each requirement, and provide a comparison of each location’s building culture and how this affects the standards in place.\nUsing the building energy simulation tool, DesignBuilder EnergyPlus Simulation, a model single-family home was created and input energy code requirements for each location. An evaluation of each location’s building culture is examined through such factors as the training of building professionals, commonly used materials and products, energy reduction goals, and cultural attitudes.\nThe results of this study point to the need for more advanced building practices, stricter code mandates, and higher performing products based on energy savings achieved from buildings built to different standards in equivalent climate zones. This has the potential to drive the development and use of better performing building materials and assemblies in the future.</w:t>
      </w:r>
    </w:p>
    <w:p>
      <w:pPr/>
      <w:r>
        <w:rPr>
          <w:b/>
        </w:rPr>
        <w:t>POSSIBLE 2023:</w:t>
      </w:r>
      <w:r>
        <w:t xml:space="preserve"> Quantification of the energy flexibility of residential building clusters: Impact of long-term refurbishment strategies of the italian building stock — https://doi.org/10.1016/j.enbuild.2023.113416</w:t>
      </w:r>
    </w:p>
    <w:p>
      <w:pPr/>
      <w:r>
        <w:rPr>
          <w:b/>
        </w:rPr>
        <w:t>Shared claim-specific concepts:</w:t>
      </w:r>
      <w:r>
        <w:t xml:space="preserve"> objective, quantify, energy, objectives, reach; EU scope visible. This is a provisional connection, not an outcome finding.</w:t>
      </w:r>
    </w:p>
    <w:p>
      <w:pPr>
        <w:pStyle w:val="SourceNote"/>
      </w:pPr>
      <w:r>
        <w:rPr>
          <w:b/>
        </w:rPr>
        <w:t>Available abstract (not full text):</w:t>
      </w:r>
      <w:r>
        <w:t xml:space="preserve"> A major refurbishment of the building stock is necessary to achieve the objectives of the energy transition. In addition to decreasing the overall energy demand, the energy efficiency of buildings can create a non-negligible reserve of flexibility and resilience for the entire energy system. Long-term refurbishment strategies can have an impact on such potential of the building sector that is still not widely exploited. In this work the objective is to quantify the influence of long-term refurbishment strategies, planned until 2050, on the energy flexibility reserve of the entire building stock. Reference clusters of residential buildings have been modelled to represent the current and future scenarios of the Italian building stock. Lumped parameter models representing archetypes of residential buildings are implemented to represent the Italian building stock. Current statistics on the composition of the building stock have been combined with European refurbishment targets to 2050 to define the current and future scenarios of the Italian building stock. Since the topic of quantifying the energy flexibility of clusters of buildings is still rather open, this study proposes an analysis based on a combination of different indicators derived from the literature and proposed ad hoc by the authors. They include flexibility curves, that correlate the demand of the cluster to the penal</w:t>
      </w:r>
    </w:p>
    <w:p>
      <w:pPr/>
      <w:r>
        <w:rPr>
          <w:b/>
        </w:rPr>
        <w:t>POSSIBLE 2023:</w:t>
      </w:r>
      <w:r>
        <w:t xml:space="preserve"> Using urban building energy modeling to quantify the energy performance of residential buildings under climate change — https://doi.org/10.1007/s12273-023-1032-2</w:t>
      </w:r>
    </w:p>
    <w:p>
      <w:pPr/>
      <w:r>
        <w:rPr>
          <w:b/>
        </w:rPr>
        <w:t>Shared claim-specific concepts:</w:t>
      </w:r>
      <w:r>
        <w:t xml:space="preserve"> quantify, energy, climate; EU scope not established. This is a provisional connection, not an outcome finding.</w:t>
      </w:r>
    </w:p>
    <w:p>
      <w:pPr>
        <w:pStyle w:val="SourceNote"/>
      </w:pPr>
      <w:r>
        <w:rPr>
          <w:b/>
        </w:rPr>
        <w:t>Available abstract (not full text):</w:t>
      </w:r>
      <w:r>
        <w:t xml:space="preserve"> Unavailable</w:t>
      </w:r>
    </w:p>
    <w:p>
      <w:pPr>
        <w:pStyle w:val="Heading2"/>
      </w:pPr>
      <w:r>
        <w:t>532.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2023:</w:t>
      </w:r>
      <w:r>
        <w:t xml:space="preserve"> Introduction to the ESPAUR Webinar and Report 2021–2022: Key Findings and Stakeholder Engagement — https://doi.org/10.3390/msf2022015018</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pStyle w:val="Heading2"/>
      </w:pPr>
      <w:r>
        <w:t>533.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2024:</w:t>
      </w:r>
      <w:r>
        <w:t xml:space="preserve"> A unifying modelling of multiple land degradation pathways in Europe — https://doi.org/10.1038/s41467-024-48252-x</w:t>
      </w:r>
    </w:p>
    <w:p>
      <w:pPr/>
      <w:r>
        <w:rPr>
          <w:b/>
        </w:rPr>
        <w:t>Shared claim-specific concepts:</w:t>
      </w:r>
      <w:r>
        <w:t xml:space="preserve"> modelling, three, mitigation;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2022:</w:t>
      </w:r>
      <w:r>
        <w:t xml:space="preserve"> Update of model for wild ruminant abundance based on occurrence and first models based on hunting yield at European scale — https://doi.org/10.2903/sp.efsa.2022.en-7174</w:t>
      </w:r>
    </w:p>
    <w:p>
      <w:pPr/>
      <w:r>
        <w:rPr>
          <w:b/>
        </w:rPr>
        <w:t>Shared claim-specific concepts:</w:t>
      </w:r>
      <w:r>
        <w:t xml:space="preserve"> unique, modelling, framework, target; EU scope visible. This is a provisional connection, not an outcome finding.</w:t>
      </w:r>
    </w:p>
    <w:p>
      <w:pPr>
        <w:pStyle w:val="SourceNote"/>
      </w:pPr>
      <w:r>
        <w:rPr>
          <w:b/>
        </w:rPr>
        <w:t>Available abstract (not full text):</w:t>
      </w:r>
      <w:r>
        <w:t xml:space="preserve"> In a previous report, ENETWILD proposed a generic model framework to predict habitat suitability and likely occurrence for wild ruminant species using opportunistic presence data (occurrence records for wild ungulate species from the Global Biodiversity Information Facility). In this report, for the first time, we develop models based on hunting yield data (HY) for the most widely distributed wild ruminant species in Europe: roe deer (Capreolus capreolus) and red deer (Cervus elaphus). We also update models based on occurrence (roe deer, red deer, fallow deer (Dama dama), European moose (Alces alces) and muntjac (Muntiacus reevesi), evaluate the performance of both approaches, and compare outputs. As for HY models, we could not conduct one model per bioregion as there are not enough data for modelling in some bioregions, and therefore, we calibrated a unique model, including eco-geographical variables as predictors. The calibration plots for HY models showed a good predictive performance for red deer in the Eastern bioregion and roe deer at Eastern and Western. The abundance distribution pattern of red deer HY was widely scattered over all Europe, as expected for a widely distributed species which shows high ecological plasticity, and roe deer presented the highest abundance in Atlantic and Eastern Europe, progressively decreasing towards Northern Mediterranean bioregions. Over</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co2, emissions, transport, infrastructure;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r>
        <w:rPr>
          <w:b/>
        </w:rPr>
        <w:t>POSSIBLE 2022:</w:t>
      </w:r>
      <w:r>
        <w:t xml:space="preserve"> New models for wild ungulates occurrence and hunting yield abundance at European scale — https://doi.org/10.2903/sp.efsa.2022.en-7631</w:t>
      </w:r>
    </w:p>
    <w:p>
      <w:pPr/>
      <w:r>
        <w:rPr>
          <w:b/>
        </w:rPr>
        <w:t>Shared claim-specific concepts:</w:t>
      </w:r>
      <w:r>
        <w:t xml:space="preserve"> modelling, framework, three, available; EU scope visible. This is a provisional connection, not an outcome finding.</w:t>
      </w:r>
    </w:p>
    <w:p>
      <w:pPr>
        <w:pStyle w:val="SourceNote"/>
      </w:pPr>
      <w:r>
        <w:rPr>
          <w:b/>
        </w:rPr>
        <w:t>Available abstract (not full text):</w:t>
      </w:r>
      <w:r>
        <w:t xml:space="preserve">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pPr/>
      <w:r>
        <w:rPr>
          <w:b/>
        </w:rPr>
        <w:t>POSSIBLE 2022:</w:t>
      </w:r>
      <w:r>
        <w:t xml:space="preserve"> A modelling framework to design an evacuation support system for healthcare infrastructures in response to major flood events — https://doi.org/10.1016/j.pdisas.2022.100218</w:t>
      </w:r>
    </w:p>
    <w:p>
      <w:pPr/>
      <w:r>
        <w:rPr>
          <w:b/>
        </w:rPr>
        <w:t>Shared claim-specific concepts:</w:t>
      </w:r>
      <w:r>
        <w:t xml:space="preserve"> modelling, framework, climate; EU scope not established. This is a provisional connection, not an outcome finding.</w:t>
      </w:r>
    </w:p>
    <w:p>
      <w:pPr>
        <w:pStyle w:val="SourceNote"/>
      </w:pPr>
      <w:r>
        <w:rPr>
          <w:b/>
        </w:rPr>
        <w:t>Available abstract (not full text):</w:t>
      </w:r>
      <w:r>
        <w:t xml:space="preserve"> Extreme weather events such as floods are predicted to become increasingly common and severe as the climate changes. Effectively functioning hospitals are critical to a community's resilience to the adverse health impacts of such events. Yet many hospitals have not been designed with extreme weather risks in mind and are built in flood-prone areas, raising concerns about their ability to support community healthcare needs when they eventuate. While considerable research has been conducted on developing disaster responses to maintain healthcare services in the face of floods, there is a paucity of research on hospital evacuating planning. Addressing this critical gap in research, this paper explores current state-of-the-art hospital evacuation transportation models to identify key factors for developing more effective evacuation planning for future flooding risks. A new modelling framework is proposed, which addresses the limitations of existing hospital evacuation models and proposes factors that should be incorporated into future models to enhance community resilience to growing flood risks due to climate change.</w:t>
      </w:r>
    </w:p>
    <w:p>
      <w:pPr>
        <w:pStyle w:val="Heading2"/>
      </w:pPr>
      <w:r>
        <w:t>534.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2024:</w:t>
      </w:r>
      <w:r>
        <w:t xml:space="preserve"> European Youth Work Developments and Challenges—A Meta-Synthesis — https://doi.org/10.3390/youth4030075</w:t>
      </w:r>
    </w:p>
    <w:p>
      <w:pPr/>
      <w:r>
        <w:rPr>
          <w:b/>
        </w:rPr>
        <w:t>Shared claim-specific concepts:</w:t>
      </w:r>
      <w:r>
        <w:t xml:space="preserve"> challenges, developments, national, activity;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DEVELOPMENTS AND CHALLENGES REGARDING THE EUROPEAN CAPITAL MARKETS INTEGRATION PROJECT — https://doi.org/10.55654/jfs.2024.9.16.13</w:t>
      </w:r>
    </w:p>
    <w:p>
      <w:pPr/>
      <w:r>
        <w:rPr>
          <w:b/>
        </w:rPr>
        <w:t>Shared claim-specific concepts:</w:t>
      </w:r>
      <w:r>
        <w:t xml:space="preserve"> challenges, developments, progress, national; EU scope visible. This is a provisional connection, not an outcome finding.</w:t>
      </w:r>
    </w:p>
    <w:p>
      <w:pPr>
        <w:pStyle w:val="SourceNote"/>
      </w:pPr>
      <w:r>
        <w:rPr>
          <w:b/>
        </w:rPr>
        <w:t>Available abstract (not full text):</w:t>
      </w:r>
      <w:r>
        <w:t xml:space="preserve">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pPr/>
      <w:r>
        <w:rPr>
          <w:b/>
        </w:rPr>
        <w:t>POSSIBLE 2024:</w:t>
      </w:r>
      <w:r>
        <w:t xml:space="preserve"> The challenger advantage – how challenger parties disrupt mainstream party dominance in the European Parliament — https://doi.org/10.1080/13501763.2024.2391510</w:t>
      </w:r>
    </w:p>
    <w:p>
      <w:pPr/>
      <w:r>
        <w:rPr>
          <w:b/>
        </w:rPr>
        <w:t>Shared claim-specific concepts:</w:t>
      </w:r>
      <w:r>
        <w:t xml:space="preserve"> developments, responses; EU scope visible. This is a provisional connection, not an outcome finding.</w:t>
      </w:r>
    </w:p>
    <w:p>
      <w:pPr>
        <w:pStyle w:val="SourceNote"/>
      </w:pPr>
      <w:r>
        <w:rPr>
          <w:b/>
        </w:rPr>
        <w:t>Available abstract (not full text):</w:t>
      </w:r>
      <w:r>
        <w:t xml:space="preserve">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pPr/>
      <w:r>
        <w:rPr>
          <w:b/>
        </w:rPr>
        <w:t>POSSIBLE 2022:</w:t>
      </w:r>
      <w:r>
        <w:t xml:space="preserve"> The challenges to labour mobility at the European level — https://doi.org/10.4324/9781003298649-3</w:t>
      </w:r>
    </w:p>
    <w:p>
      <w:pPr/>
      <w:r>
        <w:rPr>
          <w:b/>
        </w:rPr>
        <w:t>Shared claim-specific concepts:</w:t>
      </w:r>
      <w:r>
        <w:t xml:space="preserve"> challenges, strongly, national; EU scope visible. This is a provisional connection, not an outcome finding.</w:t>
      </w:r>
    </w:p>
    <w:p>
      <w:pPr>
        <w:pStyle w:val="SourceNote"/>
      </w:pPr>
      <w:r>
        <w:rPr>
          <w:b/>
        </w:rPr>
        <w:t>Available abstract (not full text):</w:t>
      </w:r>
      <w:r>
        <w:t xml:space="preserve"> The issue of worker mobility is intrinsically tied to the European Union, whose project is to create a single European market. This is seen as the central concept that will bring Member States and European citizens closer together and create “de facto solidarities” underpinned by legal relations that should be able to prevent any further military conflict in Europe. The underlying economic approach to establishing a European Community explains why the European market must extend to all economic agents, including workers. Since the early 1950s, European institutions have had the objective of promoting the economic and social benefits of worker mobility, which implies encouraging mobility and removing obstacles to it. The development of the European Union in its social and political dimensions, initially not very concerned by the market, involves confronting the economic, institutional, socio-political, and legal challenges related to worker mobility. Among the areas that fall within the EU’s supporting competences – such as sport – worker mobility is particularly relevant, mainly because national issues remain strongly present, but also because significant mobility issues have not yet been regulated within a transnational European institutional framework. These mobility issues include standard contracts for salaried professional athletes, numbers of locally trained players in pr</w:t>
      </w:r>
    </w:p>
    <w:p>
      <w:pPr>
        <w:pStyle w:val="Heading2"/>
      </w:pPr>
      <w:r>
        <w:t>535.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pStyle w:val="Heading2"/>
      </w:pPr>
      <w:r>
        <w:t>536.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r>
        <w:rPr>
          <w:b/>
        </w:rPr>
        <w:t>POSSIBLE 2022:</w:t>
      </w:r>
      <w:r>
        <w:t xml:space="preserve"> European Security — https://doi.org/10.5771/9783748936459</w:t>
      </w:r>
    </w:p>
    <w:p>
      <w:pPr/>
      <w:r>
        <w:rPr>
          <w:b/>
        </w:rPr>
        <w:t>Shared claim-specific concepts:</w:t>
      </w:r>
      <w:r>
        <w:t xml:space="preserve"> presents, series, order; EU scope visible. This is a provisional connection, not an outcome finding.</w:t>
      </w:r>
    </w:p>
    <w:p>
      <w:pPr>
        <w:pStyle w:val="SourceNote"/>
      </w:pPr>
      <w:r>
        <w:rPr>
          <w:b/>
        </w:rPr>
        <w:t>Available abstract (not full text):</w:t>
      </w:r>
      <w:r>
        <w:t xml:space="preserve"> War with all its horrors has returned to the continent. Russia, with her war against Ukraine, has turned the entire post-war order upside down and triggered another crisis for Europe. Geopolitics must be based on a clear vision of a desired state, an assessment of the environment and an honest analysis of one’s own capabilities and means. The (geo)political decision must explore all legal boundaries to put aggressors permanently in their place. The EU has experienced a series of crises since 2008. Only a ‚sine ira et studio‘ approach will overcome this permanent crisis. This book presents the geopolitical options for security, foreign and economic policy, and strategic decisions.</w:t>
      </w:r>
    </w:p>
    <w:p>
      <w:pPr/>
      <w:r>
        <w:rPr>
          <w:b/>
        </w:rPr>
        <w:t>POSSIBLE 2022:</w:t>
      </w:r>
      <w:r>
        <w:t xml:space="preserve"> Greening Europe — https://openalex.org/W7137726371</w:t>
      </w:r>
    </w:p>
    <w:p>
      <w:pPr/>
      <w:r>
        <w:rPr>
          <w:b/>
        </w:rPr>
        <w:t>Shared claim-specific concepts:</w:t>
      </w:r>
      <w:r>
        <w:t xml:space="preserve"> presents, series; EU scope visible. This is a provisional connection, not an outcome finding.</w:t>
      </w:r>
    </w:p>
    <w:p>
      <w:pPr>
        <w:pStyle w:val="SourceNote"/>
      </w:pPr>
      <w:r>
        <w:rPr>
          <w:b/>
        </w:rPr>
        <w:t>Available abstract (not full text):</w:t>
      </w:r>
      <w:r>
        <w:t xml:space="preserve"> The third installment of the ‘European Public Investment Outlook’ series is an important and timely publication that draws together recent analyses to recommend significant increases in public investment in green ventures. Compelling data from key economists affiliated with international organizations like the International Monetary Fund, European Investment Bank and the European Commission, as well as academic departments and policy institutes are a clarion call for green investment to boost the economy and put the planet on a sustainable path. Like its predecessors, the book presents the issues in a lucid and navigable manner. Part I explores the EU’s current levels of green public investment, as well as the challenges ahead in achieving net zero carbon emissions after years of decreasing funding and the obstacles presented by the COVID-19 pandemic and the Russian invasion of Ukraine. The public investment trends of France, Germany, Italy and Spain are systematically evaluated, as well as the REPowerEU policy – accelerated in Spring 2022 – to move away from Russia’s supply of fossil fuels. Part II focuses on the investment needed for green transition; the important economic and fiscal effects and benefits this would bring; and the reality of what is required before 2030 to achieve the EU’s carbon-neutral targets by 2050. Greening Europe is essential reading for economists, en</w:t>
      </w:r>
    </w:p>
    <w:p>
      <w:pPr/>
      <w:r>
        <w:rPr>
          <w:b/>
        </w:rPr>
        <w:t>POSSIBLE 2022:</w:t>
      </w:r>
      <w:r>
        <w:t xml:space="preserve"> European journal of science archives conferences series — https://doi.org/10.5281/zenodo.6481391</w:t>
      </w:r>
    </w:p>
    <w:p>
      <w:pPr/>
      <w:r>
        <w:rPr>
          <w:b/>
        </w:rPr>
        <w:t>Shared claim-specific concepts:</w:t>
      </w:r>
      <w:r>
        <w:t xml:space="preserve"> series, provide, order, used; EU scope visible. This is a provisional connection, not an outcome finding.</w:t>
      </w:r>
    </w:p>
    <w:p>
      <w:pPr>
        <w:pStyle w:val="SourceNote"/>
      </w:pPr>
      <w:r>
        <w:rPr>
          <w:b/>
        </w:rPr>
        <w:t>Available abstract (not full text):</w:t>
      </w:r>
      <w:r>
        <w:t xml:space="preserve"> Institute for Scientific Research and Publication\n\n&amp;\n\nResearch and Publishing Center virtualconferences. press\n\n \n\nEuropean journal of science archives conferences series/ Konferenzreihe der europäischen Zeitschrift für Wissenschaftsarchive\n\nInternet address: http://ifsrp.edu.ge/\n\nE-mail: info@ifsrp.edu.ge/\n\nPublished by Institute for Scientific Research and Publication &amp; Research and Publishing Center virtualconferences. press\n\nIssued monthly\n\nDOI https://doi.org/10.5281/zenodo.6481360\n\nHausarztzentrum Aachen-Forst Trierer Str. 67, 52078 Aachener, Germany\n\n \n\nRequirements for the authors.\n\nThe manuscript authors must provide reliable results of the work done, as well as an\n\nobjective judgment on the significance of the study. The data underlying the work should\n\nbe presented accurately, without errors. The work should contain enough details and bibliographic references for possible reproduction. False or knowingly erroneous statements\n\nare perceived as unethical behavior and unacceptable.\n\nAuthors should make sure that the original work is submitted and, if other authors' works or claims are used, provide appropriate bibliographic references or citations. Plagiarism\n\ncan exist in many forms - from representing someone else’s work as copyright to copying or paraphrasing significant parts of another’s work without attribution, as well as claim</w:t>
      </w:r>
    </w:p>
    <w:p>
      <w:pPr>
        <w:pStyle w:val="Heading2"/>
      </w:pPr>
      <w:r>
        <w:t>537.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Analysis of solar and wind energy utilisation in Europe and Africa — https://doi.org/10.70132/z8468559752</w:t>
      </w:r>
    </w:p>
    <w:p>
      <w:pPr/>
      <w:r>
        <w:rPr>
          <w:b/>
        </w:rPr>
        <w:t>Shared claim-specific concepts:</w:t>
      </w:r>
      <w:r>
        <w:t xml:space="preserve"> findings, highlight, achieving, policies, climate;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Green Finance, Innovation, and Financial Markets: Shaping Industrial Resilience in China and Europe — https://doi.org/10.55991/j.rjef.94187</w:t>
      </w:r>
    </w:p>
    <w:p>
      <w:pPr/>
      <w:r>
        <w:rPr>
          <w:b/>
        </w:rPr>
        <w:t>Shared claim-specific concepts:</w:t>
      </w:r>
      <w:r>
        <w:t xml:space="preserve"> findings, highlight, achieving, also, support, green; EU scope visible. This is a provisional connection, not an outcome finding.</w:t>
      </w:r>
    </w:p>
    <w:p>
      <w:pPr>
        <w:pStyle w:val="SourceNote"/>
      </w:pPr>
      <w:r>
        <w:rPr>
          <w:b/>
        </w:rPr>
        <w:t>Available abstract (not full text):</w:t>
      </w:r>
      <w:r>
        <w:t xml:space="preserve">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pPr/>
      <w:r>
        <w:rPr>
          <w:b/>
        </w:rPr>
        <w:t>POSSIBLE 2025:</w:t>
      </w:r>
      <w:r>
        <w:t xml:space="preserve"> From pastures to plates: The thorny path to achieving deforestation-free cattle from Brazil to European consumers — https://doi.org/10.1016/j.ecolecon.2025.108524</w:t>
      </w:r>
    </w:p>
    <w:p>
      <w:pPr/>
      <w:r>
        <w:rPr>
          <w:b/>
        </w:rPr>
        <w:t>Shared claim-specific concepts:</w:t>
      </w:r>
      <w:r>
        <w:t xml:space="preserve"> findings, highlight, achieving, require, not; EU scope visible. This is a provisional connection, not an outcome finding.</w:t>
      </w:r>
    </w:p>
    <w:p>
      <w:pPr>
        <w:pStyle w:val="SourceNote"/>
      </w:pPr>
      <w:r>
        <w:rPr>
          <w:b/>
        </w:rPr>
        <w:t>Available abstract (not full text):</w:t>
      </w:r>
      <w:r>
        <w:t xml:space="preserve"> The EU regulation on Deforestation-Free Products (EUDR) enacted in 2023 aims to reduce deforestation connected to commodities imported to the EU, including cattle products. In Brazil, the EUDR pressures the local cattle supply chain towards more sustainable production. However, the potential effects of the EUDR on reducing deforestation in this sector are unclear and require scrutiny. Drawing on the concept of Telecoupling, we investigate the challenges and potential impacts of implementing the EUDR in the Brazilian cattle supply chain. We interviewed 19 Brazilian stakeholders representing the private sector, NGOs , investigative journals, banks, and governmental institutions through semi-structured questionnaires complemented with secondary data analysis. Our findings reveal the extent to which historical challenges, such as the lack of law enforcement and low productivity persist, and the possible spillover effects , including market and production leakages. Additionally, the study shows how the EUDR may lead to potential negative impacts for small-scale ranchers . We highlight the need to implement a transparent and integrated public birth-to-slaughter traceability system for cattle in Brazil to guarantee the EUDR's effectiveness. If European and Brazilian governments, cattle producers, and meatpacking companies are not able to address these issues, EUDR's objective to reduc</w:t>
      </w:r>
    </w:p>
    <w:p>
      <w:pPr/>
      <w:r>
        <w:rPr>
          <w:b/>
        </w:rPr>
        <w:t>POSSIBLE 2024:</w:t>
      </w:r>
      <w:r>
        <w:t xml:space="preserve"> Safety, Belonging and Success in Education for Refugees in Europe: A Systematic Review — https://doi.org/10.1111/ejed.12852</w:t>
      </w:r>
    </w:p>
    <w:p>
      <w:pPr/>
      <w:r>
        <w:rPr>
          <w:b/>
        </w:rPr>
        <w:t>Shared claim-specific concepts:</w:t>
      </w:r>
      <w:r>
        <w:t xml:space="preserve"> findings, highlight, achieving, also; EU scope visible. This is a provisional connection, not an outcome finding.</w:t>
      </w:r>
    </w:p>
    <w:p>
      <w:pPr>
        <w:pStyle w:val="SourceNote"/>
      </w:pPr>
      <w:r>
        <w:rPr>
          <w:b/>
        </w:rPr>
        <w:t>Available abstract (not full text):</w:t>
      </w:r>
      <w:r>
        <w:t xml:space="preserve"> ABSTRACT This systematic review aims to explore refugees' educational access, experiences and outcomes in Europe since 2015. The review follows a systematic process of reviewing and synthesising texts compiled in the Hub for Education for Refugees in Europe (HERE) Knowledge Base to fill gaps in knowledge about the educational trajectories of learners of refugee and forced migrant backgrounds who have arrived in Europe. The review includes studies that focus on all forms of educational provision and services for refugees and forced migrants in Europe: formal, non‐formal and informal. The review also takes a meta‐ethnographic approach to data analysis and synthesis. Key findings highlight the interconnectedness of safety, belonging and success in education for learners with refugee and forced migrant backgrounds and the necessity of economic redistribution, cultural recognition and political participation for achieving these goals.</w:t>
      </w:r>
    </w:p>
    <w:p>
      <w:pPr/>
      <w:r>
        <w:rPr>
          <w:b/>
        </w:rPr>
        <w:t>POSSIBLE 2024:</w:t>
      </w:r>
      <w:r>
        <w:t xml:space="preserve"> European roadmaps to achieving 2030 renewable energy targets — https://doi.org/10.1016/j.jup.2024.101729</w:t>
      </w:r>
    </w:p>
    <w:p>
      <w:pPr/>
      <w:r>
        <w:rPr>
          <w:b/>
        </w:rPr>
        <w:t>Shared claim-specific concepts:</w:t>
      </w:r>
      <w:r>
        <w:t xml:space="preserve"> achieving, policies, climate; EU scope visible. This is a provisional connection, not an outcome finding.</w:t>
      </w:r>
    </w:p>
    <w:p>
      <w:pPr>
        <w:pStyle w:val="SourceNote"/>
      </w:pPr>
      <w:r>
        <w:rPr>
          <w:b/>
        </w:rPr>
        <w:t>Available abstract (not full text):</w:t>
      </w:r>
      <w:r>
        <w:t xml:space="preserve">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pPr/>
      <w:r>
        <w:rPr>
          <w:b/>
        </w:rPr>
        <w:t>POSSIBLE 2024:</w:t>
      </w:r>
      <w:r>
        <w:t xml:space="preserve"> The Role of the Informal Economy in Achieving the Sustainable Development Goals in Europe — https://doi.org/10.24818/ea/2024/s18/1108</w:t>
      </w:r>
    </w:p>
    <w:p>
      <w:pPr/>
      <w:r>
        <w:rPr>
          <w:b/>
        </w:rPr>
        <w:t>Shared claim-specific concepts:</w:t>
      </w:r>
      <w:r>
        <w:t xml:space="preserve"> findings, achieving, policies; EU scope visible. This is a provisional connection, not an outcome finding.</w:t>
      </w:r>
    </w:p>
    <w:p>
      <w:pPr>
        <w:pStyle w:val="SourceNote"/>
      </w:pPr>
      <w:r>
        <w:rPr>
          <w:b/>
        </w:rPr>
        <w:t>Available abstract (not full text):</w:t>
      </w:r>
      <w:r>
        <w:t xml:space="preserve"> This study investigated the relationship between the informal economy and sustainable development, focussing on how the shadow economy influenced the achievement of the 17 Sustainable Development Goals (SDGs) formulated in the 2030 Agenda in Europe.The research used data extracted from the Eurostat and Schneider (2022) and analysed sustainable development performance in 36 European countries in the years 2010 and 2022.The methodology involved applying partial least squares (PLS) regression to construct a synthetic indicator of sustainable development, considering two scenarios: one that excluded and another that included the size of the informal economy.The results highlighted that while the informal economy contributed to immediate poverty alleviation and short-term economic resilience, it created challenges for long-term sustainability in areas such as formal employment, social inclusion, and environmental regulation.The findings highlighted the need for stronger policies to integrate the informal sector into the formal framework, thus improving overall sustainability.The study made an original contribution by addressing the dual role of the informal economy in sustainable development, offering new perspectives for formulating more effective policies in the context of the 2030 Agenda.</w:t>
      </w:r>
    </w:p>
    <w:p>
      <w:pPr/>
      <w:r>
        <w:rPr>
          <w:b/>
        </w:rPr>
        <w:t>POSSIBLE 2024:</w:t>
      </w:r>
      <w:r>
        <w:t xml:space="preserve"> Can Urban Retrofitting Achieve a Positive Energy Balance? a Case Study of Four European Positive Energy Districts — https://doi.org/10.1109/i-coste63786.2024.11024809</w:t>
      </w:r>
    </w:p>
    <w:p>
      <w:pPr/>
      <w:r>
        <w:rPr>
          <w:b/>
        </w:rPr>
        <w:t>Shared claim-specific concepts:</w:t>
      </w:r>
      <w:r>
        <w:t xml:space="preserve"> findings, achieving, installations; EU scope visible. This is a provisional connection, not an outcome finding.</w:t>
      </w:r>
    </w:p>
    <w:p>
      <w:pPr>
        <w:pStyle w:val="SourceNote"/>
      </w:pPr>
      <w:r>
        <w:rPr>
          <w:b/>
        </w:rPr>
        <w:t>Available abstract (not full text):</w:t>
      </w:r>
      <w:r>
        <w:t xml:space="preserve"> Urban retrofitting has emerged as a key strategy in the transition towards sustainable cities, with Positive Energy Districts (PEDs) serving as a model for achieving energy-positive urban environments. This paper explores the potential for urban retrofitting to achieve a positive energy balance through a case study of four existing districts in European Municipalities: Settimo Torinese (Italy), Großschönau (Austria), Amsterdam (Netherlands), and Resita (Romania). The analysis leverages energy balance simulations, considering various retrofitting scenarios, including building insulation, photovoltaic (PV) installations, and the adoption of flexible grid usage. The findings indicate that while achieving a PED is challenging, it is attainable through a combination of aggressive retrofitting measures, renewable energy integration, and smart energy management. The study highlights the importance of context-specific strategies, as climatic and urban characteristics significantly influence the outcomes. It aims to add to the ongoing discourse on sustainable urban development by providing empirical insights into the pathways and challenges of achieving PEDs through urban retrofitting.</w:t>
      </w:r>
    </w:p>
    <w:p>
      <w:pPr>
        <w:pStyle w:val="Heading2"/>
      </w:pPr>
      <w:r>
        <w:t>538.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2023:</w:t>
      </w:r>
      <w:r>
        <w:t xml:space="preserve"> Ecological and environmental factors affecting the risk of tick-borne encephalitis in Europe, 2017 to 2021 — https://doi.org/10.2807/1560-7917.es.2023.28.42.2300121</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pPr/>
      <w:r>
        <w:rPr>
          <w:b/>
        </w:rPr>
        <w:t>POSSIBLE 2022:</w:t>
      </w:r>
      <w:r>
        <w:t xml:space="preserve"> Finding the ecological farmer: A farmer typology to understand ecological practice adoption within Europe — https://doi.org/10.1016/j.crsust.2022.100125</w:t>
      </w:r>
    </w:p>
    <w:p>
      <w:pPr/>
      <w:r>
        <w:rPr>
          <w:b/>
        </w:rPr>
        <w:t>Shared claim-specific concepts:</w:t>
      </w:r>
      <w:r>
        <w:t xml:space="preserve"> two, ecological, transition, based; EU scope visible. This is a provisional connection, not an outcome finding.</w:t>
      </w:r>
    </w:p>
    <w:p>
      <w:pPr>
        <w:pStyle w:val="SourceNote"/>
      </w:pPr>
      <w:r>
        <w:rPr>
          <w:b/>
        </w:rPr>
        <w:t>Available abstract (not full text):</w:t>
      </w:r>
      <w:r>
        <w:t xml:space="preserve">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pStyle w:val="Heading2"/>
      </w:pPr>
      <w:r>
        <w:t>539.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2022:</w:t>
      </w:r>
      <w:r>
        <w:t xml:space="preserve"> Future area expansion outweighs increasing drought risk for soybean in Europe — https://doi.org/10.1111/gcb.16562</w:t>
      </w:r>
    </w:p>
    <w:p>
      <w:pPr/>
      <w:r>
        <w:rPr>
          <w:b/>
        </w:rPr>
        <w:t>Shared claim-specific concepts:</w:t>
      </w:r>
      <w:r>
        <w:t xml:space="preserve"> further, imports, climate;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Different Effect of Inward Foreign Direct Investment, Outward Foreign Direct Investment, Imports, and Exports on Greenhouse Gas Emission across 24 European Union Countries — https://doi.org/10.54691/bcpbm.v34i.3186</w:t>
      </w:r>
    </w:p>
    <w:p>
      <w:pPr/>
      <w:r>
        <w:rPr>
          <w:b/>
        </w:rPr>
        <w:t>Shared claim-specific concepts:</w:t>
      </w:r>
      <w:r>
        <w:t xml:space="preserve"> further, imports, lower, reduce, positive; EU scope visible. This is a provisional connection, not an outcome finding.</w:t>
      </w:r>
    </w:p>
    <w:p>
      <w:pPr>
        <w:pStyle w:val="SourceNote"/>
      </w:pPr>
      <w:r>
        <w:rPr>
          <w:b/>
        </w:rPr>
        <w:t>Available abstract (not full text):</w:t>
      </w:r>
      <w:r>
        <w:t xml:space="preserve"> The European Union (EU) has achieved remarkable progress in reducing greenhouse gas emission with the help of the emission trade system (ETS) and other environmental policies for the past decades. The main purpose of current study is to empirically investigate different effects of inward foreign direct investment, outward foreign direct investment (FDI), imports and exports on greenhouse gas (GHG) emissions for different level of GDP per capita. Panel data set of 24 European Union countries was selected from 2013 to 2017. And these 24 countries would be further divided into two groups based on their GDP per capita. The result indicates that inward FDI would decrease GHG emission for high GDP per capita group, whereas it increases the GHG emission for low GDP per capita group, suggesting the existence of “pollution haven” in countries with lower GDP per capita. On the contrary, the effect of outward FDI on GHG emission would be positive for high GDP per capita group but negative for low GDP per capita group. Meanwhile, exports would increase GHG emission for low GDP per capita group but decrease GHG emission for high GDP per capita group. Besides, imports would also be a contributor of GHG emission for high GDP per capita group. The conclusion drawn from this study implicates that, to reduce the domestic GHG emissions, countries with different level of GDP per capita should have</w:t>
      </w:r>
    </w:p>
    <w:p>
      <w:pPr>
        <w:pStyle w:val="Heading2"/>
      </w:pPr>
      <w:r>
        <w:t>540.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r>
        <w:rPr>
          <w:b/>
        </w:rPr>
        <w:t>POSSIBLE 2022:</w:t>
      </w:r>
      <w:r>
        <w:t xml:space="preserve"> The role of Latvia's maritime spatial planning in promoting the European Green Deal — https://doi.org/10.7163/eu21.2022.42.4</w:t>
      </w:r>
    </w:p>
    <w:p>
      <w:pPr/>
      <w:r>
        <w:rPr>
          <w:b/>
        </w:rPr>
        <w:t>Shared claim-specific concepts:</w:t>
      </w:r>
      <w:r>
        <w:t xml:space="preserve"> maritime, insight, deal; EU scope visible. This is a provisional connection, not an outcome finding.</w:t>
      </w:r>
    </w:p>
    <w:p>
      <w:pPr>
        <w:pStyle w:val="SourceNote"/>
      </w:pPr>
      <w:r>
        <w:rPr>
          <w:b/>
        </w:rPr>
        <w:t>Available abstract (not full text):</w:t>
      </w:r>
      <w:r>
        <w:t xml:space="preserve"> In an era of dynamic maritime spatial planning movement development, this paper offers insight into the relationship between Latvia’s national Maritime Spatial Plan 2030 and the European Green Deal. The paper analyses what this might signify concerning the implementation and subsequent assessment of the plan by exploring the role of the maritime spatial plan in Latvia’s planning system. Beginning with a brief history of how the national plan came to be, the paper then describes and evaluates the position of the maritime spatial plan within Latvia’s planning framework before examining the connection between the maritime spatial plan and the Green Deal, identifying contact points. This paper offers a starting framework for studying how closely maritime spatial planning is related to and capable of supporting ─ or at the very least taking into account ─ the goals of the Green Deal. The conclusion is that implementation of maritime spatial planning is rooted in the state planning system, the interconnection among policy documents, and the specifics of the maritime spatial plan itself.</w:t>
      </w:r>
    </w:p>
    <w:p>
      <w:pPr>
        <w:pStyle w:val="Heading2"/>
      </w:pPr>
      <w:r>
        <w:t>541.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r>
        <w:rPr>
          <w:b/>
        </w:rPr>
        <w:t>POSSIBLE 2023:</w:t>
      </w:r>
      <w:r>
        <w:t xml:space="preserve"> A phenomenological inquiry of building and living in European Earthship homes — https://doi.org/10.1680/jinam.23.00028</w:t>
      </w:r>
    </w:p>
    <w:p>
      <w:pPr/>
      <w:r>
        <w:rPr>
          <w:b/>
        </w:rPr>
        <w:t>Shared claim-specific concepts:</w:t>
      </w:r>
      <w:r>
        <w:t xml:space="preserve"> aim, alternative, shift; EU scope visible. This is a provisional connection, not an outcome finding.</w:t>
      </w:r>
    </w:p>
    <w:p>
      <w:pPr>
        <w:pStyle w:val="SourceNote"/>
      </w:pPr>
      <w:r>
        <w:rPr>
          <w:b/>
        </w:rPr>
        <w:t>Available abstract (not full text):</w:t>
      </w:r>
      <w:r>
        <w:t xml:space="preserve"> Earthships remain a relatively underexplored type of sustainable/alternative home. This is the first study to investigate the personal experiences of constructing and living in European Earthship homes. The aim of this study is to reveal insights into the ‘hands-on’ practical experience of persons who have constructed their own Earthship homes and to gather insights into the collective experience of these dwellers on the realities of living full time in an Earthship home. A phenomenological methodology, using an inductive research approach, was utilised through a qualitative research strategy to solicit insights into the personal experiences of these unique persons. The main themes and sub-themes that emerge from the analysis are that anyone from any background can make the shift to building/living in an Earthship home. However, a mixed skill set and knowledge of building trades, plus physical and emotional prowess, are needed for the long-haul build process, which, together with access to financial means and/or available materials, are critical factors that influence the outcome of the Earthship building. Meanwhile, once constructed, off-grid living in an Earthship home gives dwellers a greater connectivity with the natural world, raises awareness of consumerism and leads to enhanced appreciation of human impacts.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four, developed;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2022:</w:t>
      </w:r>
      <w:r>
        <w:t xml:space="preserve"> Alternative Institutional Strategies for Constructing Monetary Theories — https://doi.org/10.31063/altereconomics/2022.19-2.4</w:t>
      </w:r>
    </w:p>
    <w:p>
      <w:pPr/>
      <w:r>
        <w:rPr>
          <w:b/>
        </w:rPr>
        <w:t>Shared claim-specific concepts:</w:t>
      </w:r>
      <w:r>
        <w:t xml:space="preserve"> alternative, important, framework; EU scope not established. This is a provisional connection, not an outcome finding.</w:t>
      </w:r>
    </w:p>
    <w:p>
      <w:pPr>
        <w:pStyle w:val="SourceNote"/>
      </w:pPr>
      <w:r>
        <w:rPr>
          <w:b/>
        </w:rPr>
        <w:t>Available abstract (not full text):</w:t>
      </w:r>
      <w:r>
        <w:t xml:space="preserve"> The article discusses the new strategies for studying macro-economic processes and relationships between the monetary and real variables in light of the transformations of the modern economy. The research aims to describe the strategies of constructing monetary theories of mainstream economics and to develop an approach for studying endogenous institutional relationships in monetary processes. Conceptually, the study uses as a point of departure the idea that economic entities pursue value-based and economic motives. Such an approach reflects the intersubjective nature of the economy and helps overcome the extremes of methodological individualism and methodological holism. The study shows how the institutional characteristics of the strategies in question are determined by orthodox and heterodox versions of Keynesian economics. The paradigmal limitations of the given strategies may stem from the fact that methodologically they rely on individualism, which leads to exogenous interpretations of institutions and monetary phenomena. Therefore, it is impossible to explain the emergence of market prices as an institutional phenomena by drawing on the neo-classical versions of the theory of value. Macro-economic indicators in mainstream economics are exogenous aggregated variables. The study traces the development of the paradigmal framework of classical political economy and Marx’s i</w:t>
      </w:r>
    </w:p>
    <w:p>
      <w:pPr/>
      <w:r>
        <w:rPr>
          <w:b/>
        </w:rPr>
        <w:t>POSSIBLE 2022:</w:t>
      </w:r>
      <w:r>
        <w:t xml:space="preserve"> Screening of Cooling Technologies in Europe: Alternatives to Vapour Compression and Possible Market Developments — https://doi.org/10.3390/su14052971</w:t>
      </w:r>
    </w:p>
    <w:p>
      <w:pPr/>
      <w:r>
        <w:rPr>
          <w:b/>
        </w:rPr>
        <w:t>Shared claim-specific concepts:</w:t>
      </w:r>
      <w:r>
        <w:t xml:space="preserve"> aim, alternative; EU scope visible. This is a provisional connection, not an outcome finding.</w:t>
      </w:r>
    </w:p>
    <w:p>
      <w:pPr>
        <w:pStyle w:val="SourceNote"/>
      </w:pPr>
      <w:r>
        <w:rPr>
          <w:b/>
        </w:rPr>
        <w:t>Available abstract (not full text):</w:t>
      </w:r>
      <w:r>
        <w:t xml:space="preserve"> The aim of this study is to investigate, review, and assess the recent advances of alternative cooling technologies using traditional vapor compression (VC) systems as a baseline. Around 99% of the final energy consumption used for cooling in the current European market (European Union plus the United Kingdom (EU27 + UK) is supplied by VC technologies. In comparison, the remaining 1% is produced by thermally driven heat pumps (TDHPs). This study focuses on providing a complete taxonomy of cooling technologies. While the EU heating sector is broadly explored in scientific literature, a significant lack of data and information is present in the cooling sector. This study highlights technologies that can potentially compete and eventually replace VC systems within the decade (2030). Among others, the most promising of these are membrane heat pump, transcritical cycle, Reverse Brayton (Bell Coleman cycle), and absorption cooling. However, the latter mentioned technologies still need further research and development (R&amp;D) to become fully competitive with VC technologies. Notably, there are no alternative cooling technologies characterized by higher efficiency and less cost than VC technologies in the EU market.</w:t>
      </w:r>
    </w:p>
    <w:p>
      <w:pPr>
        <w:pStyle w:val="Heading2"/>
      </w:pPr>
      <w:r>
        <w:t>542.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2025:</w:t>
      </w:r>
      <w:r>
        <w:t xml:space="preserve"> Three-dimensional third medium contact model for hyperelastic contact and pneumatically actuated systems — https://doi.org/10.48550/arxiv.2512.03181</w:t>
      </w:r>
    </w:p>
    <w:p>
      <w:pPr/>
      <w:r>
        <w:rPr>
          <w:b/>
        </w:rPr>
        <w:t>Shared claim-specific concepts:</w:t>
      </w:r>
      <w:r>
        <w:t xml:space="preserve"> third, highlight, need; EU scope not established. This is a provisional connection, not an outcome finding.</w:t>
      </w:r>
    </w:p>
    <w:p>
      <w:pPr>
        <w:pStyle w:val="SourceNote"/>
      </w:pPr>
      <w:r>
        <w:rPr>
          <w:b/>
        </w:rPr>
        <w:t>Available abstract (not full text):</w:t>
      </w:r>
      <w:r>
        <w:t xml:space="preserve"> This work presents a comprehensive three-dimensional third-medium contact framework for modeling complex contact interactions in hyperelastic solids and pneumatically actuated systems. The proposed third-medium formulation embeds a fictitious medium (or third medium) between potentially interacting bodies, enabling a unified and robust treatment of hyperelastic contact and self-contact without the need for discretization of the contact interface. Unlike the widely studied two-dimensional problem, this paper extends the new regularization term given in Reference \cite{TMCWriggers2} to three-dimensional problems and ensures element quality in a third medium. Due to the need for higher-order elements for the regularization term, this paper details the linearization process of this problem within the finite element framework. In addition, pneumatically actuated systems are considered by introducing a pneumatic term to represent pneumatic loading (pressure or suction) and inducing contact caused by internal inflation. This approach is suitable for complex hyperelastic contact and self-contact, and has potential applications in the fields of soft robotics and flexible mechanisms. The framework is developed in a fully three-dimensional setting, making it also suitable for isogeometric methods and meshless methods. Several benchmark and application-level simulations demonstrate the acc</w:t>
      </w:r>
    </w:p>
    <w:p>
      <w:pPr/>
      <w:r>
        <w:rPr>
          <w:b/>
        </w:rPr>
        <w:t>POSSIBLE 2025:</w:t>
      </w:r>
      <w:r>
        <w:t xml:space="preserve"> Global Nomads: Identity and Belonging in Third Culture Kids and Adult Third Culture Kids — https://openalex.org/W7119396443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This capstone examines the subculture of Third Culture Kids and Adult Third Culture Kids who have experienced living abroad as children. There were two main objectives in this study. First, to understand the perceptions of Adult Third Culture Kids on how their global childhoods have impacted their self-identity and sense of belonging as adults. Secondly, to understand the opinions of Adult Third Culture Kids on transitional programs through their personal experiences with them. The methodology of this capstone included a twelve-question survey distributed to seventeen Adult Third Culture Kids born in six different countries around the world. The questions in the survey focused on two central research questions about self-identity, belonging, and opinions of transitional programs aiding in childhood development. A thematic analysis used Google Highlight to code responses into three themes supported by an accompanying literature review. The findings of this study showed that the perceptions of self-identity and sense of belonging in Adult Third Culture Kids aligned with published literature on the topic. Contrastingly, Adult Third Culture Kids in this study agreed that transitional programs would negatively affect the childhood development of future Third Culture Kids. Having not participated in them during childhood, most concluded that they preferred navigating their childhood </w:t>
      </w:r>
    </w:p>
    <w:p>
      <w:pPr/>
      <w:r>
        <w:rPr>
          <w:b/>
        </w:rPr>
        <w:t>POSSIBLE 2024:</w:t>
      </w:r>
      <w:r>
        <w:t xml:space="preserve"> Three-step Collocation Method for Solution of Third Derivative Initial Value Problem — https://doi.org/10.62054/ijdm/0101.03</w:t>
      </w:r>
    </w:p>
    <w:p>
      <w:pPr/>
      <w:r>
        <w:rPr>
          <w:b/>
        </w:rPr>
        <w:t>Shared claim-specific concepts:</w:t>
      </w:r>
      <w:r>
        <w:t xml:space="preserve"> third, highlight, three, value; EU scope not established. This is a provisional connection, not an outcome finding.</w:t>
      </w:r>
    </w:p>
    <w:p>
      <w:pPr>
        <w:pStyle w:val="SourceNote"/>
      </w:pPr>
      <w:r>
        <w:rPr>
          <w:b/>
        </w:rPr>
        <w:t>Available abstract (not full text):</w:t>
      </w:r>
      <w:r>
        <w:t xml:space="preserve"> In this research paper, we introduce a novel three-step block method designed to directly tackle third-order initial value problems. This method is crafted through an interpolation and collocation approach, leveraging power series analysis. We conduct a comprehensive examination of the proposed method, ensuring it meets all requisite conditions for rigorous analysis. To assess its efficacy and validity, we employ the method on both highly stiff linear and nonlinear initial value problems, juxtaposing our findings with established approaches in the literature. Our results highlight that the new method exhibits faster convergence compared to existing methods, underscoring its superior performance. Initial value problems, Interpolation and collocation procedure, Three step, Third order</w:t>
      </w:r>
    </w:p>
    <w:p>
      <w:pPr/>
      <w:r>
        <w:rPr>
          <w:b/>
        </w:rPr>
        <w:t>POSSIBLE 2022:</w:t>
      </w:r>
      <w:r>
        <w:t xml:space="preserve"> Liquid-Phase Peptide Synthesis (LPPS): A Third Wave for the Preparation of Peptides — https://doi.org/10.1021/acs.chemrev.2c00132</w:t>
      </w:r>
    </w:p>
    <w:p>
      <w:pPr/>
      <w:r>
        <w:rPr>
          <w:b/>
        </w:rPr>
        <w:t>Shared claim-specific concepts:</w:t>
      </w:r>
      <w:r>
        <w:t xml:space="preserve"> third, three, made; EU scope not established. This is a provisional connection, not an outcome finding.</w:t>
      </w:r>
    </w:p>
    <w:p>
      <w:pPr>
        <w:pStyle w:val="SourceNote"/>
      </w:pPr>
      <w:r>
        <w:rPr>
          <w:b/>
        </w:rPr>
        <w:t>Available abstract (not full text):</w:t>
      </w:r>
      <w:r>
        <w:t xml:space="preserve"> Since the last century, peptides have gained wide acceptance as drugs, with almost 100 already in the market and a large number in the pipeline. In this context, peptide synthesis has grown massively as a stringent field for pharmaceuticals around the globe. Three methodologies, namely, classical solution peptide synthesis (CSPS), solid-phase peptide synthesis (SPPS), and liquid-phase peptide synthesis (LPPS), have made significant contributions to the field. This review provides a comprehensive and integrated vision of LPPS as the third wave for peptide synthesis. LPPS combines the advantages of CSPS and SPPS, where peptide elongation is carried out in solution and the growing peptide chain is supported on a soluble tag, which confers characteristic properties. LPPS protocols allow the large-scale production of peptides and reduce the use of excess reagents and solvents, thus meeting the principles of green chemistry. In this review, tags associated with LPPS are broadly discussed under the following headings: polydisperse polyethylene glycol (PEG), membrane-enhanced peptide synthesis (MEPS), fluorous technology, ionic liquids (ILs), PolyCarbon, hydrophobic polymers, and group-assisted purification (GAP). It also highlights the signature accomplishments of LPPS tags and the limitations of the same.</w:t>
      </w:r>
    </w:p>
    <w:p>
      <w:pPr>
        <w:pStyle w:val="Heading2"/>
      </w:pPr>
      <w:r>
        <w:t>543.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2025:</w:t>
      </w:r>
      <w:r>
        <w:t xml:space="preserve"> "Ukrainian zhurnal ": 200 years since the day of publication — https://doi.org/10.36273/2076-9555.2024.12(341).41-45</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"Ukrainian zhurnal ": 200 years since the day of publication — https://doi.org/10.36273/2076-9555.2024.11(340).51-52</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2024:</w:t>
      </w:r>
      <w:r>
        <w:t xml:space="preserve"> IS THE PUBLICATION LEGAL/LAW/JUDICIAL? — https://doi.org/10.23939/sjs2024.02.001</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pPr/>
      <w:r>
        <w:rPr>
          <w:b/>
        </w:rPr>
        <w:t>POSSIBLE 2024:</w:t>
      </w:r>
      <w:r>
        <w:t xml:space="preserve"> Exploring the Chat GPT's Impact and Prospects for Business Research Purposes — https://doi.org/10.1109/inocon60754.2024.10511483</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pPr/>
      <w:r>
        <w:rPr>
          <w:b/>
        </w:rPr>
        <w:t>POSSIBLE 2023:</w:t>
      </w:r>
      <w:r>
        <w:t xml:space="preserve"> DEPENDENCE OF PUBLICATION ACTIVITY IN OCCUPATIONAL HEALTH ON THE TYPE OF SCIENTIFIC PAPERS — https://doi.org/10.31089/978-5-6042929-1-4-2023-1-285-290</w:t>
      </w:r>
    </w:p>
    <w:p>
      <w:pPr/>
      <w:r>
        <w:rPr>
          <w:b/>
        </w:rPr>
        <w:t>Shared claim-specific concepts:</w:t>
      </w:r>
      <w:r>
        <w:t xml:space="preserve"> purpose, publication, detailed, terms; EU scope not established. This is a provisional connection, not an outcome finding.</w:t>
      </w:r>
    </w:p>
    <w:p>
      <w:pPr>
        <w:pStyle w:val="SourceNote"/>
      </w:pPr>
      <w:r>
        <w:rPr>
          <w:b/>
        </w:rPr>
        <w:t>Available abstract (not full text):</w:t>
      </w:r>
      <w:r>
        <w:t xml:space="preserve"> The brief analysis of the application of publication activity indicators of scientific and educational organizations in the field of occupational health based on a multi-level study of scientometric data of the RSCI system. For the purpose of this analysis, based on the data of the Russian Scientific Citation Index (RSCI), as the main database of domestic publications, a comparison of publication activity in the field of occupational health for all the years recorded in the RSCI and for the 5‑year period — 2016‑2020 on scientific publications of 14 specialized research Institutions and 9 medical Universities with departments of occupational health/occupational deseases. From the analyzed data array, most of the scientific publications relate to medical universities, and a smaller part to research institutes (254 953 and 30 473). Nevertheless, in medical universities it is much less common than in research institutes to note publications that are precisely included in the field of occupational health, and their quantitative preponderance in publications is due to the versatility of educational institutions. This determines the continuation of the analysis in terms of a more detailed consideration of the topics of the publications themselves.</w:t>
      </w:r>
    </w:p>
    <w:p>
      <w:pPr/>
      <w:r>
        <w:rPr>
          <w:b/>
        </w:rPr>
        <w:t>POSSIBLE 2023:</w:t>
      </w:r>
      <w:r>
        <w:t xml:space="preserve"> INTRODUCING ENGLISH FOR RESEARCH PUBLICATION PURPOSES By JohnFlowerdew and PejmanHabibieRoutledge. ISBN 978‐0367330583. Price USD 39.16 (paperback), 136.00 (hardcover). 150 pages. — https://doi.org/10.1002/tesj.715</w:t>
      </w:r>
    </w:p>
    <w:p>
      <w:pPr/>
      <w:r>
        <w:rPr>
          <w:b/>
        </w:rPr>
        <w:t>Shared claim-specific concepts:</w:t>
      </w:r>
      <w:r>
        <w:t xml:space="preserve"> publication, detailed, stage, well; EU scope not established. This is a provisional connection, not an outcome finding.</w:t>
      </w:r>
    </w:p>
    <w:p>
      <w:pPr>
        <w:pStyle w:val="SourceNote"/>
      </w:pPr>
      <w:r>
        <w:rPr>
          <w:b/>
        </w:rPr>
        <w:t>Available abstract (not full text):</w:t>
      </w:r>
      <w:r>
        <w:t xml:space="preserve"> English seems to have secured its position as the international language of academic communication and knowledge dissemination. The publish or perish policy which many academic centers of the world promote has turned out to be a publish-in-English or perish policy (Habibie, 2022). Given the significance of English as the lingua franca of scholarly publication, English for research publication purposes (ERPP) has turned into an independent area of study within English for academic purposes (EAP). The past decade has witnessed an increase in research on English as used in published academic works in different disciplines and within different genres. Despite the growing interest in this topic and the increase in the number of journal articles in this area, there are still few, if any, textbooks focusing on the various dimensions of ERPP. In Introducing English for Research Publication Purposes, Flowerdew and Habibie have pioneered in covering, within 10 chapters, “what ERPP encompasses as a scholarly field, including its disciplinary boundaries, competing discourses within the field, research and practice paradigms” in a compendious and coherent manner (p. i). The eight-page introduction to the book presents English for research publication purposes as a scholarly field developed in response to the needs of both scholars with a first language other than English and Anglophone rese</w:t>
      </w:r>
    </w:p>
    <w:p>
      <w:pPr/>
      <w:r>
        <w:rPr>
          <w:b/>
        </w:rPr>
        <w:t>POSSIBLE 2022:</w:t>
      </w:r>
      <w:r>
        <w:t xml:space="preserve"> Transformation of GRAFCET Into GAL for Verification Purposes Based on a Detailed Meta-Model — https://doi.org/10.1109/access.2022.3225736</w:t>
      </w:r>
    </w:p>
    <w:p>
      <w:pPr/>
      <w:r>
        <w:rPr>
          <w:b/>
        </w:rPr>
        <w:t>Shared claim-specific concepts:</w:t>
      </w:r>
      <w:r>
        <w:t xml:space="preserve"> detailed, terms; EU scope not established. This is a provisional connection, not an outcome finding.</w:t>
      </w:r>
    </w:p>
    <w:p>
      <w:pPr>
        <w:pStyle w:val="SourceNote"/>
      </w:pPr>
      <w:r>
        <w:rPr>
          <w:b/>
        </w:rPr>
        <w:t>Available abstract (not full text):</w:t>
      </w:r>
      <w:r>
        <w:t xml:space="preserve"> The graphical modeling language GRAFCET is used as a formal specification language in industrial control design. To use these formal specifications for model-driven development of control code it is beneficial to ensure their syntactical and semantic correctness. Therefore in this paper, a detailed meta-model for GRAFCET is presented, which takes so-called terms into account, i.e. logical and arithmetic expressions in conditions and assignments. The meta-model and additionally proposed invariants allow to create syntactically correct GRAFCET instances. Based on this, a translation of GRAFCET to Guarded Action Language (GAL) is presented. The resulting transition system in GAL forms the basis for a semantic analysis of the GRAFCET instances by means of model checking in future research. Finally, the models are then employed for automatic code generation in Structured Text.</w:t>
      </w:r>
    </w:p>
    <w:p>
      <w:pPr/>
      <w:r>
        <w:rPr>
          <w:b/>
        </w:rPr>
        <w:t>POSSIBLE 2022:</w:t>
      </w:r>
      <w:r>
        <w:t xml:space="preserve"> Purpose, outcome, and methodology in computer-assisted language learning publications: A systematic review — https://doi.org/10.29140/jaltcall.v18n2.603</w:t>
      </w:r>
    </w:p>
    <w:p>
      <w:pPr/>
      <w:r>
        <w:rPr>
          <w:b/>
        </w:rPr>
        <w:t>Shared claim-specific concepts:</w:t>
      </w:r>
      <w:r>
        <w:t xml:space="preserve"> purpose, national; EU scope not established. This is a provisional connection, not an outcome finding.</w:t>
      </w:r>
    </w:p>
    <w:p>
      <w:pPr>
        <w:pStyle w:val="SourceNote"/>
      </w:pPr>
      <w:r>
        <w:rPr>
          <w:b/>
        </w:rPr>
        <w:t>Available abstract (not full text):</w:t>
      </w:r>
      <w:r>
        <w:t xml:space="preserve"> Although CALL is still an emerging area of study in many countries, several studies have shown the significant contribution of these countries to the development of CALL worldwide, among which Iran is no exception. Contrary to the vast number of review studies on how this interdisciplinary area of study has been developed at the international level, there are very few studies presenting the development of CALL at the national level, especially in the highly contributing countries. Accordingly, the present study is an attempt to systematically review the trend of CALL in Iran focusing on research purpose, outcome, and methodology. The two major databases of WoS and Scopus were searched from 2007 to 2020. Following the exclusion and inclusion criteria, 229 studies were selected for the present systematic review. The research purpose and outcome of the studies were analyzed according to four classifications of linguistic, affective, cognitive/ metacognitive, and technology domains. The findings indicated a large number of studies in linguistic and affective domains with a positive effect of technology. Furthermore, a few studies have been conducted with a focus on the cognitive/ metacognitive and technology aspects. The analysis of the research methodology of the publications revealed a lack of sufficient data about participants, research setting, and duration of the treatment/tas</w:t>
      </w:r>
    </w:p>
    <w:p>
      <w:pPr/>
      <w:r>
        <w:rPr>
          <w:b/>
        </w:rPr>
        <w:t>POSSIBLE 2022:</w:t>
      </w:r>
      <w:r>
        <w:t xml:space="preserve"> Publication Policy of the National Research Data Infrastructure for Personal Health Data (NFDI4Health) and the NFDI4Health Task Force COVID-19 — https://doi.org/10.4126/frl01-006431467</w:t>
      </w:r>
    </w:p>
    <w:p>
      <w:pPr/>
      <w:r>
        <w:rPr>
          <w:b/>
        </w:rPr>
        <w:t>Shared claim-specific concepts:</w:t>
      </w:r>
      <w:r>
        <w:t xml:space="preserve"> publication, detailed, well, national; EU scope not established. This is a provisional connection, not an outcome finding.</w:t>
      </w:r>
    </w:p>
    <w:p>
      <w:pPr>
        <w:pStyle w:val="SourceNote"/>
      </w:pPr>
      <w:r>
        <w:rPr>
          <w:b/>
        </w:rPr>
        <w:t>Available abstract (not full text):</w:t>
      </w:r>
      <w:r>
        <w:t xml:space="preserve"> One of the purposes of the NFDI4Health is to make data collected in health-related studies FAIR. The first step towards this is the publication of comprehensive information about the context and accessibility of the data (metadata set). In addition, study documents contain further detailed information needed for the correct interpretation of the collected data and should therefore be published as well.\n\nThe Publication Policy describes the requirements for the publication of research data from health-related studies in the NFDI4Health Study Hub. Researchers or research groups wanting to make their studies discoverable and corresponding research data FAIR should fulfil these requirements.</w:t>
      </w:r>
    </w:p>
    <w:p>
      <w:pPr>
        <w:pStyle w:val="Heading2"/>
      </w:pPr>
      <w:r>
        <w:t>544.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2023:</w:t>
      </w:r>
      <w:r>
        <w:t xml:space="preserve"> Web based research in sexual medicine: a position statement of the European Society for Sexual Medicine — https://doi.org/10.1093/sexmed/qfad032</w:t>
      </w:r>
    </w:p>
    <w:p>
      <w:pPr/>
      <w:r>
        <w:rPr>
          <w:b/>
        </w:rPr>
        <w:t>Shared claim-specific concepts:</w:t>
      </w:r>
      <w:r>
        <w:t xml:space="preserve"> possible, statements, identified, researchers, challenges; EU scope visible. This is a provisional connection, not an outcome finding.</w:t>
      </w:r>
    </w:p>
    <w:p>
      <w:pPr>
        <w:pStyle w:val="SourceNote"/>
      </w:pPr>
      <w:r>
        <w:rPr>
          <w:b/>
        </w:rPr>
        <w:t>Available abstract (not full text):</w:t>
      </w:r>
      <w:r>
        <w:t xml:space="preserve">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pPr/>
      <w:r>
        <w:rPr>
          <w:b/>
        </w:rPr>
        <w:t>POSSIBLE 2023:</w:t>
      </w:r>
      <w:r>
        <w:t xml:space="preserve"> Frequent questions and responses on the 2022 lipoprotein(a) consensus statement of the European Atherosclerosis Society — https://doi.org/10.1016/j.atherosclerosis.2023.04.012</w:t>
      </w:r>
    </w:p>
    <w:p>
      <w:pPr/>
      <w:r>
        <w:rPr>
          <w:b/>
        </w:rPr>
        <w:t>Shared claim-specific concepts:</w:t>
      </w:r>
      <w:r>
        <w:t xml:space="preserve"> used, questions, asked; EU scope visible. This is a provisional connection, not an outcome finding.</w:t>
      </w:r>
    </w:p>
    <w:p>
      <w:pPr>
        <w:pStyle w:val="SourceNote"/>
      </w:pPr>
      <w:r>
        <w:rPr>
          <w:b/>
        </w:rPr>
        <w:t>Available abstract (not full text):</w:t>
      </w:r>
      <w:r>
        <w:t xml:space="preserve"> In 2022, the European Atherosclerosis Society (EAS) published a new consensus statement on lipoprotein(a) [Lp(a)], summarizing current knowledge about its causal association with atherosclerotic cardiovascular disease (ASCVD) and aortic stenosis. One of the novelties of this statement is a new risk calculator showing how Lp(a) influences lifetime risk for ASCVD and that global risk may be underestimated substantially in individuals with high or very high Lp(a) concentration. The statement also provides practical advice on how knowledge about Lp(a) concentration can be used to modulate risk factor management, given that specific and highly effective mRNA-targeted Lp(a)-lowering therapies are still in clinical development. This advice counters the attitude: "Why should I measure Lp(a) if I can't lower it?". Subsequent to publication, questions have arisen relating to how the recommendations of this statement impact everyday clinical practice and ASCVD management. This review addresses 30 of the most frequently asked questions about Lp(a) epidemiology, its contribution to cardiovascular risk, Lp(a) measurement, risk factor management and existing therapeutic options.</w:t>
      </w:r>
    </w:p>
    <w:p>
      <w:pPr/>
      <w:r>
        <w:rPr>
          <w:b/>
        </w:rPr>
        <w:t>POSSIBLE 2022:</w:t>
      </w:r>
      <w:r>
        <w:t xml:space="preserve"> Has the STARD statement improved the quality of reporting of diagnostic accuracy studies published in European Radiology? — https://doi.org/10.1007/s00330-022-09008-7</w:t>
      </w:r>
    </w:p>
    <w:p>
      <w:pPr/>
      <w:r>
        <w:rPr>
          <w:b/>
        </w:rPr>
        <w:t>Shared claim-specific concepts:</w:t>
      </w:r>
      <w:r>
        <w:t xml:space="preserve"> used, possible, identified; EU scope visible. This is a provisional connection, not an outcome finding.</w:t>
      </w:r>
    </w:p>
    <w:p>
      <w:pPr>
        <w:pStyle w:val="SourceNote"/>
      </w:pPr>
      <w:r>
        <w:rPr>
          <w:b/>
        </w:rPr>
        <w:t>Available abstract (not full text):</w:t>
      </w:r>
      <w:r>
        <w:t xml:space="preserve"> OBJECTIVES: To investigate whether encouraging authors to follow the Standards for Reporting Diagnostic Accuracy (STARD) guidelines improves the quality of reporting of diagnostic accuracy studies. METHODS: In mid-2017, European Radiology started encouraging its authors to follow the STARD guidelines. Our MEDLINE search identified 114 diagnostic accuracy studies published in European Radiology in 2015 and 2019. The quality of reporting was evaluated by two independent reviewers using the revised STARD statement. Item 11 was excluded because a meaningful decision about adherence was not possible. Student's t test for independent samples was used to analyze differences in the mean number of reported STARD items between studies published in 2015 and in 2019. In addition, we calculated differences related to the study design, data collection, and citation rate. RESULTS: The mean total number of reported STARD items for all 114 diagnostic accuracy studies analyzed was 15.9 ± 2.6 (54.8%) of 29 items (range 9.5-22.5). The quality of reporting of diagnostic accuracy studies was significantly better in 2019 (mean ± standard deviation (SD), 16.3 ± 2.7) than in 2015 (mean ± SD, 15.1 ± 2.3; p &lt; 0.02). No significant differences in the reported STARD items were identified in relation to study design (p = 0.13), data collection (p = 0.87), and citation rate (p = 0.09). CONCLUSION: The qualit</w:t>
      </w:r>
    </w:p>
    <w:p>
      <w:pPr/>
      <w:r>
        <w:rPr>
          <w:b/>
        </w:rPr>
        <w:t>POSSIBLE 2022:</w:t>
      </w:r>
      <w:r>
        <w:t xml:space="preserve"> Reducing the environmental footprint of gastrointestinal endoscopy: European Society of Gastrointestinal Endoscopy (ESGE) and European Society of Gastroenterology and Endoscopy Nurses and Associates (ESGENA) Position Statement — https://doi.org/10.1055/a-1859-3726</w:t>
      </w:r>
    </w:p>
    <w:p>
      <w:pPr/>
      <w:r>
        <w:rPr>
          <w:b/>
        </w:rPr>
        <w:t>Shared claim-specific concepts:</w:t>
      </w:r>
      <w:r>
        <w:t xml:space="preserve"> statements, environmental, challenges; EU scope visible. This is a provisional connection, not an outcome finding.</w:t>
      </w:r>
    </w:p>
    <w:p>
      <w:pPr>
        <w:pStyle w:val="SourceNote"/>
      </w:pPr>
      <w:r>
        <w:rPr>
          <w:b/>
        </w:rPr>
        <w:t>Available abstract (not full text):</w:t>
      </w:r>
      <w:r>
        <w:t xml:space="preserve">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pStyle w:val="Heading2"/>
      </w:pPr>
      <w:r>
        <w:t>545.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greenhouse, gas, emissions;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2022:</w:t>
      </w:r>
      <w:r>
        <w:t xml:space="preserve"> Framing Climate Policy Ambition in the European Parliament — https://doi.org/10.17645/pag.v10i3.5479</w:t>
      </w:r>
    </w:p>
    <w:p>
      <w:pPr/>
      <w:r>
        <w:rPr>
          <w:b/>
        </w:rPr>
        <w:t>Shared claim-specific concepts:</w:t>
      </w:r>
      <w:r>
        <w:t xml:space="preserve"> union, ambition, aims; EU scope visible. This is a provisional connection, not an outcome finding.</w:t>
      </w:r>
    </w:p>
    <w:p>
      <w:pPr>
        <w:pStyle w:val="SourceNote"/>
      </w:pPr>
      <w:r>
        <w:rPr>
          <w:b/>
        </w:rPr>
        <w:t>Available abstract (not full text):</w:t>
      </w:r>
      <w:r>
        <w:t xml:space="preserve"> The European Union’s climate policy is considered quite ambitious. This has led to a growing interest among political scientists investigating the European Parliament’s ability to negotiate such ambitious climate legislation. These studies generally focus on the voting behaviour of members of the European Parliament, which allows us to know more about their positions when it comes to accepting or rejecting legislative acts. However, we know surprisingly little about how they debate and justify their positions in Parliament. In these debates, members of the European Parliament not only identify the problem (i.e., climate change and its adverse effects) but also discuss potential solutions (i.e., their willingness or ambition to fight and adapt to climate change). In addition, plenary debates are ideal for making representative claims based on citizens’ interests on climate action. Therefore, this article aims to understand how climate policy ambitions are debated in the European Parliament and whose interests are represented. We propose a new manual coding scheme for climate policy ambitions in parliamentary debate and employ it in climate policy debates in the ninth European Parliament (2019–present). In doing so, this article makes a methodological contribution to operationalising climate policy ambition from a parliamentary representation and legitimation perspective. We find</w:t>
      </w:r>
    </w:p>
    <w:p>
      <w:pPr/>
      <w:r>
        <w:rPr>
          <w:b/>
        </w:rPr>
        <w:t>POSSIBLE 2022:</w:t>
      </w:r>
      <w:r>
        <w:t xml:space="preserve"> Sustainable Health and Wellbeing in the European Union — https://doi.org/10.3389/fpubh.2022.851061</w:t>
      </w:r>
    </w:p>
    <w:p>
      <w:pPr/>
      <w:r>
        <w:rPr>
          <w:b/>
        </w:rPr>
        <w:t>Shared claim-specific concepts:</w:t>
      </w:r>
      <w:r>
        <w:t xml:space="preserve"> union, first, monitor; EU scope visible. This is a provisional connection, not an outcome finding.</w:t>
      </w:r>
    </w:p>
    <w:p>
      <w:pPr>
        <w:pStyle w:val="SourceNote"/>
      </w:pPr>
      <w:r>
        <w:rPr>
          <w:b/>
        </w:rPr>
        <w:t>Available abstract (not full text):</w:t>
      </w:r>
      <w:r>
        <w:t xml:space="preserve"> Background Altogether, 17 Sustainable Development Goals (SDGs) are an urgent call for action to end poverty, protect the planet, and ensure prosperity for all. Goal 3 is crucial in terms of good health and wellbeing. The main aim of this study is to analyze and evaluate differences among indicators of SDG 3: Sustainable health and wellbeing in the EU countries. Methods The status and development of the EU Member States regarding their successes or failures in terms of Goal 3 were subjected to analysis. Altogether, 11 indicators were used to rank the EU countries using the TOPSIS and ranking methods. The ranks were assigned to the countries in two periods. The first period is related to the time from 2010 till 2014, and the second period from 2015 till 2019. Results The EU countries achieved a positive development in 10 of 11 indicators that monitor the achievement of the EU in terms of Goal 3. The only variable that changed negatively was the obesity rate. Positivity was observed in the decline of the standardized preventable and treatable mortality, which declined from 317.3 in the first period to 295 in the second period; the drop of the population weighted annual mean concentration of fine particulate PM2.5, from 16.4 to 13.6 μg/m3, and also in the increase of the share of people with good or very good perceived health, which was combined with a decrease of the self-reported</w:t>
      </w:r>
    </w:p>
    <w:p>
      <w:pPr/>
      <w:r>
        <w:rPr>
          <w:b/>
        </w:rPr>
        <w:t>POSSIBLE 2022:</w:t>
      </w:r>
      <w:r>
        <w:t xml:space="preserve"> Gender Mainstreaming the European Union Energy Transition — https://doi.org/10.3390/en15218087</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pPr/>
      <w:r>
        <w:rPr>
          <w:b/>
        </w:rPr>
        <w:t>POSSIBLE 2022:</w:t>
      </w:r>
      <w:r>
        <w:t xml:space="preserve"> The Development of Renewable Energy Sources in the European Union in the Light of the European Green Deal — https://doi.org/10.3390/en15155576</w:t>
      </w:r>
    </w:p>
    <w:p>
      <w:pPr/>
      <w:r>
        <w:rPr>
          <w:b/>
        </w:rPr>
        <w:t>Shared claim-specific concepts:</w:t>
      </w:r>
      <w:r>
        <w:t xml:space="preserve"> union, emissions, transport, assess, method; EU scope visible. This is a provisional connection, not an outcome finding.</w:t>
      </w:r>
    </w:p>
    <w:p>
      <w:pPr>
        <w:pStyle w:val="SourceNote"/>
      </w:pPr>
      <w:r>
        <w:rPr>
          <w:b/>
        </w:rPr>
        <w:t>Available abstract (not full text):</w:t>
      </w:r>
      <w:r>
        <w:t xml:space="preserve">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pPr/>
      <w:r>
        <w:rPr>
          <w:b/>
        </w:rPr>
        <w:t>POSSIBLE 2022:</w:t>
      </w:r>
      <w:r>
        <w:t xml:space="preserve"> The Achievements of Climate Change and Energy Policy in the European Union — https://doi.org/10.3390/en15145128</w:t>
      </w:r>
    </w:p>
    <w:p>
      <w:pPr/>
      <w:r>
        <w:rPr>
          <w:b/>
        </w:rPr>
        <w:t>Shared claim-specific concepts:</w:t>
      </w:r>
      <w:r>
        <w:t xml:space="preserve"> union, assess, method; EU scope visible. This is a provisional connection, not an outcome finding.</w:t>
      </w:r>
    </w:p>
    <w:p>
      <w:pPr>
        <w:pStyle w:val="SourceNote"/>
      </w:pPr>
      <w:r>
        <w:rPr>
          <w:b/>
        </w:rPr>
        <w:t>Available abstract (not full text):</w:t>
      </w:r>
      <w:r>
        <w:t xml:space="preserve"> The European transition to green economy is based on long-term strategies. The Europe 2020 Strategy was launched in 2010 in order to promote smart, sustainable, and inclusive growth in the region. Later, the ambitions regarding this strategy were followed by the Green Deal and Sustainable Development Goals. Now, the effort of countries towards the green economy is even more relevant than ever because of the context of today’s global energy crisis and economic uncertainty due to many challenges such as the COVID-19 pandemic or Russia invasion of Ukraine. This paper seeks to assess the countries’ achievements in seeking climate change and energy targets of the Europe 2020 Strategy by applying the innovative multi-criteria decision-making (MCDM) technique. The kernel-based comprehensive assessment (KerCA) method was applied for the calculations of the progress achieved and countries’ rankings. It allows to evaluate countries’ achievements and compare them using the mathematical models. The analysis of the national target implementation in the countries allows to determine the compliance of countries with their commitments and liability towards other countries and the European Union (EU). An analysis of the implementation of the strategy can serve as a guide to further develop climate change and energy policy in the region. Furthermore, the added value of the article is systematic </w:t>
      </w:r>
    </w:p>
    <w:p>
      <w:pPr>
        <w:pStyle w:val="Heading2"/>
      </w:pPr>
      <w:r>
        <w:t>546.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2024:</w:t>
      </w:r>
      <w:r>
        <w:t xml:space="preserve"> Tracking Candidemia Trends and Antifungal Resistance Patterns across Europe: An In-Depth Analysis of Surveillance Systems and Surveillance Studies — https://doi.org/10.3390/jof10100685</w:t>
      </w:r>
    </w:p>
    <w:p>
      <w:pPr/>
      <w:r>
        <w:rPr>
          <w:b/>
        </w:rPr>
        <w:t>Shared claim-specific concepts:</w:t>
      </w:r>
      <w:r>
        <w:t xml:space="preserve"> methods, in-depth, system, trends; EU scope visible. This is a provisional connection, not an outcome finding.</w:t>
      </w:r>
    </w:p>
    <w:p>
      <w:pPr>
        <w:pStyle w:val="SourceNote"/>
      </w:pPr>
      <w:r>
        <w:rPr>
          <w:b/>
        </w:rPr>
        <w:t>Available abstract (not full text):</w:t>
      </w:r>
      <w:r>
        <w:t xml:space="preserve">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pStyle w:val="Heading2"/>
      </w:pPr>
      <w:r>
        <w:t>547.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2023:</w:t>
      </w:r>
      <w:r>
        <w:t xml:space="preserve"> Systematic analysis of PMV and SET* in an imagined normal environment — https://doi.org/10.1201/9781003410843-27</w:t>
      </w:r>
    </w:p>
    <w:p>
      <w:pPr/>
      <w:r>
        <w:rPr>
          <w:b/>
        </w:rPr>
        <w:t>Shared claim-specific concepts:</w:t>
      </w:r>
      <w:r>
        <w:t xml:space="preserve"> set, different, between, increase; EU scope not established. This is a provisional connection, not an outcome finding.</w:t>
      </w:r>
    </w:p>
    <w:p>
      <w:pPr>
        <w:pStyle w:val="SourceNote"/>
      </w:pPr>
      <w:r>
        <w:rPr>
          <w:b/>
        </w:rPr>
        <w:t>Available abstract (not full text):</w:t>
      </w:r>
      <w:r>
        <w:t xml:space="preserve"> The Predicted Mean Vote (PMV) and Standard Effective Temperature (SET*) are widely used models in international standards to quantify thermal comfort. Nonetheless, literature is scarce on the quantification of the interrelationship between these two models, demanding a systematic study. Therefore, in this study, the interrelationship between PMV and SET* in an assumed normal environment is investigated. For this purpose, a large set of data samples was generated by considering various thermal variables at different levels within certain threshold limits and employed in the designated model formulation of PMV and SET*. The mathematical models were established to quantify the interrelationship between PMV and SET* for various clothing insulation (I cl ). In addition, frequency distributions of PMV and SET* based on established models were evaluated, which showed that the relevant relationship between the proposed models was substantially based on computation outputs rather than computation/heat variables. The parametric analyses showed that these models were significantly and synergistically influenced by different heat variables, and their selection may play an important role in defining thermal comfort using these two models. The results of both models were influenced by air velocity (V) at the lower operating temperature (T op ) and relative humidity (φ) at the higher Top in t</w:t>
      </w:r>
    </w:p>
    <w:p>
      <w:pPr/>
      <w:r>
        <w:rPr>
          <w:b/>
        </w:rPr>
        <w:t>POSSIBLE 2022:</w:t>
      </w:r>
      <w:r>
        <w:t xml:space="preserve"> Transcriptome Profiling Based on Larvae at Different Time Points After Hatching Provides a Core Set of Gene Resource for Understanding the Metabolic Mechanisms of the Brood-Care Behavior in Octopus ocellatus — https://doi.org/10.3389/fphys.2021.762681</w:t>
      </w:r>
    </w:p>
    <w:p>
      <w:pPr/>
      <w:r>
        <w:rPr>
          <w:b/>
        </w:rPr>
        <w:t>Shared claim-specific concepts:</w:t>
      </w:r>
      <w:r>
        <w:t xml:space="preserve"> provide, set, different, between; EU scope not established. This is a provisional connection, not an outcome finding.</w:t>
      </w:r>
    </w:p>
    <w:p>
      <w:pPr>
        <w:pStyle w:val="SourceNote"/>
      </w:pPr>
      <w:r>
        <w:rPr>
          <w:b/>
        </w:rPr>
        <w:t>Available abstract (not full text):</w:t>
      </w:r>
      <w:r>
        <w:t xml:space="preserve"> The metabolic processes of organisms are very complex. Each process is crucial and affects the growth, development, and reproduction of organisms. Metabolism-related mechanisms inOctopus ocellatusbehaviors have not been widely studied. Brood-care is a common behavior in most organisms, which can improve the survival rate and constitution of larvae.Octopus ocellatuscarried out this behavior, but it was rarely noticed by researchers before. In our study, 3,486 differentially expressed genes (DEGs) were identified based on transcriptome analysis ofO. ocellatus. We identify metabolism-related DEGs using GO and KEGG enrichment analyses. Then, we construct protein–protein interaction networks to search the functional relationships between metabolism-related DEGs. Finally, we identified 10 hub genes related to multiple gene functions or involved in multiple signal pathways and verified them using quantitative real-time polymerase chain reaction (qRT-PCR). Protein–protein interaction networks were first used to study the effects of brood-care behavior on metabolism in the process of growing ofO. ocellatuslarvae, and the results provide us valuable genetic resources for understanding the metabolic processes of invertebrate larvae. The data lay a foundation for further study the brood-care behavior and metabolic mechanisms of invertebrates.</w:t>
      </w:r>
    </w:p>
    <w:p>
      <w:pPr/>
      <w:r>
        <w:rPr>
          <w:b/>
        </w:rPr>
        <w:t>POSSIBLE 2022:</w:t>
      </w:r>
      <w:r>
        <w:t xml:space="preserve"> Why is manufacturing not more sustainable? The effects of different sustainability practices on sustainability outcomes and competitive advantage — https://doi.org/10.1016/j.jclepro.2022.130392</w:t>
      </w:r>
    </w:p>
    <w:p>
      <w:pPr/>
      <w:r>
        <w:rPr>
          <w:b/>
        </w:rPr>
        <w:t>Shared claim-specific concepts:</w:t>
      </w:r>
      <w:r>
        <w:t xml:space="preserve"> different, differential, between, over; EU scope not established. This is a provisional connection, not an outcome finding.</w:t>
      </w:r>
    </w:p>
    <w:p>
      <w:pPr>
        <w:pStyle w:val="SourceNote"/>
      </w:pPr>
      <w:r>
        <w:rPr>
          <w:b/>
        </w:rPr>
        <w:t>Available abstract (not full text):</w:t>
      </w:r>
      <w:r>
        <w:t xml:space="preserve"> Over the last decades, there has been growing worldwide concern for the notable contribution of manufacturing activities to environmental damages. In this context, there is an open debate regarding the incentives of companies to move from mere compliance strategies towards voluntary adoption of environmental responsibility strategies, simultaneously considering economic, environmental and social objectives. This paper aims to analyse the effect of different sets of sustainability practices on sustainability outcomes and the competitive advantage of manufacturing firms. The study distinguishes between internal, external monitoring and external collaborative sustainability practices and considers their effect on regulatory, environmental and manufacturing sustainability outcomes in order to identify their contribution to the competitive advantage of firms. Drawing on natural resource-based view theory, social exchange theory and transaction cost theory, and recent evidence in the field, the study tests several hypotheses using data from the fourth round of the High-Performance Management (HPM) project. Through structural equation modelling with partial least square methodology (PLS-SEM), this study shows the existence of differential effects of sustainability practices on sustainability outcomes and competitive advantage using a sample of 263 manufacturing plants located in 15 co</w:t>
      </w:r>
    </w:p>
    <w:p>
      <w:pPr>
        <w:pStyle w:val="Heading2"/>
      </w:pPr>
      <w:r>
        <w:t>548.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2024:</w:t>
      </w:r>
      <w:r>
        <w:t xml:space="preserve"> European historical consciousness and the “culture of memory” as a reflection of “Pan-European” values — https://doi.org/10.31857/s1026945224090176</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article presents an analysis of the Resolution of the European Parliament “On European Historical Consciousness” (2024). Increased attention is paid to the so-called “common European” values, which in this international document are positioned as the basis for interpreting the past of Europe, as well as key guidelines for the formation of a European “culture of memory” and “critical” historical consciousness. The author comes to the conclusion that the attempts of the European Parliament (through strengthening self-reflexive public discourse) to promote mutual understanding and reconciliation within and between individual social groups, nations and states are doomed to failure in advance, since the proposed algorithm has a pronounced artificial character.</w:t>
      </w:r>
    </w:p>
    <w:p>
      <w:pPr/>
      <w:r>
        <w:rPr>
          <w:b/>
        </w:rPr>
        <w:t>POSSIBLE 2024:</w:t>
      </w:r>
      <w:r>
        <w:t xml:space="preserve"> Institutional efficiency in the context of Ukraine’s prospects of European integration. Article 1. Institutional effectiveness in the EU countries — https://doi.org/10.15407/etet2024.01.028</w:t>
      </w:r>
    </w:p>
    <w:p>
      <w:pPr/>
      <w:r>
        <w:rPr>
          <w:b/>
        </w:rPr>
        <w:t>Shared claim-specific concepts:</w:t>
      </w:r>
      <w:r>
        <w:t xml:space="preserve"> article, author, presents, increase, over; EU scope visible. This is a provisional connection, not an outcome finding.</w:t>
      </w:r>
    </w:p>
    <w:p>
      <w:pPr>
        <w:pStyle w:val="SourceNote"/>
      </w:pPr>
      <w:r>
        <w:rPr>
          <w:b/>
        </w:rPr>
        <w:t>Available abstract (not full text):</w:t>
      </w:r>
      <w:r>
        <w:t xml:space="preserve"> The article presents the results of a study of institutional efficiency in EU countries based on the Worldwide Governance Indicators (WGI) methodology implemented by the World Bank. The segmentation of the European institutional space is shown, and it is proved that the differentiation of the institutional efficiency of the European countries is the result of the historical features of the institutional architecture of the EU, which implies socio-institutional eclecticism that ensures the inclusiveness of the institutional environment. The peculiarities of the institutional development of the leading countries are characterized and it is shown that they maintain their status over long periods of time, external dependence on global fluctuations and growing uncertainty. It is revealed that as the pan-European space expands, the indicators of the institutional efficiency of countries tend to decrease, on which basis assumptions are made about the limits of the positive expansion of the pan-European economic and socio-institutional space. The author founds that most EU countries reached the maximum of institutional efficiency in the late 1990s and early 2000s, while for many countries it was 2004-2005, the years of the penultimate pre-crisis stage of integration, with maximum expectations and maximum synergy. It has been proven that integration into the EU is not necessarily a fact</w:t>
      </w:r>
    </w:p>
    <w:p>
      <w:pPr/>
      <w:r>
        <w:rPr>
          <w:b/>
        </w:rPr>
        <w:t>POSSIBLE 2024:</w:t>
      </w:r>
      <w:r>
        <w:t xml:space="preserve"> The role of African countries in the diversification of European supply chains from the perspective of the European Union — https://doi.org/10.31338/1641-2478pe.4.24.7</w:t>
      </w:r>
    </w:p>
    <w:p>
      <w:pPr/>
      <w:r>
        <w:rPr>
          <w:b/>
        </w:rPr>
        <w:t>Shared claim-specific concepts:</w:t>
      </w:r>
      <w:r>
        <w:t xml:space="preserve"> article, author, presents, union, role; EU scope visible. This is a provisional connection, not an outcome finding.</w:t>
      </w:r>
    </w:p>
    <w:p>
      <w:pPr>
        <w:pStyle w:val="SourceNote"/>
      </w:pPr>
      <w:r>
        <w:rPr>
          <w:b/>
        </w:rPr>
        <w:t>Available abstract (not full text):</w:t>
      </w:r>
      <w:r>
        <w:t xml:space="preserve"> This article presents the analysis of the role of African economies in diversifying European supply chains amid growing trade tensions between the EU, USA, and China. The author identifies key strengths, such as access to raw materials and low labour costs, while addressing challenges like weak infrastructure and political instability. Using a mixed-methods approach, including statistical analysis and content evaluation of EU policy documents, this research highlights the EU’s strategy to reduce reliance on China by increasing co-operation with African countries. The findings suggest that while Africa has potential, its integration into European supply chains remains limited due to structural constraints.</w:t>
      </w:r>
    </w:p>
    <w:p>
      <w:pPr/>
      <w:r>
        <w:rPr>
          <w:b/>
        </w:rPr>
        <w:t>POSSIBLE 2024:</w:t>
      </w:r>
      <w:r>
        <w:t xml:space="preserve"> THE LEVERAGING OF DIGITAL DIPLOMACY TO FURTHER THE EUROPEAN UNION'S DIPLOMATIC AGENDA — https://openalex.org/W7215527868</w:t>
      </w:r>
    </w:p>
    <w:p>
      <w:pPr/>
      <w:r>
        <w:rPr>
          <w:b/>
        </w:rPr>
        <w:t>Shared claim-specific concepts:</w:t>
      </w:r>
      <w:r>
        <w:t xml:space="preserve"> article, presents, support, union, role; EU scope visible. This is a provisional connection, not an outcome finding.</w:t>
      </w:r>
    </w:p>
    <w:p>
      <w:pPr>
        <w:pStyle w:val="SourceNote"/>
      </w:pPr>
      <w:r>
        <w:rPr>
          <w:b/>
        </w:rPr>
        <w:t>Available abstract (not full text):</w:t>
      </w:r>
      <w:r>
        <w:t xml:space="preserve"> This article examines the role of digital diplomacy in advancing the diplomatic goals of the European Union. The authors analyze the impact of digital technologies on diplomatic processes and discuss the benefits, challenges, and opportunities that digital diplomacy presents for the European Union. The article considers examples of the use of digital tools and platforms, such as social media, email, and websites, to support communication, advocacy, and the management of the European Union's image. It also highlights the privacy, security, and ethical challenges associated with digital diplomacy. In conclusion, the authors emphasize the importance of integrating digital tools and strategies into the diplomatic work of the European Union to effectively achieve its diplomatic objectives in the modern digital world.</w:t>
      </w:r>
    </w:p>
    <w:p>
      <w:pPr/>
      <w:r>
        <w:rPr>
          <w:b/>
        </w:rPr>
        <w:t>POSSIBLE 2024:</w:t>
      </w:r>
      <w:r>
        <w:t xml:space="preserve"> Between Europe and Asia: Establishment of the Russian Legal System — https://doi.org/10.18572/1812-3805-2024-7-19-23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article presents results of studies of the historical choice factor in the process of establishment of the Russian legal system from the standpoint of influence of European and Asian legal traditions on evolution of Russian law. The author brings forward some methodological approaches to solution of research tasks solved in this sphere of historical jurisprudence.</w:t>
      </w:r>
    </w:p>
    <w:p>
      <w:pPr/>
      <w:r>
        <w:rPr>
          <w:b/>
        </w:rPr>
        <w:t>POSSIBLE 2023:</w:t>
      </w:r>
      <w:r>
        <w:t xml:space="preserve"> Evolution of the European Union’s policy for development of rural communities in the context of the European Green Deal strategy implementation — https://doi.org/10.31338/1641-2478pe.3.23.3</w:t>
      </w:r>
    </w:p>
    <w:p>
      <w:pPr/>
      <w:r>
        <w:rPr>
          <w:b/>
        </w:rPr>
        <w:t>Shared claim-specific concepts:</w:t>
      </w:r>
      <w:r>
        <w:t xml:space="preserve"> article, author, presents, support, union; EU scope visible. This is a provisional connection, not an outcome finding.</w:t>
      </w:r>
    </w:p>
    <w:p>
      <w:pPr>
        <w:pStyle w:val="SourceNote"/>
      </w:pPr>
      <w:r>
        <w:rPr>
          <w:b/>
        </w:rPr>
        <w:t>Available abstract (not full text):</w:t>
      </w:r>
      <w:r>
        <w:t xml:space="preserve"> This article refers to development support instruments for rural communities in the European Union (EU). The author presents the systemic and strategic determinants of creation and delivery of the EU rural community policy, as well as the origins and evolution of the Union policy in the abovementioned scope. The analysis is focused on the specific institutional and financial solutions which promote sustainable development of rural communities. The article demonstrates that multi-level and multi-agent nature of the development management system in the EU affects the implementation of a neo-endogenous policy towards rural communities in the EU. The text also presents developments in the implementation of EU policy for rural communities after 2021 in the context of the implementation of the European Green Deal (EGD) strategy.</w:t>
      </w:r>
    </w:p>
    <w:p>
      <w:pPr/>
      <w:r>
        <w:rPr>
          <w:b/>
        </w:rPr>
        <w:t>POSSIBLE 2023:</w:t>
      </w:r>
      <w:r>
        <w:t xml:space="preserve"> Causes of the Russian-Ukrainian Conflict and its Impact on Security in Europe — https://doi.org/10.2478/kbo-2023-0004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pStyle w:val="Heading2"/>
      </w:pPr>
      <w:r>
        <w:t>549.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r>
        <w:rPr>
          <w:b/>
        </w:rPr>
        <w:t>POSSIBLE 2022:</w:t>
      </w:r>
      <w:r>
        <w:t xml:space="preserve"> The Regional Development Trap in Europe — https://doi.org/10.1080/00130095.2022.2080655</w:t>
      </w:r>
    </w:p>
    <w:p>
      <w:pPr/>
      <w:r>
        <w:rPr>
          <w:b/>
        </w:rPr>
        <w:t>Shared claim-specific concepts:</w:t>
      </w:r>
      <w:r>
        <w:t xml:space="preserve"> shed, light, concept;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After the four-year transition period: Is the European Union's Medical Device Regulation of 2017 likely to achieve its main goals? — https://doi.org/10.1016/j.healthpol.2022.09.012</w:t>
      </w:r>
    </w:p>
    <w:p>
      <w:pPr/>
      <w:r>
        <w:rPr>
          <w:b/>
        </w:rPr>
        <w:t>Shared claim-specific concepts:</w:t>
      </w:r>
      <w:r>
        <w:t xml:space="preserve"> main, achieve, reasons, why; EU scope visible. This is a provisional connection, not an outcome finding.</w:t>
      </w:r>
    </w:p>
    <w:p>
      <w:pPr>
        <w:pStyle w:val="SourceNote"/>
      </w:pPr>
      <w:r>
        <w:rPr>
          <w:b/>
        </w:rPr>
        <w:t>Available abstract (not full text):</w:t>
      </w:r>
      <w:r>
        <w:t xml:space="preserve"> Following a series of major scandals over the past two decades, the medical device industry is now undergoing a major regulatory change: the implementation of the European Union Medical Device Regulation (MDR) of 2017. After a transitional period of four years, the MDR became fully binding in May 2021. Although the medium- and long-term impacts of the MDR are still unclear, a range of scholars, health care professionals, and industry representatives have begun to publish early evidence and publicize their views on how the new regulation may impact free trade and patient safety. Even a cursory view of their output reveals hypotheses and opinions that could hardly be more divergent. The reasons for this disagreement are unclear and may extend beyond the different interests of the various stakeholder groups. To find out why this might be the case, we examine the MDR and seek to improve scholarly understanding of this most extensive regulation of medical devices since the early 1990s. We offer policymakers suggestions to help them improve future regulation. Based on theoretical considerations, we conclude that while the MDR is highly likely to strengthen the internal market of the EU, its impact on patient safety will remain unclear as long as there are no comprehensive studies on this topic that are based on empirical data.</w:t>
      </w:r>
    </w:p>
    <w:p>
      <w:pPr>
        <w:pStyle w:val="Heading2"/>
      </w:pPr>
      <w:r>
        <w:t>550.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r>
        <w:rPr>
          <w:b/>
        </w:rPr>
        <w:t>POSSIBLE 2023:</w:t>
      </w:r>
      <w:r>
        <w:t xml:space="preserve"> Representative government in south Germany and the myth of the Sonderweg — https://doi.org/10.31235/osf.io/tcwzs</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Bavaria and Württemberg were two German states in which estates-based representative government survived the early modern period, which has traditionally been considered the period when representative institutions were supposedly in decline. I will show that these two states were among those European states which preserved their representative institutions and avoided becoming “absolutist.” Germany shared a heritage of medieval constitutionalism with the other countries of Western Europe. In the early modern period, the estates of Brandenburg and East Prussia, both ruled by the Hohenzollerns, were among the strongest in Europe. I will put the developments in the south German states into a wider German and European perspective. I believe that the path of constitutional development taken by the south German states, and the other states including Prussia, showed that Germany in its entirety did in fact follow a path not that much different from the other European states, in contradiction to the theory that Germany developed differently from them, in a more absolutist and authoritarian direction.</w:t>
      </w:r>
    </w:p>
    <w:p>
      <w:pPr/>
      <w:r>
        <w:rPr>
          <w:b/>
        </w:rPr>
        <w:t>POSSIBLE 2022:</w:t>
      </w:r>
      <w:r>
        <w:t xml:space="preserve"> National Recovery and Resilience Plan: Germany — https://doi.org/10.6092/issn.1561-8048/15651</w:t>
      </w:r>
    </w:p>
    <w:p>
      <w:pPr/>
      <w:r>
        <w:rPr>
          <w:b/>
        </w:rPr>
        <w:t>Shared claim-specific concepts:</w:t>
      </w:r>
      <w:r>
        <w:t xml:space="preserve"> german, government, electricity, germany; EU scope visible. This is a provisional connection, not an outcome finding.</w:t>
      </w:r>
    </w:p>
    <w:p>
      <w:pPr>
        <w:pStyle w:val="SourceNote"/>
      </w:pPr>
      <w:r>
        <w:rPr>
          <w:b/>
        </w:rPr>
        <w:t>Available abstract (not full text):</w:t>
      </w:r>
      <w:r>
        <w:t xml:space="preserve"> By helping to give birth to the establishment of NextGenerationEU and the Recovery and Resilience Facility, the German government made a U-turn in relation to the Covid-19 pandemic compared with its earlier austerity approach in the management of the Euro crisis. Opposition to the new European debt and transfer instruments has been silent and political leaders have integrated the additional grants into their planning processes concerning changing the country’s energy supply and expanding digitalisation. While the Recovery and Resilience Plan was assessed positively, some preconditions for implementing it still seem to be missing, such as better electricity and high-capacity broadband networks. The process of transforming the German economy structurally to be greener and more digitalised has, however, neglected the social implications. While a minor proportion of the RRP will be spent on strengthening social resilience, many vulnerable groups are not in the focus of the state’s activities. The EU’s conclusions in the 2019 Country Specific Recommendations are treated rather in economic than in social terms. A sustainable new growth model would need to tackle also long-standing problems such as the high external surplus, the low public investment rate, income inequality and the relatively high at-risk-of-poverty rate.</w:t>
      </w:r>
    </w:p>
    <w:p>
      <w:pPr/>
      <w:r>
        <w:rPr>
          <w:b/>
        </w:rPr>
        <w:t>POSSIBLE 2022:</w:t>
      </w:r>
      <w:r>
        <w:t xml:space="preserve"> The politics of government reorganization in Western Europe — https://doi.org/10.1111/gove.12670</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The reorganization of governments is crucial for parties to express their policy preferences once they reach office. Yet these activities are not confined to the direct aftermath of general elections or to wide‐ranging structural reforms. Instead, governments reorganize and adjust their machinery of government all the time. This paper aims to assess these structural choices with a particular focus at the core of the state, comparing four Western European democracies (Germany, France, the Netherlands, and United Kingdom) from 1980 to 2013. Our empirical analysis shows that stronger shifts in cabinets' ideological profiles in the short‐ and long‐term as well as the units' proximity to political executives yield significant effects. In contrast, Conservative governments, commonly regarded as key promoters of reorganizing governments, are not significant for the likelihood of structural change. We discuss the effects of this politics of government reorganization for different research debates assessing the inner workings of governments.</w:t>
      </w:r>
    </w:p>
    <w:p>
      <w:pPr>
        <w:pStyle w:val="Heading2"/>
      </w:pPr>
      <w:r>
        <w:t>551.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2022:</w:t>
      </w:r>
      <w:r>
        <w:t xml:space="preserve"> Worst Cases and Reality — https://doi.org/10.1353/apr.2022.0008</w:t>
      </w:r>
    </w:p>
    <w:p>
      <w:pPr/>
      <w:r>
        <w:rPr>
          <w:b/>
        </w:rPr>
        <w:t>Shared claim-specific concepts:</w:t>
      </w:r>
      <w:r>
        <w:t xml:space="preserve"> worst, case, increase, based, four; EU scope visible. This is a provisional connection, not an outcome finding.</w:t>
      </w:r>
    </w:p>
    <w:p>
      <w:pPr>
        <w:pStyle w:val="SourceNote"/>
      </w:pPr>
      <w:r>
        <w:rPr>
          <w:b/>
        </w:rPr>
        <w:t>Available abstract (not full text):</w:t>
      </w:r>
      <w:r>
        <w:t xml:space="preserve"> Worst Cases and Reality Walter C. Clemens Jr. (bio) Samuel F. Wells. Fearing the Worst: How Korea Transformed the Cold War. New York: Columbia University Press, 2020. Charles J. Hanley. Ghost Flames: Life and Death in a Hidden War, Korea 1950–1953. New York: PublicAffairs, 2020. Based mainly on official documents and scholarly writings, fearing the Worst reviews the Korean War mainly from the perspective of governments. Ghost Flames views the war as experienced by twenty individuals. It is based on interviews and private papers as well as archival documents and reports by the South Korean Truth and Reconciliation Commission. Taken together, these two books provide a top-down and bottom-up picture of terrible events that still haunt and ricochet in world affairs. Actions derive from perceptions and hopes that produce beliefs or, at least, working assumptions. Sometimes reality intrudes to challenge or reinforce those assumptions. All the major powers from the late 1940s to the early 1950s were like blind people bumping into one another in a forest. The Truman administration believed that Stalin and Mao Zedong were close partners determined to spread communism. Not until war began did Washington see North Korea as a threat to peace and stability. American leaders in 1949 and 1950 said that the US defense perimeter excluded Taiwan and the Republic of Korea (ROK). The United States</w:t>
      </w:r>
    </w:p>
    <w:p>
      <w:pPr>
        <w:pStyle w:val="Heading2"/>
      </w:pPr>
      <w:r>
        <w:t>552.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r>
        <w:rPr>
          <w:b/>
        </w:rPr>
        <w:t>POSSIBLE 2023:</w:t>
      </w:r>
      <w:r>
        <w:t xml:space="preserve"> Correcting Subseasonal Forecast Errors with an Explainable ANN to Understand Misrepresented Sources of Predictability of European Summer Temperatures — https://doi.org/10.1175/aies-d-22-0047.1</w:t>
      </w:r>
    </w:p>
    <w:p>
      <w:pPr/>
      <w:r>
        <w:rPr>
          <w:b/>
        </w:rPr>
        <w:t>Shared claim-specific concepts:</w:t>
      </w:r>
      <w:r>
        <w:t xml:space="preserve"> predicted, following, sources, conditions, reasons, need; EU scope visible. This is a provisional connection, not an outcome finding.</w:t>
      </w:r>
    </w:p>
    <w:p>
      <w:pPr>
        <w:pStyle w:val="SourceNote"/>
      </w:pPr>
      <w:r>
        <w:rPr>
          <w:b/>
        </w:rPr>
        <w:t>Available abstract (not full text):</w:t>
      </w:r>
      <w:r>
        <w:t xml:space="preserve">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sources, within, eastern, caused;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pStyle w:val="Heading2"/>
      </w:pPr>
      <w:r>
        <w:t>553.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2024:</w:t>
      </w:r>
      <w:r>
        <w:t xml:space="preserve"> Pathways toward sustainable aviation: Analyzing emissions from air operations in Europe to support policy initiatives — https://doi.org/10.1016/j.tra.2024.104121</w:t>
      </w:r>
    </w:p>
    <w:p>
      <w:pPr/>
      <w:r>
        <w:rPr>
          <w:b/>
        </w:rPr>
        <w:t>Shared claim-specific concepts:</w:t>
      </w:r>
      <w:r>
        <w:t xml:space="preserve"> analyzing, pathways, high, present, industry; EU scope visible. This is a provisional connection, not an outcome finding.</w:t>
      </w:r>
    </w:p>
    <w:p>
      <w:pPr>
        <w:pStyle w:val="SourceNote"/>
      </w:pPr>
      <w:r>
        <w:rPr>
          <w:b/>
        </w:rPr>
        <w:t>Available abstract (not full text):</w:t>
      </w:r>
      <w:r>
        <w:t xml:space="preserve">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Barriers to Electrification: Analyzing Critical Delays and Pathways Forward — https://doi.org/10.3390/wevj15090409</w:t>
      </w:r>
    </w:p>
    <w:p>
      <w:pPr/>
      <w:r>
        <w:rPr>
          <w:b/>
        </w:rPr>
        <w:t>Shared claim-specific concepts:</w:t>
      </w:r>
      <w:r>
        <w:t xml:space="preserve"> analyzing, pathways, high, electrification, rapid; EU scope visible. This is a provisional connection, not an outcome finding.</w:t>
      </w:r>
    </w:p>
    <w:p>
      <w:pPr>
        <w:pStyle w:val="SourceNote"/>
      </w:pPr>
      <w:r>
        <w:rPr>
          <w:b/>
        </w:rPr>
        <w:t>Available abstract (not full text):</w:t>
      </w:r>
      <w:r>
        <w:t xml:space="preserve"> This paper extensively explores the intricate nuances surrounding the delayed transition to new business models for electric vehicles. While there is commendable clarity regarding stakeholders, model possibilities, emission-reduction strategies, state aid initiatives, and citywide prohibitions, the central challenge lies in the gradual pace of this transition. Notably, the persistent high costs of electric vehicles, primarily attributed to exorbitant battery prices and the raw materials involved, represent a formidable hurdle to widespread adoption. In this article, a comprehensive examination of the multifaceted aspects contributing to the delays in the shift towards electrified transport is proposed. By meticulously scrutinizing the intricacies of this delay, the aim is to provide valuable insights that can contribute to accelerating the adoption of electric vehicles. The exploration of these challenges is essential for fostering a nuanced understanding of the impediments hindering the transition and, subsequently, for devising effective strategies to overcome them. The analysis presented herein not only identifies the hurdles but also seeks to offer potential solutions and strategies that can drive the transformative change needed in the realm of electric transportation. Understanding and mitigating the barriers impeding the transition is crucial for fostering a rapid and su</w:t>
      </w:r>
    </w:p>
    <w:p>
      <w:pPr/>
      <w:r>
        <w:rPr>
          <w:b/>
        </w:rPr>
        <w:t>POSSIBLE 2023:</w:t>
      </w:r>
      <w:r>
        <w:t xml:space="preserve"> Identification of microplastic pathways within a typical European urban wastewater system — https://doi.org/10.1002/appl.202200078</w:t>
      </w:r>
    </w:p>
    <w:p>
      <w:pPr/>
      <w:r>
        <w:rPr>
          <w:b/>
        </w:rPr>
        <w:t>Shared claim-specific concepts:</w:t>
      </w:r>
      <w:r>
        <w:t xml:space="preserve"> four, pathways, rapid; EU scope visible. This is a provisional connection, not an outcome finding.</w:t>
      </w:r>
    </w:p>
    <w:p>
      <w:pPr>
        <w:pStyle w:val="SourceNote"/>
      </w:pPr>
      <w:r>
        <w:rPr>
          <w:b/>
        </w:rPr>
        <w:t>Available abstract (not full text):</w:t>
      </w:r>
      <w:r>
        <w:t xml:space="preserve"> Abstract In recent years, thermoextraction/desorption‐gas chromatography/mass spectrometry (TED‐GC/MS) has been developed as a rapid detection method for the determination of microplastics (MP) mass contents in numerous environmentally relevant matrices and, in particular, for the measurement of polymers in water samples without time‐consuming sample preparation. The TED‐GC/MS method was applied to investigate a typical European municipal wastewater system for possible MP masses. Such investigations are important in view of the recent revision of the Urban Wastewater Treatment Directive. Four different representative sampling sites were selected: greywater (domestic wastewater without toilet), combined sewer, and influent and effluent of a wastewater treatment plant (WWTP). All samples were collected by fractional filtration. Filtration was carried out over mesh sizes of 500, 100, 50, and in some cases, 5 µm. Polyethylene (PE), polypropylene (PP), and polystyrene (PS) were detected in all samples, with the PE fraction dominating in all cases. Styrene‐butadiene rubber which serves as an indication of tire abrasion, was only found in the influent of the WWTP. The highest MP mass contents were found in the combined sewer, so MP can become a source of pollution during heavy rain events when the capacity limits of the effluent are reached, and the polluted effluent is released uncon</w:t>
      </w:r>
    </w:p>
    <w:p>
      <w:pPr/>
      <w:r>
        <w:rPr>
          <w:b/>
        </w:rPr>
        <w:t>POSSIBLE 2023:</w:t>
      </w:r>
      <w:r>
        <w:t xml:space="preserve"> Who cares about migraine? Pathways and hurdles in the European region - access to care III — https://doi.org/10.1186/s10194-023-01652-8</w:t>
      </w:r>
    </w:p>
    <w:p>
      <w:pPr/>
      <w:r>
        <w:rPr>
          <w:b/>
        </w:rPr>
        <w:t>Shared claim-specific concepts:</w:t>
      </w:r>
      <w:r>
        <w:t xml:space="preserve"> four, pathways, present, makers; EU scope visible. This is a provisional connection, not an outcome finding.</w:t>
      </w:r>
    </w:p>
    <w:p>
      <w:pPr>
        <w:pStyle w:val="SourceNote"/>
      </w:pPr>
      <w:r>
        <w:rPr>
          <w:b/>
        </w:rPr>
        <w:t>Available abstract (not full text):</w:t>
      </w:r>
      <w:r>
        <w:t xml:space="preserve"> BACKGROUND: Migraine is a highly prevalent primary headache disorder and a leading cause of disability. Difficulties in access to care during diagnostic and therapeutic journey contribute to the disease burden. Several target-specific drugs have reached the market in the past four years and have modified the treatment paradigm in migraine. The aim of this study is to provide an updated snapshot of the pathways and hurdles to care for migraine in different European countries by directly asking patients. METHODS: In 2021 the European Migraine and Headache Alliance proposed a 39-item questionnaire that was administered online to an adult migraine population in European countries. Questions were focused on socio-demographic and migraine data, access to diagnosis and treatment, disease-related burden and the main channel for disease information. RESULTS: A total of 3169 questionnaires were returned from 10 European countries. Responders were predominantly females, age range 25-59 years, with a migraine history longer than 10 years in 82% of cases, and with at least 8 headache days per month in 57% of cases. Respondents reported limitations in social, working and personal life during both the ictal and interictal phase. The activities mostly impaired during the attacks were driving (55%), cooking or eating (42%), taking care of family/childcare (40%) and getting medicines at the phar</w:t>
      </w:r>
    </w:p>
    <w:p>
      <w:pPr/>
      <w:r>
        <w:rPr>
          <w:b/>
        </w:rPr>
        <w:t>POSSIBLE 2022:</w:t>
      </w:r>
      <w:r>
        <w:t xml:space="preserve"> Analyzing the Macro-Economic and Employment Implications of Ambitious Mitigation Pathways and Carbon Pricing — https://doi.org/10.3389/fclim.2022.785136</w:t>
      </w:r>
    </w:p>
    <w:p>
      <w:pPr/>
      <w:r>
        <w:rPr>
          <w:b/>
        </w:rPr>
        <w:t>Shared claim-specific concepts:</w:t>
      </w:r>
      <w:r>
        <w:t xml:space="preserve"> analyzing, pathways, high, achieve, decarbonization; EU scope visible. This is a provisional connection, not an outcome finding.</w:t>
      </w:r>
    </w:p>
    <w:p>
      <w:pPr>
        <w:pStyle w:val="SourceNote"/>
      </w:pPr>
      <w:r>
        <w:rPr>
          <w:b/>
        </w:rPr>
        <w:t>Available abstract (not full text):</w:t>
      </w:r>
      <w:r>
        <w:t xml:space="preserve"> The recent EU Green Deal puts forward ambition climate targets aiming to make the EU the first climate neutral continent by mid-century while ensuring a just transition. This requires a large-scale transformation of the EU and global energy and economic systems induced by both regulatory and market-based policies, in particular carbon pricing. Macro-economic models currently used for the analysis of climate policy impacts need improvements to consistently capture the transition dynamics and challenges. The study presents the methodological enhancements realized in general equilibrium model GEM-E3-FIT (including enhanced energy system representation, low-carbon innovation, clean energy markets, technology progress, policy instruments) to improve the simulation of the impacts of ambitious climate policies. The model-based analysis shows that high carbon pricing has limited negative impacts on the EU GDP and consumption, while leading to an economy transformation toward a capital-intensive structure triggered by increased investment in low-carbon technologies and energy efficient equipment. Global decarbonization to achieve the well-below 2°C goal of the Paris Agreement will modestly impact total employment, but its effects are pronounced on specific sectors which are impacted either negatively (e.g., supply of fossil fuels, energy intensive industries) or positively by creating a</w:t>
      </w:r>
    </w:p>
    <w:p>
      <w:pPr>
        <w:pStyle w:val="Heading2"/>
      </w:pPr>
      <w:r>
        <w:t>554.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2024:</w:t>
      </w:r>
      <w:r>
        <w:t xml:space="preserve"> Changes in climate indicators of degradation of UNESCO cultural heritage sites in the European part of Russia — https://doi.org/10.21638/spbu07.2024.306</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pPr/>
      <w:r>
        <w:rPr>
          <w:b/>
        </w:rPr>
        <w:t>POSSIBLE 2024:</w:t>
      </w:r>
      <w:r>
        <w:t xml:space="preserve"> Predicting the effect of climate change and management on net carbon sequestration in the forest ecosystems of the European part of Russia with the complex of models — https://doi.org/10.1016/j.ecolmodel.2024.110835</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pPr/>
      <w:r>
        <w:rPr>
          <w:b/>
        </w:rPr>
        <w:t>POSSIBLE 2024:</w:t>
      </w:r>
      <w:r>
        <w:t xml:space="preserve"> The future of the Portuguese (SW Europe) most vulnerable coastal areas under climate change – Part II: Future extreme coastal flooding from downscaled bias corrected wave climate projections — https://doi.org/10.1016/j.oceaneng.2024.118448</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Episodic extreme coastal flooding is considered one of the most serious threats to the global coastlines, endangering infrastructure, ecosystems, and communities. The synchronized effects of extreme wave events, storm surges and astronomical tides are particularly worrying in the context of sea level rise (SLR), and a comprehensive understanding of their future dynamics remains challenging. In this study, an innovative approach for a vulnerability assessment of sandy low-lying coastal areas, based on dynamic ensemble projections is proposed. In the current Part II study, the combined effects of future projected SLR, tides, storm surges and wave action are investigated at five key-locations along the Portuguese coastline, considering projected digital terrain models, built upon the shoreline projections obtained in Part I. Future extreme total water levels are obtained through a probabilistic approach, and extreme wave events are defined considering high wave energy thresholds in a changing climate. Overall, extreme coastal flooding is projected across several urbanized sections along the Portuguese coastline, especially in areas without artificial protection infrastructures. Dune erosion is expected along the sandy stretches, reducing the natural protection against extreme coastal events up to 13.3%, and promoting widespread overtopping, leaving populations more exposed. Future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demonstrate;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Climate Change Impact on the Cultural Heritage Sites in the European Part of Russia over the Past 60 Years — https://doi.org/10.3390/cli11030050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Climate change is causing damage to infrastructure, ecosystems, and social systems, including cultural heritage sites. In the European part of Russia, there are 20 UNESCO-listed cultural heritage sites situated in different climatic conditions. This study assesses the impact of climate change on these sites by using ERA5 re-analysis data to calculate two frost damage indices and two salt weathering indices for the period 1960–2020. The findings indicate a rise in frost damage and salt weathering at cultural heritage sites in northern Europe, primarily due to changes in air temperature and water in the atmosphere, which are the main parameters responsible for the destruction of stone and brick structures. Given the observed and predicted trends in the main meteorological parameters, the detrimental destructive impact of climate change on cultural heritage sites will only increase. In view of the significant length of Russia from north to south and the difference in climatic conditions, measures for the adaptation and protection of cultural heritage sites must be adapted to local conditions and consider the material from which the object is made.</w:t>
      </w:r>
    </w:p>
    <w:p>
      <w:pPr/>
      <w:r>
        <w:rPr>
          <w:b/>
        </w:rPr>
        <w:t>POSSIBLE 2023:</w:t>
      </w:r>
      <w:r>
        <w:t xml:space="preserve"> A multi-disciplinary analysis of the exceptional flood event of July 2021 in central Europe – Part 2: Historical context and relation to climate change — https://doi.org/10.5194/nhess-23-1287-2023</w:t>
      </w:r>
    </w:p>
    <w:p>
      <w:pPr/>
      <w:r>
        <w:rPr>
          <w:b/>
        </w:rPr>
        <w:t>Shared claim-specific concepts:</w:t>
      </w:r>
      <w:r>
        <w:t xml:space="preserve"> part, climate, within; EU scope visible. This is a provisional connection, not an outcome finding.</w:t>
      </w:r>
    </w:p>
    <w:p>
      <w:pPr>
        <w:pStyle w:val="SourceNote"/>
      </w:pPr>
      <w:r>
        <w:rPr>
          <w:b/>
        </w:rPr>
        <w:t>Available abstract (not full text):</w:t>
      </w:r>
      <w:r>
        <w:t xml:space="preserve"> Abstract. Heavy precipitation over western Germany and neighboring countries in July 2021 led to widespread floods, with the Ahr and Erft river catchments being particularly affected. Following the event characterization and process analysis in Part 1, here we put the 2021 event in the historical context regarding precipitation and discharge records, and in terms of the temporal transformation of the valley morphology. Furthermore, we evaluated the role of ongoing and future climate change on the modification of rainfall totals and associated flood hazards as well as implications for flood management. The event was among the five heaviest precipitation events of the past 70 years in Germany. However, considering the large LAERTES-EU regional climate model (RCM) ensemble revealed a substantial underestimation of return values and periods based on extreme value statistics using only observations. An analysis of homogeneous hydrological data of the last 70 years demonstrated that the event discharges exceeded by far the statistical 100-year return values. Nevertheless, the flood peaks at the Ahr River were comparable to the reconstructed major historical events of 1804 and 1910, which were not included in the hazard assessment of flood risk so far. A comparison between the 2021 and past events showed differences in terms of the observed hydro-morphodynamic processes which enhanced</w:t>
      </w:r>
    </w:p>
    <w:p>
      <w:pPr/>
      <w:r>
        <w:rPr>
          <w:b/>
        </w:rPr>
        <w:t>POSSIBLE 2023:</w:t>
      </w:r>
      <w:r>
        <w:t xml:space="preserve"> Climate Change in the Mediterranean Basin (Part II): A Review of Challenges and Uncertainties in Climate Change Modeling and Impact Analyses — https://doi.org/10.1007/s11269-023-03444-w</w:t>
      </w:r>
    </w:p>
    <w:p>
      <w:pPr/>
      <w:r>
        <w:rPr>
          <w:b/>
        </w:rPr>
        <w:t>Shared claim-specific concepts:</w:t>
      </w:r>
      <w:r>
        <w:t xml:space="preserve"> part, climate; EU scope not established. This is a provisional connection, not an outcome finding.</w:t>
      </w:r>
    </w:p>
    <w:p>
      <w:pPr>
        <w:pStyle w:val="SourceNote"/>
      </w:pPr>
      <w:r>
        <w:rPr>
          <w:b/>
        </w:rPr>
        <w:t>Available abstract (not full text):</w:t>
      </w:r>
      <w:r>
        <w:t xml:space="preserve"> The Mediterranean basin is particularly prone to climate change and vulnerable to its impacts. One of the most relevant consequences of climate change, especially for the southern Mediterranean regions, is certainly water scarcity as result of a reduction of surface runoff and groundwater levels. Despite the progress achieved in recent years in the field of climate change and its impact on water resources, results and outcomes should be treated with due caution since any future climate projection and derived implications are inevitably affected by a certain degree of uncertainty arising from each different stage of the entire modeling chain. This work offers a comprehensive overview of recent works on climate change in the Mediterranean basin, mainly focusing on the last ten years of research. Past and future trends on different components of the hydrological balance are discussed in a companion paper (Noto et al. 2022), while the present paper focuses on the problem of water availability and water scarcity. In addition, the work aims to discuss the most relevant sources of uncertainty related to climate change with the aim to gain awareness of climate change impact studies interpretation and reliability.</w:t>
      </w:r>
    </w:p>
    <w:p>
      <w:pPr/>
      <w:r>
        <w:rPr>
          <w:b/>
        </w:rPr>
        <w:t>POSSIBLE 2022:</w:t>
      </w:r>
      <w:r>
        <w:t xml:space="preserve"> Demographic Structure of Cypripedium calceolus L. Populations in the European Part of Russia under Climate Change — https://doi.org/10.1134/s1995425522040047</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The paper presents recent data on the demographic structure and population size of C. calceolus in European Russia. The assessment of the species distribution and population size is based on the global classification of terrestrial ecoregions. The long-term dynamics of the number and age structure (150 populations) of C. calceolus were revealed for the 20-year research period, 1997–2020. It has been reliably determined that the number of reproductive plants is positively related to temperature indicators, while the number of pre-reproductive individuals depends on humidity factors and negatively on temperature. Three types of basic age spectra were identified: (1) centered 3:10:47:40 (juvenile (j): immature (im): virginal (v): reproductive (g)), the most common in the European part of the Russian Federation (RF); (2) bimodal 15:26:33:26 (j:im:v:g), mainly found in the western regions; (3) right-hand 0:3:13:82:2 (j:im:v:g:s), which steadily appears in the continental climate of eastern regions of European Russia. The current baseline spectra of C. calceolus populations differ from the baseline spectrum of the species given in the 20th century. The base spectra significantly depends on ecological-phytocoenotic plant community structure and abiotic features of habitats, it shown using the ecological indicator values.</w:t>
      </w:r>
    </w:p>
    <w:p>
      <w:pPr>
        <w:pStyle w:val="Heading2"/>
      </w:pPr>
      <w:r>
        <w:t>555.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suitability, species, important, importance, addresses;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Understanding and addressing shortfalls in European wild bee data — https://doi.org/10.1016/j.biocon.2024.110455</w:t>
      </w:r>
    </w:p>
    <w:p>
      <w:pPr/>
      <w:r>
        <w:rPr>
          <w:b/>
        </w:rPr>
        <w:t>Shared claim-specific concepts:</w:t>
      </w:r>
      <w:r>
        <w:t xml:space="preserve"> species, despite, major, important, addresses;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conversely, all, species, importance;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Fertility Control for Wildlife: A European Perspective — https://doi.org/10.3390/ani13030428</w:t>
      </w:r>
    </w:p>
    <w:p>
      <w:pPr/>
      <w:r>
        <w:rPr>
          <w:b/>
        </w:rPr>
        <w:t>Shared claim-specific concepts:</w:t>
      </w:r>
      <w:r>
        <w:t xml:space="preserve"> increasing, environmental, species; EU scope visible. This is a provisional connection, not an outcome finding.</w:t>
      </w:r>
    </w:p>
    <w:p>
      <w:pPr>
        <w:pStyle w:val="SourceNote"/>
      </w:pPr>
      <w:r>
        <w:rPr>
          <w:b/>
        </w:rPr>
        <w:t>Available abstract (not full text):</w:t>
      </w:r>
      <w:r>
        <w:t xml:space="preserve"> Trends of human population growth and landscape development in Europe show that wildlife impacts are escalating. Lethal methods, traditionally employed to mitigate these impacts, are often ineffective, environmentally hazardous and face increasing public opposition. Fertility control is advocated as a humane tool to mitigate these impacts. This review describes mammalian and avian wildlife contraceptives' effect on reproduction of individuals and populations, delivery methods, potential costs and feasibility of using fertility control in European contexts. These contexts include small, isolated wildlife populations and situations in which lethal control is either illegal or socially unacceptable, such as urban settings, national parks and areas where rewilding occurs. The review highlights knowledge gaps, such as impact of fertility control on recruitment, social and spatial behaviour and on target and non-target species, provides a decision framework to assist decisions about the potential use of wildlife fertility control, and suggests eight reasons for Europe to invest in this area. Although developing and registering contraceptives in Europe will have substantial costs, these are relatively small when compared to wildlife's economic and environmental impact. Developing safe and effective contraceptives will be essential if European countries want to meet public demand for m</w:t>
      </w:r>
    </w:p>
    <w:p>
      <w:pPr/>
      <w:r>
        <w:rPr>
          <w:b/>
        </w:rPr>
        <w:t>POSSIBLE 2023:</w:t>
      </w:r>
      <w:r>
        <w:t xml:space="preserve"> Conservation easements – project selection criteria for quarries in Europe — https://doi.org/10.3389/fcosc.2023.1304712</w:t>
      </w:r>
    </w:p>
    <w:p>
      <w:pPr/>
      <w:r>
        <w:rPr>
          <w:b/>
        </w:rPr>
        <w:t>Shared claim-specific concepts:</w:t>
      </w:r>
      <w:r>
        <w:t xml:space="preserve"> conversely, environmental, all, species, ecological; EU scope visible. This is a provisional connection, not an outcome finding.</w:t>
      </w:r>
    </w:p>
    <w:p>
      <w:pPr>
        <w:pStyle w:val="SourceNote"/>
      </w:pPr>
      <w:r>
        <w:rPr>
          <w:b/>
        </w:rPr>
        <w:t>Available abstract (not full text):</w:t>
      </w:r>
      <w:r>
        <w:t xml:space="preserve"> Private sector support is essential to achieve the EU Green Deal's biodiversity goals, given that a significant portion of Natura 2000 and potential restoration sites are privately owned (European Commission, kein Datum).The extractive industry is a prime example of how private business impacts biodiversity policy implementation.Historically, European land has often been altered or degraded by agriculture, forestry, and other land uses. While resource extraction can lead to further destruction, well-managed former quarries and reclamation sites can provide vital habitats for endangered species, including those adjacent to Natura 2000 sites. This presents an opportunity to rehabilitate habitats that have suffered significant loss (European Commission, 2019).New, enhanced reporting requirements will intensify public scrutiny of private firms' biodiversity impact, demanding inventive and proactive approaches to harmonise resource extraction with nature preservation. Conversely, voluntary efforts to maximise long-term biodiversity value in quarries could spawn new business models by leveraging current and future fiscal incentives linked to nature restoration and promoting biodiversity-friendly land use.It's relevant to explore how the extractive industry can proactively surpass legal norms for net biodiversity gains. A dual case-both communicative and financial-is essential to pers</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baltic, all, central, position;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556.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2024:</w:t>
      </w:r>
      <w:r>
        <w:t xml:space="preserve"> Climate, Energy and Security: The New Social Contract of Europe and Spain — https://doi.org/10.52783/pst.1914</w:t>
      </w:r>
    </w:p>
    <w:p>
      <w:pPr/>
      <w:r>
        <w:rPr>
          <w:b/>
        </w:rPr>
        <w:t>Shared claim-specific concepts:</w:t>
      </w:r>
      <w:r>
        <w:t xml:space="preserve"> article, five, energy, presented; EU scope visible. This is a provisional connection, not an outcome finding.</w:t>
      </w:r>
    </w:p>
    <w:p>
      <w:pPr>
        <w:pStyle w:val="SourceNote"/>
      </w:pPr>
      <w:r>
        <w:rPr>
          <w:b/>
        </w:rPr>
        <w:t>Available abstract (not full text):</w:t>
      </w:r>
      <w:r>
        <w:t xml:space="preserve">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How have the European Union countries approached the Europe 2020 targets? — https://doi.org/10.1080/27684520.2024.2378171</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pPr/>
      <w:r>
        <w:rPr>
          <w:b/>
        </w:rPr>
        <w:t>POSSIBLE 2023:</w:t>
      </w:r>
      <w:r>
        <w:t xml:space="preserve"> Energy Economic Development in Europe — https://doi.org/10.3390/books978-3-0365-7112-6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Transition and the Economy: A Review Article — https://doi.org/10.3390/en16072965</w:t>
      </w:r>
    </w:p>
    <w:p>
      <w:pPr/>
      <w:r>
        <w:rPr>
          <w:b/>
        </w:rPr>
        <w:t>Shared claim-specific concepts:</w:t>
      </w:r>
      <w:r>
        <w:t xml:space="preserve"> article, energy, discussion, direction; EU scope not established. This is a provisional connection, not an outcome finding.</w:t>
      </w:r>
    </w:p>
    <w:p>
      <w:pPr>
        <w:pStyle w:val="SourceNote"/>
      </w:pPr>
      <w:r>
        <w:rPr>
          <w:b/>
        </w:rPr>
        <w:t>Available abstract (not full text):</w:t>
      </w:r>
      <w:r>
        <w:t xml:space="preserve"> The global energy sector is in a period of transition, during which time it is expected that renewable and low-carbon energy sources, such as wind and solar, will replace traditional fossil fuels, including oil, gas, and coal. The energy transition is happening not only to limit the environmental impact of fossil fuel production and consumption but also to ensure energy security, reliability, access, affordability, and sustainability. The importance of the energy transition has been amplified by recent events, notably the Russian-Ukraine conflict. Economic, financial, and trade sanctions against Russia, and in particular its oil and gas industry, have forced countries to find new suppliers in the short term, but also to investigate new and more sustainable sources to guarantee long-term energy security. Given the importance of energy, it is perhaps not unexpected that there is a considerable body of recent academic literature, particularly over the last 4–5 years, studying what industries, consumers, governments, and markets can do to help bring about a faster energy transition. In this paper, we provide a review of the literature that pertains to the economic aspects of the energy transition. While our initial search of the literature is targeted at uncovering all relevant articles on the subject, we focus most of our discussion on the most influential articles in prominent jo</w:t>
      </w:r>
    </w:p>
    <w:p>
      <w:pPr/>
      <w:r>
        <w:rPr>
          <w:b/>
        </w:rPr>
        <w:t>POSSIBLE 2023:</w:t>
      </w:r>
      <w:r>
        <w:t xml:space="preserve"> A methodology to characterize energy consumption in small and medium-sized enterprises at national level in European countries — https://doi.org/10.1007/s10098-023-02606-z</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Abstract The 25 million of European small and medium-sized enterprises (SMEs) represent 99% of businesses and account for the two thirds of total employment and a half of Gross Domestic Product. Thus, SMEs are considered as the backbone of European’ economy. The crucial importance of energy efficiency and its potential in SMEs is worldwide recognized. However, the energy use and consumption information of SMEs are very limited, and the disaggregated data between SMEs and large enterprises are often not available at national or European level. The aim of this work is to present a methodology for the energy consumption characterization of European SMEs at national level. The proposed methodology, based on the combination of official national energy statistics and energy consumption data according to the European Energy Efficiency Directive Article 8, has been developed and applied to Italy and Austria. Preliminary results show significant differences in the relative weight of SMEs’ energy consumption between the two countries mainly due to their specific productive structures. The application of this methodology to the available data on further five European countries provides useful insights on the impact of different national approaches to comply with Art.8. This methodology shows that harmonizing the different strategies to monitor energy audits obligation would significantly </w:t>
      </w:r>
    </w:p>
    <w:p>
      <w:pPr/>
      <w:r>
        <w:rPr>
          <w:b/>
        </w:rPr>
        <w:t>POSSIBLE 2023:</w:t>
      </w:r>
      <w:r>
        <w:t xml:space="preserve"> Exploring pathways to 100% renewable energy in European industry — https://doi.org/10.1016/j.energy.2023.126687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Energy and the Economy in Europe — https://doi.org/10.1007/978-3-030-86884-0_36</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Europe’s energy landscape is characterized by a great heterogeneity due to differences in terms of population, economy, energy resources (availability of different energy sources) and differing policies in favor or against specific energy sources. Over the decades, the European energy mix has undergone important transformations. The EU set an energy policy framework based on three pillars (security of supply, competitiveness and sustainability) with the goal to address three different priorities: competitiveness (affordable prices), security (of energy supply) and sustainability (clean energy). These three pillars appear to pursue contradictory goals, especially in the short term, but they are seen as converging in the longer term. This chapter aims to analyze how these different objectives have been key drivers of the European energy policy and economics. To illustrate this, the authors also present five case studies: the United Kingdom, Italy, France, Germany and Poland. Lastly, the chapter presents the “European Green Deal”, whose ultimate goal is to reach carbon-neutrality by 2050. The chapter analyzes how a climate-neutrality goal requires a substantial transformation of the EU economy, which comes with some internal and external frictions.</w:t>
      </w:r>
    </w:p>
    <w:p>
      <w:pPr>
        <w:pStyle w:val="Heading2"/>
      </w:pPr>
      <w:r>
        <w:t>557.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r>
        <w:rPr>
          <w:b/>
        </w:rPr>
        <w:t>POSSIBLE 2023:</w:t>
      </w:r>
      <w:r>
        <w:t xml:space="preserve"> An empirical study on the effect of outdoor illumination and exercise intervention on Children’s vision — https://doi.org/10.3389/fpubh.2023.1270826</w:t>
      </w:r>
    </w:p>
    <w:p>
      <w:pPr/>
      <w:r>
        <w:rPr>
          <w:b/>
        </w:rPr>
        <w:t>Shared claim-specific concepts:</w:t>
      </w:r>
      <w:r>
        <w:t xml:space="preserve"> exercise, different, reducing; EU scope not established. This is a provisional connection, not an outcome finding.</w:t>
      </w:r>
    </w:p>
    <w:p>
      <w:pPr>
        <w:pStyle w:val="SourceNote"/>
      </w:pPr>
      <w:r>
        <w:rPr>
          <w:b/>
        </w:rPr>
        <w:t>Available abstract (not full text):</w:t>
      </w:r>
      <w:r>
        <w:t xml:space="preserve">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pPr/>
      <w:r>
        <w:rPr>
          <w:b/>
        </w:rPr>
        <w:t>POSSIBLE 2022:</w:t>
      </w:r>
      <w:r>
        <w:t xml:space="preserve"> A Review on Computer Vision Technology for Physical Exercise Monitoring — https://doi.org/10.3390/a15120444</w:t>
      </w:r>
    </w:p>
    <w:p>
      <w:pPr/>
      <w:r>
        <w:rPr>
          <w:b/>
        </w:rPr>
        <w:t>Shared claim-specific concepts:</w:t>
      </w:r>
      <w:r>
        <w:t xml:space="preserve"> exercise, technology, over, active; EU scope not established. This is a provisional connection, not an outcome finding.</w:t>
      </w:r>
    </w:p>
    <w:p>
      <w:pPr>
        <w:pStyle w:val="SourceNote"/>
      </w:pPr>
      <w:r>
        <w:rPr>
          <w:b/>
        </w:rPr>
        <w:t>Available abstract (not full text):</w:t>
      </w:r>
      <w:r>
        <w:t xml:space="preserve"> Physical activity is movement of the body or part of the body to make muscles more active and to lose the energy from the body. Regular physical activity in the daily routine is very important to maintain good physical and mental health. It can be performed at home, a rehabilitation center, gym, etc., with a regular monitoring system. How long and which physical activity is essential for specific people is very important to know because it depends on age, sex, time, people that have specific diseases, etc. Therefore, it is essential to monitor physical activity either at a physical activity center or even at home. Physiological parameter monitoring using contact sensor technology has been practiced for a long time, however, it has a lot of limitations. In the last decades, a lot of inexpensive and accurate non-contact sensors became available on the market that can be used for vital sign monitoring. In this study, the existing research studies related to the non-contact and video-based technologies for various physiological parameters during exercise are reviewed. It covers mainly Heart Rate, Respiratory Rate, Heart Rate Variability, Blood Pressure, etc., using various technologies including PPG, Video analysis using deep learning, etc. This article covers all the technologies using non-contact methods to detect any of the physiological parameters and discusses how technology h</w:t>
      </w:r>
    </w:p>
    <w:p>
      <w:pPr/>
      <w:r>
        <w:rPr>
          <w:b/>
        </w:rPr>
        <w:t>POSSIBLE 2022:</w:t>
      </w:r>
      <w:r>
        <w:t xml:space="preserve"> LONG-TERM VISION FOR RURAL DEVELOPMENT AND CRITICAL ENABLERS FOR ACHIEVING IT - CASE OF MAZOWIECKIE REGION (POLAND) — https://doi.org/10.15544/rd.2021.060</w:t>
      </w:r>
    </w:p>
    <w:p>
      <w:pPr/>
      <w:r>
        <w:rPr>
          <w:b/>
        </w:rPr>
        <w:t>Shared claim-specific concepts:</w:t>
      </w:r>
      <w:r>
        <w:t xml:space="preserve"> visioning, exercise, local, green; EU scope visible. This is a provisional connection, not an outcome finding.</w:t>
      </w:r>
    </w:p>
    <w:p>
      <w:pPr>
        <w:pStyle w:val="SourceNote"/>
      </w:pPr>
      <w:r>
        <w:rPr>
          <w:b/>
        </w:rPr>
        <w:t>Available abstract (not full text):</w:t>
      </w:r>
      <w:r>
        <w:t xml:space="preserve"> Rural areas face significant challenges related to climate and demographic changes as well as green transformation of the economy. First step for such a transition is a long-term vision. Within the SHERPA projects multi-actor platforms were created and they discussed the vision for 2040 for their territories. This participatory process included representatives of science, society, and policy. The participants discussed development challenges, vision and enabling factors for achieving the desirable vision. The aim of the paper is to compare the results of the visioning exercise conducted by the Polish platform located in Mazowieckie region with the results of the other ones and the vision prepared by the European Commission. The results show that the characteristics of a desirable future vision are shared throughout the EU and call for vibrant rural communities and rural attractiveness. Improving availability and accessibility of public and private services as well as digitalization and diversification of rural economy accompanied by a sustainable use of natural resources are key elements of vibrance and attractiveness of rural areas. To achieve this vision not only financial support and more efficient public policies are needed but also greater empowerment of local communities is essential.</w:t>
      </w:r>
    </w:p>
    <w:p>
      <w:pPr/>
      <w:r>
        <w:rPr>
          <w:b/>
        </w:rPr>
        <w:t>POSSIBLE 2022:</w:t>
      </w:r>
      <w:r>
        <w:t xml:space="preserve"> A Manifesto for exercise science – a vision for improving the health of the public and planet — https://doi.org/10.1080/02640414.2022.2049083</w:t>
      </w:r>
    </w:p>
    <w:p>
      <w:pPr/>
      <w:r>
        <w:rPr>
          <w:b/>
        </w:rPr>
        <w:t>Shared claim-specific concepts:</w:t>
      </w:r>
      <w:r>
        <w:t xml:space="preserve"> exercise, three, need; EU scope not established. This is a provisional connection, not an outcome finding.</w:t>
      </w:r>
    </w:p>
    <w:p>
      <w:pPr>
        <w:pStyle w:val="SourceNote"/>
      </w:pPr>
      <w:r>
        <w:rPr>
          <w:b/>
        </w:rPr>
        <w:t>Available abstract (not full text):</w:t>
      </w:r>
      <w:r>
        <w:t xml:space="preserve"> In this manifesto, we make the case that Exercise Science can and must do more to improve the health of the public and the planet. Post pandemic, our vision for Exercise Science is one of a maturing scientific discipline reaching outwards from a base of strong empirical evidence to have a profound and sustained positive global impact on health. In each of the three main areas of the discipline - research, teaching, and professional practice - a new and distinctive approach is needed. We propose 12 points of action, in no particular order, for a). quality, rigour, and professional standing, and b). reach, relevance, and public engagement and make numerous suggestions for action and change. We encourage the teachers, researchers and practitioners of Exercise Science to consider and act on these recommendations. We hope that this manifesto can help create a shared sense of purpose amongst the global Exercise Science community and further the principles of equality, diversity and inclusion. To act on these principles, we need to cultivate a discipline that encourages more women, people who experience racism and other forms of discrimination, and people with a disability to become involved in the discipline.</w:t>
      </w:r>
    </w:p>
    <w:p>
      <w:pPr>
        <w:pStyle w:val="Heading2"/>
      </w:pPr>
      <w:r>
        <w:t>558.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2024:</w:t>
      </w:r>
      <w:r>
        <w:t xml:space="preserve"> Sex Disparities in Ischemic Heart Disease Mortality in Europe — https://doi.org/10.1016/j.jacadv.2024.101252</w:t>
      </w:r>
    </w:p>
    <w:p>
      <w:pPr/>
      <w:r>
        <w:rPr>
          <w:b/>
        </w:rPr>
        <w:t>Shared claim-specific concepts:</w:t>
      </w:r>
      <w:r>
        <w:t xml:space="preserve"> average, mortality, countries, compared, significant; EU scope visible. This is a provisional connection, not an outcome finding.</w:t>
      </w:r>
    </w:p>
    <w:p>
      <w:pPr>
        <w:pStyle w:val="SourceNote"/>
      </w:pPr>
      <w:r>
        <w:rPr>
          <w:b/>
        </w:rPr>
        <w:t>Available abstract (not full text):</w:t>
      </w:r>
      <w:r>
        <w:t xml:space="preserve">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pPr/>
      <w:r>
        <w:rPr>
          <w:b/>
        </w:rPr>
        <w:t>POSSIBLE 2024:</w:t>
      </w:r>
      <w:r>
        <w:t xml:space="preserve"> Exploring the paradoxical nature of cold temperature mortality in Europe — https://doi.org/10.1038/s41598-024-53675-z</w:t>
      </w:r>
    </w:p>
    <w:p>
      <w:pPr/>
      <w:r>
        <w:rPr>
          <w:b/>
        </w:rPr>
        <w:t>Shared claim-specific concepts:</w:t>
      </w:r>
      <w:r>
        <w:t xml:space="preserve"> average, mortality, high, countries; EU scope visible. This is a provisional connection, not an outcome finding.</w:t>
      </w:r>
    </w:p>
    <w:p>
      <w:pPr>
        <w:pStyle w:val="SourceNote"/>
      </w:pPr>
      <w:r>
        <w:rPr>
          <w:b/>
        </w:rPr>
        <w:t>Available abstract (not full text):</w:t>
      </w:r>
      <w:r>
        <w:t xml:space="preserve"> Abstract While low winter temperatures are associated with increased mortality, this phenomenon has been suggested to be most severe in regions with seemingly mild winters. The study aimed to establish a temperature-based formula that could elucidate the previously ambiguous regional differences in vulnerability to low temperature. European weekly mortality data (2000–2019) were matched with meteorological data to determine for each region vulnerability to temperature decrease and the optimal temperature with lowest mortality. Regression models were developed to generalize and explain these findings considering regional temperature characteristics. Optimal temperature could be predicted based on local average summer temperature (R2 = 85.6%). Regional vulnerability to temperature decrease could be explained by combination of winter and summer temperatures (R2 = 86.1%). Regions with warm winters and cold summers showed the highest vulnerability to decrease of temperature during winter. Contrary to theories about economic disparities Eastern Europe exhibited resistance comparable to Scandinavia. The southern edges of Europe demonstrated serious low temperature vulnerability to decreased temperatures, even if temperature was relatively high around 20 °C. This suggests that the observed connection primarily reflects the modulation of the length of respiratory virus infection seasons</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average, mortality, high, all, three, countries;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Mortality trends in idiopathic pulmonary fibrosis in Europe between 2013 and 2018 — https://doi.org/10.1183/13993003.02080-2023</w:t>
      </w:r>
    </w:p>
    <w:p>
      <w:pPr/>
      <w:r>
        <w:rPr>
          <w:b/>
        </w:rPr>
        <w:t>Shared claim-specific concepts:</w:t>
      </w:r>
      <w:r>
        <w:t xml:space="preserve"> average, mortality, countries, suggest; EU scope visible. This is a provisional connection, not an outcome finding.</w:t>
      </w:r>
    </w:p>
    <w:p>
      <w:pPr>
        <w:pStyle w:val="SourceNote"/>
      </w:pPr>
      <w:r>
        <w:rPr>
          <w:b/>
        </w:rPr>
        <w:t>Available abstract (not full text):</w:t>
      </w:r>
      <w:r>
        <w:t xml:space="preserve"> BACKGROUND: Previous research has suggested that the incidence of idiopathic pulmonary fibrosis (IPF) is increasing in the UK and elsewhere. The aim of this study is to provide contemporary estimates of IPF mortality rates across 24 European Union (EU) countries from 2013 to 2018, using death certificate data from the European Statistics Institution (EUROSTAT) database. METHODS: We extracted country data for IPF (International Classification of Diseases, 10th Revision: code J84.1) mortality from the EUROSTAT dataset. We calculated country-, age- and sex-specific death registration rates between 2013 and 2018. We used direct standardisation to compare rates between countries. We calculated annual trends in mortality rate ratios using a segmented regression model. RESULTS: The overall standardised mortality rate in 24 EU countries during this period was 3.90 (95% CI 3.80-3.90) per 100 000 person-years, with the rate rising from 3.70 in 2013 to 4.00 in 2018 (average annual percent change 1.74%, 95% CI 0.91-2.59%). We observed substantial inter-country differences, with the highest rates detected in Ireland, the UK and Finland, the lowest rate in Bulgaria, and middle rates in Germany, Greece, Italy, the Netherlands, Portugal and Slovenia. CONCLUSIONS: The IPF mortality rate is increasing across Europe. There are currently more than 17 000 deaths recorded from IPF each year in Europ</w:t>
      </w:r>
    </w:p>
    <w:p>
      <w:pPr/>
      <w:r>
        <w:rPr>
          <w:b/>
        </w:rPr>
        <w:t>POSSIBLE 2024:</w:t>
      </w:r>
      <w:r>
        <w:t xml:space="preserve"> Care interruptions and mortality among adults in Europe and North America — https://doi.org/10.1097/qad.0000000000003924</w:t>
      </w:r>
    </w:p>
    <w:p>
      <w:pPr/>
      <w:r>
        <w:rPr>
          <w:b/>
        </w:rPr>
        <w:t>Shared claim-specific concepts:</w:t>
      </w:r>
      <w:r>
        <w:t xml:space="preserve"> mortality, compared; EU scope visible. This is a provisional connection, not an outcome finding.</w:t>
      </w:r>
    </w:p>
    <w:p>
      <w:pPr>
        <w:pStyle w:val="SourceNote"/>
      </w:pPr>
      <w:r>
        <w:rPr>
          <w:b/>
        </w:rPr>
        <w:t>Available abstract (not full text):</w:t>
      </w:r>
      <w:r>
        <w:t xml:space="preserve"> OBJECTIVE: Interruptions in care of people with HIV (PWH) on antiretroviral therapy (ART) are associated with adverse outcomes, but most studies have relied on composite outcomes. We investigated whether mortality risk following care interruptions differed from mortality risk after first starting ART. DESIGN: Collaboration of 18 European and North American HIV observational cohort studies of adults with HIV starting ART between 2004 and 2019. METHODS: Care interruptions were defined as gaps in contact of ≥365 days, with a subsequent return to care (distinct from loss to follow-up), or ≥270 days and ≥545 days in sensitivity analyses. Follow-up time was allocated to no/preinterruption or postinterruption follow-up groups. We used Cox regression to compare hazards of mortality between care interruption groups, adjusting for time-updated demographic and clinical characteristics and biomarkers upon ART initiation or re-initiation of care. RESULTS: Of 89 197 PWH, 83.4% were male and median age at ART start was 39 years [interquartile range (IQR): 31-48)]. 8654 PWH (9.7%) had ≥1 care interruption; 10 913 episodes of follow-up following a care interruption were included. There were 6104 deaths in 536 334 person-years, a crude mortality rate of 11.4 [95% confidence interval (CI): 11.1-11.7] per 1000 person-years. The adjusted mortality hazard ratio (HR) for the postinterruption group wa</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mortality, almost, all, three,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Solar Alpha Particle Radiation Increases Human Mortality – Examples from the Neoplasms Mortality in the Europe and Mediterranean — https://doi.org/10.34257/gjsfravol24is4pg21</w:t>
      </w:r>
    </w:p>
    <w:p>
      <w:pPr/>
      <w:r>
        <w:rPr>
          <w:b/>
        </w:rPr>
        <w:t>Shared claim-specific concepts:</w:t>
      </w:r>
      <w:r>
        <w:t xml:space="preserve"> mortality, high, increase; EU scope visible. This is a provisional connection, not an outcome finding.</w:t>
      </w:r>
    </w:p>
    <w:p>
      <w:pPr>
        <w:pStyle w:val="SourceNote"/>
      </w:pPr>
      <w:r>
        <w:rPr>
          <w:b/>
        </w:rPr>
        <w:t>Available abstract (not full text):</w:t>
      </w:r>
      <w:r>
        <w:t xml:space="preserve"> A dangerous phenomenon for humanity is described. In the joint analysis of data from satellites in orbit around the Earth and from the health statistics source EUROSTAT, it became clear that, by some mechanism, flows of positively charged particles with high energy entering the Earth's orbit increase mortality on the planet's surface. The increase in mortality is in a band of maximum risk in the Northern Hemisphere, parallel to the Equator and bounded by the parallels of 30° and 50° north latitude. Examples are given for the European Union mortality from neoplasms, confirming the described phenomenon. A hypothetical mechanism based on observational evidence has been proposed, according to which this dangerous phenomenon is due to solar alpha particles of high energy sufficient to overcome the atmosphere's resistance and reach the Earth's surface in a limited area of maximum death impact.</w:t>
      </w:r>
    </w:p>
    <w:p>
      <w:pPr>
        <w:pStyle w:val="Heading2"/>
      </w:pPr>
      <w:r>
        <w:t>559.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aim, promising, current;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identify, promising, pathways;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Review on the contribution of farming practices and technologies towards climate-smart agricultural outcomes in a European context — https://doi.org/10.1016/j.atech.2024.100413</w:t>
      </w:r>
    </w:p>
    <w:p>
      <w:pPr/>
      <w:r>
        <w:rPr>
          <w:b/>
        </w:rPr>
        <w:t>Shared claim-specific concepts:</w:t>
      </w:r>
      <w:r>
        <w:t xml:space="preserve"> aim, promising, well; EU scope visible. This is a provisional connection, not an outcome finding.</w:t>
      </w:r>
    </w:p>
    <w:p>
      <w:pPr>
        <w:pStyle w:val="SourceNote"/>
      </w:pPr>
      <w:r>
        <w:rPr>
          <w:b/>
        </w:rPr>
        <w:t>Available abstract (not full text):</w:t>
      </w:r>
      <w:r>
        <w:t xml:space="preserve"> The aim of this review was to provide an overview of existing farming practices and technologies in Europe by assessing their contribution to climate-smart agricultural (CSA) outcomes. Following the PRISMA protocol, 110 final selected studies were scrutinized. Altogether 74 different practices and technologies were identified. Using an inductive approach, the identified practices and technologies were categorized, and their potential contribution towards contextualized CSA outcomes—productivity, resilience, GHG mitigation, biodiversity improvement, animal welfare support, water and energy use efficiency—was assessed. Among CSA farming practices, this review highlighted legume-based cover crops, crop rotation, intercropping, and crop diversification as having promising potential to achieve CSA outcomes. Among CSA technologies, precision fertilization, crop protection, and irrigation showed promising potential. Moreover, pasture grazing, legume-based feed additives, improved forage production and holistic husbandry management with precision technologies were identified as promising contributors to CSA outcomes. The review emphasizes that the utilization of smart farming technologies and practices in crop and livestock production systems could positively contribute to achieving one or more outcomes. Overall, the GHG mitigation and farm productivity improvement outcomes were relati</w:t>
      </w:r>
    </w:p>
    <w:p>
      <w:pPr/>
      <w:r>
        <w:rPr>
          <w:b/>
        </w:rPr>
        <w:t>POSSIBLE 2023:</w:t>
      </w:r>
      <w:r>
        <w:t xml:space="preserve"> Use of existing gas infrastructure in European hydrogen economy — https://doi.org/10.1016/j.ijhydene.2023.04.283</w:t>
      </w:r>
    </w:p>
    <w:p>
      <w:pPr/>
      <w:r>
        <w:rPr>
          <w:b/>
        </w:rPr>
        <w:t>Shared claim-specific concepts:</w:t>
      </w:r>
      <w:r>
        <w:t xml:space="preserve"> aim, identify, promising, finland; EU scope visible. This is a provisional connection, not an outcome finding.</w:t>
      </w:r>
    </w:p>
    <w:p>
      <w:pPr>
        <w:pStyle w:val="SourceNote"/>
      </w:pPr>
      <w:r>
        <w:rPr>
          <w:b/>
        </w:rPr>
        <w:t>Available abstract (not full text):</w:t>
      </w:r>
      <w:r>
        <w:t xml:space="preserve"> The rapidly increasing production volume of clean hydrogen creates challenges for transport infrastructure. This study improves understanding of hydrogen transport options in Europe and provides more detailed analysis on the prospects for hydrogen transport in Finland. Previous studies and ongoing pipeline projects were reviewed to identify potential and barriers to hydrogen transport. A fatigue life assessment tool was built because material challenges have been one of the main concerns of hydrogen transportation. Many European countries aim at utilizing existing gas infrastructure for hydrogen. Conducted studies and pilot facilities have provided promising results. Hydrogen reduces the fatigue life of the pipeline, but existing pipelines can be used for hydrogen if pressure variation is maintained at a reasonable level and the maximum operation pressure is limited. Moreover, the use of existing pipelines can reduce hydrogen transport costs, but the suitability of every pipeline for hydrogen must be analyzed, and several issues such as leakage, leakage detection, effects of hydrogen on pipeline assets and end users, corrosion, maintenance, and metering of gas flow must be considered. The development of hydrogen transport will vary within countries depending on the structure of the existing gas infrastructure, and on the future hydrogen use profile.</w:t>
      </w:r>
    </w:p>
    <w:p>
      <w:pPr/>
      <w:r>
        <w:rPr>
          <w:b/>
        </w:rPr>
        <w:t>POSSIBLE 2023:</w:t>
      </w:r>
      <w:r>
        <w:t xml:space="preserve"> Identifying Promising Domains of Decarbonization Technologies: An Improved Methodology — https://doi.org/10.23919/splitech58164.2023.10193705</w:t>
      </w:r>
    </w:p>
    <w:p>
      <w:pPr/>
      <w:r>
        <w:rPr>
          <w:b/>
        </w:rPr>
        <w:t>Shared claim-specific concepts:</w:t>
      </w:r>
      <w:r>
        <w:t xml:space="preserve"> identify, promising, applied; EU scope not established. This is a provisional connection, not an outcome finding.</w:t>
      </w:r>
    </w:p>
    <w:p>
      <w:pPr>
        <w:pStyle w:val="SourceNote"/>
      </w:pPr>
      <w:r>
        <w:rPr>
          <w:b/>
        </w:rPr>
        <w:t>Available abstract (not full text):</w:t>
      </w:r>
      <w:r>
        <w:t xml:space="preserve"> Humanity has sought ways to decarbonize the economies and mitigate the effects of global warming. The scientific community has been producing intensive research on decarbonizing technologies and strategies. This article introduces an improved methodology, based on two available text-mining software, to identify the most relevant domains of decarbonizing technologies presented in scientific papers, research projects and patents. The improvements include the definition of an approach to obtain a final rank of the technologies’ domains and an enhanced procedure to create the semantic dictionary, a critical component for the bibliometric analysis. Moreover, a more robust and comprehensive search string was defined, reconciling the particularities of the used text-mining software. The methodology was applied to the 2011 to 2021 period. The results evidence the twenty better-ranked domains, where energy efficiency/management, hydrogen, generic renewable energy, carbon capture, energy storage and biofuel occupy the six first positions. Hydrogen, carbon capture and energy storage are the domains with a more accelerated increase in the scientific community’s relative interest. In contrast, energy efficiency and management, biofuel, and low-carbon transportation have lost relative interest. Moreover, results show that electrification, hydrogen, and geothermal energy domains significantly</w:t>
      </w:r>
    </w:p>
    <w:p>
      <w:pPr/>
      <w:r>
        <w:rPr>
          <w:b/>
        </w:rPr>
        <w:t>POSSIBLE 2023:</w:t>
      </w:r>
      <w:r>
        <w:t xml:space="preserve"> 2017-2023: state of the art of gene therapies in rare diseases in Europe: the dynamics of clinical R&amp;D, new approved treatments and expected therapies in the pipelines — https://doi.org/10.20517/rdodj.2023.29</w:t>
      </w:r>
    </w:p>
    <w:p>
      <w:pPr/>
      <w:r>
        <w:rPr>
          <w:b/>
        </w:rPr>
        <w:t>Shared claim-specific concepts:</w:t>
      </w:r>
      <w:r>
        <w:t xml:space="preserve"> aim, promising, required, current; EU scope visible. This is a provisional connection, not an outcome finding.</w:t>
      </w:r>
    </w:p>
    <w:p>
      <w:pPr>
        <w:pStyle w:val="SourceNote"/>
      </w:pPr>
      <w:r>
        <w:rPr>
          <w:b/>
        </w:rPr>
        <w:t>Available abstract (not full text):</w:t>
      </w:r>
      <w:r>
        <w:t xml:space="preserve"> Aim: Gene therapies have been tested over the past three decades, and after a first market authorization in 2017, the field is starting to deliver. The study aims to analyze the current development dynamics of gene therapies for rare diseases using the GENOTRIAL database®, which gathers information on gene therapy clinical trials and studies conducted between 2017 and 2023 in Europe. Methods: The study involved extracting and filtering clinical trial data from the EudraCT database. Trials with the keyword "Gene Therapy" were selected and filtered using the "Rare disease" filter. Manual verification was conducted to ensure that the selected trial only concerned gene therapy treatments authorized in Europe for rare diseases in phases I to III. A total of 300 European country-related clinical investigations representing a total of 93 European-specific clinical studies were included in the GENOTRIAL database. The trials were classified by development phases, temporal status, sponsors and investigating countries, rare diseases with their related therapeutic area, and approval regulatory information of the identified gene therapies. Results: Analysis reveals that rare diseases present a promising area for gene therapy development. On average, eight rare disease gene therapy trials are launched each year in Europe. The main sponsors of European clinical trials of gene therapies for ra</w:t>
      </w:r>
    </w:p>
    <w:p>
      <w:pPr/>
      <w:r>
        <w:rPr>
          <w:b/>
        </w:rPr>
        <w:t>POSSIBLE 2022:</w:t>
      </w:r>
      <w:r>
        <w:t xml:space="preserve"> Saline soils worldwide: Identifying the most promising areas for saline agriculture — https://doi.org/10.1016/j.jaridenv.2022.104775</w:t>
      </w:r>
    </w:p>
    <w:p>
      <w:pPr/>
      <w:r>
        <w:rPr>
          <w:b/>
        </w:rPr>
        <w:t>Shared claim-specific concepts:</w:t>
      </w:r>
      <w:r>
        <w:t xml:space="preserve"> aim, identify, promising, well; EU scope not established. This is a provisional connection, not an outcome finding.</w:t>
      </w:r>
    </w:p>
    <w:p>
      <w:pPr>
        <w:pStyle w:val="SourceNote"/>
      </w:pPr>
      <w:r>
        <w:rPr>
          <w:b/>
        </w:rPr>
        <w:t>Available abstract (not full text):</w:t>
      </w:r>
      <w:r>
        <w:t xml:space="preserve"> Salinization poses a major challenge for modern agriculture with considerable areas being salt-affected worldwide. However, these lands can be cultivated by applying saline agriculture, involving soil, water and salt-tolerant crop management methods. The agricultural use of saline soils helps in addressing food security in times of population growth and climate change. Therefore, there is a need to map saline soils and examine conditions under which saline agriculture can be implemented. The aim of this study is to identify locations and surface area of saline soils. The potential areas for saline agricultural production are mapped using the QGIS software with a focus on the most promising lands for saline agriculture. To identify these most promising areas, we apply criteria of soil salinity, soil fertility, soil pH, water availability, presence of irrigation equipment, as well as depleted water basins. Our results show that the total area of salt-affected soils equals 17 million km2, but the largest potential for saline agriculture lays in saline soils above 4 dS/m ECe in non-depleted water basins totalling to 2 million km2. We conclude that further socio-economic analysis is needed to fully determine countries which should be prioritized in exploring the future potential for sustainable food production.</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identify, promising, sector, well, current;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pStyle w:val="Heading2"/>
      </w:pPr>
      <w:r>
        <w:t>560.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2024:</w:t>
      </w:r>
      <w:r>
        <w:t xml:space="preserve"> On the diversity of spatial planning instruments across Europe — https://doi.org/10.4337/9781839106255.00016</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pPr/>
      <w:r>
        <w:rPr>
          <w:b/>
        </w:rPr>
        <w:t>POSSIBLE 2023:</w:t>
      </w:r>
      <w:r>
        <w:t xml:space="preserve"> EUROPEAN EXPERIENCE OF STRATEGIC PLANNING FOR THE DEVELOPMENT OF TERRITORIAL COMMUNITIES — https://doi.org/10.37332/2309-1533.2023.1.8</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Purpose. The aim of the article is to study of the best practices of the European experience of strategic planning to increase the competitiveness of domestic territorial communities. Methodology of research. The methodological basis of the study was scientific methods of cognition based on a systematic approach to solving the tasks. A number of general and special scientific research methods were used to achieve the set goal and obtain research results: dialectical; monographic (when processing scientific publications); system analysis (when studying the current state of development of territorial communities); abstract and logical (to substantiate the key characteristics of strategic planning for the development of territorial communities); complex analysis (when forming conclusions and proposals for solving tasks) and others. Findings. An analysis of the best practices of strategic planning of European countries was carried out. It was established that there is no universal model of development of territorial communities in European countries, the way of organizing decentralized power in each country is related to its history, political and managerial culture, economy and social experience. It has been established that the strategic approach in the management of European countries has recently become widespread and is used at all levels, from the national to the level of aut</w:t>
      </w:r>
    </w:p>
    <w:p>
      <w:pPr/>
      <w:r>
        <w:rPr>
          <w:b/>
        </w:rPr>
        <w:t>POSSIBLE 2023:</w:t>
      </w:r>
      <w:r>
        <w:t xml:space="preserve"> FDI and Economic Growth – Perspective of Southeast European Countries — https://doi.org/10.2478/zireb-2023-0006</w:t>
      </w:r>
    </w:p>
    <w:p>
      <w:pPr/>
      <w:r>
        <w:rPr>
          <w:b/>
        </w:rPr>
        <w:t>Shared claim-specific concepts:</w:t>
      </w:r>
      <w:r>
        <w:t xml:space="preserve"> countries, become, not, also; EU scope visible. This is a provisional connection, not an outcome finding.</w:t>
      </w:r>
    </w:p>
    <w:p>
      <w:pPr>
        <w:pStyle w:val="SourceNote"/>
      </w:pPr>
      <w:r>
        <w:rPr>
          <w:b/>
        </w:rPr>
        <w:t>Available abstract (not full text):</w:t>
      </w:r>
      <w:r>
        <w:t xml:space="preserve"> Abstract Emergence of new economic entities, through either integration or disintegration, always creates system inefficiencies resulting in temporary economic setbacks. At the macroeconomic level, this brings about slowdown in economic growth and delayed catching up with more advanced economies. In Europe, the turn of the century brought along political and economic disintegration, on one hand, and economic integration, on the other. Demise of planned economies across Eastern Europe caused serious economic turmoil due to market fragmentation. Meanwhile, creation of new economic architecture in the European Union (EU) has created additional challenges of economic restructuring. Therefore, achieving sustainable economic growth and high income has become the ultimate economic policy objective. Equity investment in form of foreign direct investment (FDI) has proven to be the right choice, because influx of fresh capital and know-how enabled strong economic growth and restructuring through increasing labor productivity and economic efficiency. Stronger competitive pressure through FDI contributed to dynamic restructuring, resembling in increasing exports and stronger integration into global economy. Yet, growth rates across countries were not always proportional to the volume of inward FDI, which indicates a certain level of underperformance for some countries. The aim of the paper</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countries, production, energy;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Investigation of Plastic Waste with Environmental Kuznets Hypothesis: An Empirical Study on European Union Countries — https://doi.org/10.30794/pausbed.1214090</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Plastics have become an indispensable part of modern life. Although plastics, which become waste after use, are recycled for the economy, they have become a critical problem because many cause environmental pollution and threaten life. It is known that the use of plastics has increased rapidly in parallel with the increase in income that has emerged from the increasing industrialization since the 1950s. According to the Environmental Kuznets Curve (EKC) hypothesis, there is an inverted U-shaped relationship between environmental pollution and economic growth. Considering the critical importance of the plastic waste problem, plastic waste should also be evaluated with the EKC approach. For this purpose, panel data analysis was applied to the plastic waste data of the European Union countries. Research findings show that the EKC validates plastic waste in EU countries from 2004 to 2019. This shows that environmental policies should be planned around the Plastic Waste EKC.</w:t>
      </w:r>
    </w:p>
    <w:p>
      <w:pPr/>
      <w:r>
        <w:rPr>
          <w:b/>
        </w:rPr>
        <w:t>POSSIBLE 2022:</w:t>
      </w:r>
      <w:r>
        <w:t xml:space="preserve"> Russia’s War in Ukraine: Consequences for European Countries’ Businesses and Economies — https://doi.org/10.3390/jrfm15070295</w:t>
      </w:r>
    </w:p>
    <w:p>
      <w:pPr/>
      <w:r>
        <w:rPr>
          <w:b/>
        </w:rPr>
        <w:t>Shared claim-specific concepts:</w:t>
      </w:r>
      <w:r>
        <w:t xml:space="preserve"> countries, plan, become, not, only, but; EU scope visible. This is a provisional connection, not an outcome finding.</w:t>
      </w:r>
    </w:p>
    <w:p>
      <w:pPr>
        <w:pStyle w:val="SourceNote"/>
      </w:pPr>
      <w:r>
        <w:rPr>
          <w:b/>
        </w:rPr>
        <w:t>Available abstract (not full text):</w:t>
      </w:r>
      <w:r>
        <w:t xml:space="preserve"> Companies and countries have needed to adapt their activities to the consequences of the Russian war in Ukraine. The analysis in this article shows that both the Russian war in Ukraine and the subsequent trade restrictions have become a powerful trigger, significantly increasing the level of inflation and exacerbating the existing issues of economies. As a result, the confrontation between the West and Russia has greatly escalated, which will have a long-term, large-scale negative impact on most European companies and economies. There could also be a lasting restructuring of world trade. The article notes that not only the end date of the war in Ukraine may be important for business and economies, but also which of the trade and financial restrictions can be lifted from Russia, and when. The article also makes recommendations that may help company leaders plan, in a timelier and more accurate fashion, the changes necessary to maintain company sustainability.</w:t>
      </w:r>
    </w:p>
    <w:p>
      <w:pPr/>
      <w:r>
        <w:rPr>
          <w:b/>
        </w:rPr>
        <w:t>POSSIBLE 2022:</w:t>
      </w:r>
      <w:r>
        <w:t xml:space="preserve"> Perspectives for the Use of Hydrogen Energy in European Countries — https://doi.org/10.46488/nept.2022.v21i03.053</w:t>
      </w:r>
    </w:p>
    <w:p>
      <w:pPr/>
      <w:r>
        <w:rPr>
          <w:b/>
        </w:rPr>
        <w:t>Shared claim-specific concepts:</w:t>
      </w:r>
      <w:r>
        <w:t xml:space="preserve"> countries, become, not, only, field, hydrogen; EU scope visible. This is a provisional connection, not an outcome finding.</w:t>
      </w:r>
    </w:p>
    <w:p>
      <w:pPr>
        <w:pStyle w:val="SourceNote"/>
      </w:pPr>
      <w:r>
        <w:rPr>
          <w:b/>
        </w:rPr>
        <w:t>Available abstract (not full text):</w:t>
      </w:r>
      <w:r>
        <w:t xml:space="preserve"> The most actual environmental problems in the XXI century are the following: global warming due to greenhouse gas emissions, energy production at coal, oil and power plants, air pollution, water pollution and waste recycling. Other environmental problems can be added to this short list, but the authors solve a specific task of promoting the idea of a promising “green” energy that will help humanity in conservation and development. European Union (EU) countries are planning to solve the main environmental challenges for the transition to low-carbon electricity by 2050. In many countries in the world every year there are more and more supporters of reducing emissions of carbon dioxide CO2, nitrogen oxides NO and NO2 and other greenhouse gases into the atmosphere. In recent years, EU has been consistently pursuing its own policy in the field of environmental protection, carrying out large-scale environmental measures. In Germany, United Kingdom (UK) and other European countries, a number of environmental initiatives are already gaining the status of state policy, which is being formalized in laws and regulations. Russian Federation acts on the world market as a leading country that produces and supplies significant energy resources not only to Europe, but also to many countries in the Asia-Pacific region. It is clear that the competitive stability of Russian energy companies signi</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not, but;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561.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2024:</w:t>
      </w:r>
      <w:r>
        <w:t xml:space="preserve"> Using Numerical Weather Prediction Models for Climate Modeling — https://doi.org/10.1134/s0001433824700610</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The concept of seamless prediction atmospheric models designed both for numerical weather forecasting and climate change modeling is considered. It consists of the fact that there are no artificial time boundaries in the atmosphere that separate synoptic, seasonal, and interannual scales. Due to the nonlinearity of the atmosphere, the processes of all spatial and time scales interact with each other. Thus, an atmospheric model focused on reproducing any phenomena must adequately reproduce phenomena of all time scales. It is wrong to talk about seamless atmosphere models as universal models that function at any possible mesh sizes. The same model cannot be used at the horizontal resolution of about 1–2 and 50–80 km, since the processes of convective precipitation formation are mainly described explicitly in the first case, while the deep convection is a subgrid scale process that has to be parametrized in the second case. This article provides an overview of the implementations of multiscale models with the example of some foreign (the unified model (UM) of the UK MetOffice and the European model EC Earth 3) and Russian SL-AV (Semi-Lagrangian, based on the Absolute Vorticity equation) atmosphere general circulation model. An example of a modification to the deep convection parameterization developed for the climate version of the SL-AV model is given that significantly </w:t>
      </w:r>
    </w:p>
    <w:p>
      <w:pPr/>
      <w:r>
        <w:rPr>
          <w:b/>
        </w:rPr>
        <w:t>POSSIBLE 2024:</w:t>
      </w:r>
      <w:r>
        <w:t xml:space="preserve"> The fire weather in Europe: large-scale trends towards higher danger — https://doi.org/10.1088/1748-9326/ad5b09</w:t>
      </w:r>
    </w:p>
    <w:p>
      <w:pPr/>
      <w:r>
        <w:rPr>
          <w:b/>
        </w:rPr>
        <w:t>Shared claim-specific concepts:</w:t>
      </w:r>
      <w:r>
        <w:t xml:space="preserve"> weather, regional, climate, warming; EU scope visible. This is a provisional connection, not an outcome finding.</w:t>
      </w:r>
    </w:p>
    <w:p>
      <w:pPr>
        <w:pStyle w:val="SourceNote"/>
      </w:pPr>
      <w:r>
        <w:rPr>
          <w:b/>
        </w:rPr>
        <w:t>Available abstract (not full text):</w:t>
      </w:r>
      <w:r>
        <w:t xml:space="preserve"> Abstract The climate over Europe has been recorded to be hotter, drier, and more fire-prone over the last decade than ever before, leading to concerns about how climate change will alter fire weather in the future. A typical measure to estimate fire weather severity based on climate is the Canadian fire weather index (FWI). In this study, we used high-resolution, bias-corrected climate model output (∼9 km) from six CMIP6 climate models and four shared socio-economic pathway projections (SSPs) to calculate consistent and comparable daily FWI datasets for Europe from 1950 to 2080. Our study aims to identify regional and large-scale shifts in fire weather severity and its predictability over time to support adaptive planning. We show that irrespective of the future SSP, fire weather will become more severe, but the increase is much stronger under high greenhouse gas emissions. This leads to new areas being exposed to severe fire weather, such as central Europe and rapidly warming mountainous areas. Already fire-prone regions in southern Europe will experience more extreme conditions. We conclude that only the low-emission SSP1-2.6 pathway can prevent strong increases in fire weather beyond the 2050s. Fire surveillance and management will become more important, even in areas and in seasons where they have not been in the focus so far.</w:t>
      </w:r>
    </w:p>
    <w:p>
      <w:pPr/>
      <w:r>
        <w:rPr>
          <w:b/>
        </w:rPr>
        <w:t>POSSIBLE 2023:</w:t>
      </w:r>
      <w:r>
        <w:t xml:space="preserve"> Evaluating neural network models in site-specific solar PV forecasting using numerical weather prediction data and weather observations — https://doi.org/10.1016/j.renene.2023.02.130</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The effective use of solar photovoltaic (PV) installations implies the integration of solar PV output into overall energy consumption planning, optimization, and control. Moreover, day-ahead trading of electricity in Europe makes day-ahead solar PV forecasting utterly important, and thus its accuracy becomes of particular interest. Data-driven PV forecasting models are typically trained using numerical weather prediction (NWP) data, the availability of which represents one of the main obstacles in modeling. In this study, we investigate an alternative scenario, in which an artificial neural network (ANN) is trained on weather observations and then tested on NWP data to simulate the model's use in operational PV forecasting. In the experiments, solar PV output data, historical weather observations, and historical NWP data were collected from three sites in eastern Finland. The results showed that, although training ANN on observational data leads to a slight decrease in its performance compared to ANN trained on NWP data, it still outperforms a physical model. In practice, this alternative scenario means that if historical NWP data are not available for model training, observational data allow effective model selection and parameter tuning, and then generalization error estimates are gradually updated using online NWP data.</w:t>
      </w:r>
    </w:p>
    <w:p>
      <w:pPr/>
      <w:r>
        <w:rPr>
          <w:b/>
        </w:rPr>
        <w:t>POSSIBLE 2023:</w:t>
      </w:r>
      <w:r>
        <w:t xml:space="preserve"> EURO1k: A high-resolution European weather model developed by Meteomatics — https://doi.org/10.5194/egusphere-egu23-16670</w:t>
      </w:r>
    </w:p>
    <w:p>
      <w:pPr/>
      <w:r>
        <w:rPr>
          <w:b/>
        </w:rPr>
        <w:t>Shared claim-specific concepts:</w:t>
      </w:r>
      <w:r>
        <w:t xml:space="preserve"> uses, weather, local,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the weather accurately due to limitations in spatial resolution. Global models with broad resolution are unable to represent small-scale weather features, such as convective thunderstorms or local wind patterns, while regional high resolution models are highly dependent on boundary conditions and typically provide forecasts for a small domain. To fill this gap, Meteomatics has developed the EURO1k model, the first pan-European weather model with a 1km2 resolution. The EURO1k model consists of approximately 20 million grid points and is run 24 times per day, with a forecast horizon of 24 hours. It is based on the WRF (Weather Research and Forecasting) model and uses global ECMWF-IFS model data for boundary conditions. In addition to standard data sources such as weather stations, radar and satellite data, and radiosondes, the EURO1k model also ingests data from a network of Meteodrones, small unmanned aircraft systems (UAS) developed by Meteomatics which collect vertical atmospheric profiles up to 6000m in altitude. The high resolution of the EURO1k model allows it to accurately represent small-scale weather patterns, resulting in highly accurate and precise forec</w:t>
      </w:r>
    </w:p>
    <w:p>
      <w:pPr/>
      <w:r>
        <w:rPr>
          <w:b/>
        </w:rPr>
        <w:t>POSSIBLE 2023:</w:t>
      </w:r>
      <w:r>
        <w:t xml:space="preserve"> EURO1k: A high-resolution European weather model developed by Meteomatics — https://doi.org/10.5194/ems2023-486</w:t>
      </w:r>
    </w:p>
    <w:p>
      <w:pPr/>
      <w:r>
        <w:rPr>
          <w:b/>
        </w:rPr>
        <w:t>Shared claim-specific concepts:</w:t>
      </w:r>
      <w:r>
        <w:t xml:space="preserve"> uses, weather,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atmospheric processes accurately due to limitations in spatial resolution. To fill this gap, Meteomatics has developed the EURO1k model, the first pan-European weather model with a spatial resolution of 1 km. The EURO1k model grid covers 4250 x 4580 km and is run in a rapid-update setup with 24 initializations per day, each run with a lead time of 24 hours. It is based on the Weather Research and Forecasting (WRF) model and uses global ECMWF-IFS model data for boundary conditions. In addition to standard data sources such as weather stations, radar and satellite data, and radiosondes, the EURO1k model also assimilates data from a network of Meteodrones, unmanned aircraft systems (UAS) developed by Meteomatics which collect vertical atmospheric profiles up to 6000m in altitude. The high spatial and temporal resolution of the EURO1k model allows to accurately represent small-scale weather patterns, resulting in highly accurate and precise forecasts. Indeed, statistical analyses of EURO1k model output against observations from 5000 weather stations in Europe demonstrate increased accuracy compared to other global and regional models. This has important implications </w:t>
      </w:r>
    </w:p>
    <w:p>
      <w:pPr/>
      <w:r>
        <w:rPr>
          <w:b/>
        </w:rPr>
        <w:t>POSSIBLE 2023:</w:t>
      </w:r>
      <w:r>
        <w:t xml:space="preserve"> Gaussian copula modeling of extreme cold and weak-wind events over Europe conditioned on winter weather regimes — https://doi.org/10.1088/1748-9326/acb6aa</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A transition to renewable energy is needed to mitigate climate change. In Europe, this transition has been led by wind energy, which is one of the fastest growing energy sources. However, energy demand and production are sensitive to meteorological conditions and atmospheric variability at multiple time scales. To accomplish the required balance between these two variables, critical conditions of high demand and low wind energy supply must be considered in the design of energy systems. We describe a methodology for modeling joint distributions of meteorological variables without making any assumptions about their marginal distributions. In this context, Gaussian copulas are used to model the correlated nature of cold and weak-wind events. The marginal distributions are modeled with logistic regressions defining two sets of binary variables as predictors: four large-scale weather regimes (WRs) and the months of the extended winter season. By applying this framework to ERA5 data, we can compute the joint probabilities of co-occurrence of cold and weak-wind events on a high-resolution grid ( 0.2 ∘ ) .Our results show that (a) WRs must be considered when modeling cold and weak-wind events, (b) it is essential to account for the correlations between these events when modeling their joint distribution, (c) we need to analyze each month separately, and (d) the highest estimat</w:t>
      </w:r>
    </w:p>
    <w:p>
      <w:pPr/>
      <w:r>
        <w:rPr>
          <w:b/>
        </w:rPr>
        <w:t>POSSIBLE 2023:</w:t>
      </w:r>
      <w:r>
        <w:t xml:space="preserve"> A ML approach for Post-processing of NWP model on the European Weather Cloud — https://doi.org/10.5194/ems2023-489</w:t>
      </w:r>
    </w:p>
    <w:p>
      <w:pPr/>
      <w:r>
        <w:rPr>
          <w:b/>
        </w:rPr>
        <w:t>Shared claim-specific concepts:</w:t>
      </w:r>
      <w:r>
        <w:t xml:space="preserve"> weather, different; EU scope visible. This is a provisional connection, not an outcome finding.</w:t>
      </w:r>
    </w:p>
    <w:p>
      <w:pPr>
        <w:pStyle w:val="SourceNote"/>
      </w:pPr>
      <w:r>
        <w:rPr>
          <w:b/>
        </w:rPr>
        <w:t>Available abstract (not full text):</w:t>
      </w:r>
      <w:r>
        <w:t xml:space="preserve"> In the present study, the research activities aiming at investigating the use of modern Machine Learning algorithms for the early detection of convective systems are shown.The study conceived and carried out at the Italian Air-Force Meteorological Centre, co-funded in the framework of the EUMETNET-SRNWP-EPS Project, focuses on the post-processing of NWP model output to provide to the forecasters an improved Decision Support System specifically designed for aviation hazards and severe weather phenomena, such as thunderstorms. In detail, the NWP fields generated from operational Limited Area Models (COSMO-IT, 2.2 km horizontal resolution) running at CNMCA (Centro Nazionale Meteorologia e Climatologia Aerospaziale, Italian AirForce Met Service) and ECMWF, were processed and fed, as input features, to a properly designed decision tree. Different targets were defined to train the ML model, starting from independent observation datasets, which include radar, lightning and satellite-derived observations. The products mentioned above and the input features were co-located in space and time to assess the correlation between the signal (the information content of NWP products) and the weather phenomenon (e.g., convective instability). The ML tool operates in near real-time mode for the prediction/test phase and offline mode for the training/validation phase. It runs on the European Weath</w:t>
      </w:r>
    </w:p>
    <w:p>
      <w:pPr/>
      <w:r>
        <w:rPr>
          <w:b/>
        </w:rPr>
        <w:t>POSSIBLE 2023:</w:t>
      </w:r>
      <w:r>
        <w:t xml:space="preserve"> Intersecting near-optimal spaces: European power systems with more resilience to weather variability — https://doi.org/10.1016/j.eneco.2022.106496</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We suggest a new methodology for designing robust energy systems. For this, we investigate so-called near-optimal solutions to energy system optimisation models; solutions whose objective values deviate only marginally from the optimum. Using a refined method for obtaining explicit geometric descriptions of these near-optimal feasible spaces, we find designs that are as robust as possible to perturbations. This contributes to the ongoing debate on how to define and work with robustness in energy systems modelling. We apply our methods in an investigation using multiple decades of weather data. For the first time, we run a capacity expansion model of the European power system (one node per country) with a three-hourly temporal resolution and 41 years of weather data. While an optimisation with 41 weather years is at the limits of computational feasibility, we use the near-optimal feasible spaces of single years to gain an understanding of the design space over the full time period. Specifically, we intersect all near-optimal feasible spaces for the individual years in order to get designs that are likely to be feasible over the entire time period. We find significant potential for investment flexibility, and verify the feasibility of these designs by simulating the resulting dispatch problem with four decades of weather data. They are characterised by a shift towards more onshor</w:t>
      </w:r>
    </w:p>
    <w:p>
      <w:pPr/>
      <w:r>
        <w:rPr>
          <w:b/>
        </w:rPr>
        <w:t>POSSIBLE 2023:</w:t>
      </w:r>
      <w:r>
        <w:t xml:space="preserve"> ClimaX: A foundation model for weather and climate — https://doi.org/10.48550/arxiv.2301.10343</w:t>
      </w:r>
    </w:p>
    <w:p>
      <w:pPr/>
      <w:r>
        <w:rPr>
          <w:b/>
        </w:rPr>
        <w:t>Shared claim-specific concepts:</w:t>
      </w:r>
      <w:r>
        <w:t xml:space="preserve"> weather, different, climate; EU scope not established. This is a provisional connection, not an outcome finding.</w:t>
      </w:r>
    </w:p>
    <w:p>
      <w:pPr>
        <w:pStyle w:val="SourceNote"/>
      </w:pPr>
      <w:r>
        <w:rPr>
          <w:b/>
        </w:rPr>
        <w:t>Available abstract (not full text):</w:t>
      </w:r>
      <w:r>
        <w:t xml:space="preserve"> Most state-of-the-art approaches for weather and climate modeling are based on physics-informed numerical models of the atmosphere. These approaches aim to model the non-linear dynamics and complex interactions between multiple variables, which are challenging to approximate. Additionally, many such numerical models are computationally intensive, especially when modeling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We develop and demonstrate ClimaX, a flexible and generalizable deep learning model for weather and climate science that can be trained using heterogeneous datasets spanning different variables, spatio-temporal coverage, and physical groundings. ClimaX extends the Transformer architecture with novel encoding and aggregation blocks that allow effective use of available compute while maintaining general utility. ClimaX is pre-trained with a self-supervised learning objective on climate datasets derived from CMIP6. The pre-trained ClimaX can then be fine-tuned to address a </w:t>
      </w:r>
    </w:p>
    <w:p>
      <w:pPr>
        <w:pStyle w:val="Heading2"/>
      </w:pPr>
      <w:r>
        <w:t>562.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pStyle w:val="Heading2"/>
      </w:pPr>
      <w:r>
        <w:t>563.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2024:</w:t>
      </w:r>
      <w:r>
        <w:t xml:space="preserve"> Water use in a sustainable net zero energy system: what are the implications of employing bioenergy with carbon capture and storage? — https://doi.org/10.54337/ijsepm.8159</w:t>
      </w:r>
    </w:p>
    <w:p>
      <w:pPr/>
      <w:r>
        <w:rPr>
          <w:b/>
        </w:rPr>
        <w:t>Shared claim-specific concepts:</w:t>
      </w:r>
      <w:r>
        <w:t xml:space="preserve"> bioenergy, mitigation, needed, use, integrated, assessment; EU scope not established. This is a provisional connection, not an outcome finding.</w:t>
      </w:r>
    </w:p>
    <w:p>
      <w:pPr>
        <w:pStyle w:val="SourceNote"/>
      </w:pPr>
      <w:r>
        <w:rPr>
          <w:b/>
        </w:rPr>
        <w:t>Available abstract (not full text):</w:t>
      </w:r>
      <w:r>
        <w:t xml:space="preserve">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pPr/>
      <w:r>
        <w:rPr>
          <w:b/>
        </w:rPr>
        <w:t>POSSIBLE 2024:</w:t>
      </w:r>
      <w:r>
        <w:t xml:space="preserve"> Expert insights into future trajectories: assessing cost reductions and scalability of carbon dioxide removal technologies — https://doi.org/10.3389/fclim.2024.1331901</w:t>
      </w:r>
    </w:p>
    <w:p>
      <w:pPr/>
      <w:r>
        <w:rPr>
          <w:b/>
        </w:rPr>
        <w:t>Shared claim-specific concepts:</w:t>
      </w:r>
      <w:r>
        <w:t xml:space="preserve"> bioenergy, gtco2, deployment; EU scope visible. This is a provisional connection, not an outcome finding.</w:t>
      </w:r>
    </w:p>
    <w:p>
      <w:pPr>
        <w:pStyle w:val="SourceNote"/>
      </w:pPr>
      <w:r>
        <w:rPr>
          <w:b/>
        </w:rPr>
        <w:t>Available abstract (not full text):</w:t>
      </w:r>
      <w:r>
        <w:t xml:space="preserve">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pPr/>
      <w:r>
        <w:rPr>
          <w:b/>
        </w:rPr>
        <w:t>POSSIBLE 2023:</w:t>
      </w:r>
      <w:r>
        <w:t xml:space="preserve"> Potential of land-based climate change mitigation strategies on abandoned cropland — https://doi.org/10.1038/s43247-023-00696-7</w:t>
      </w:r>
    </w:p>
    <w:p>
      <w:pPr/>
      <w:r>
        <w:rPr>
          <w:b/>
        </w:rPr>
        <w:t>Shared claim-specific concepts:</w:t>
      </w:r>
      <w:r>
        <w:t xml:space="preserve"> bioenergy, overall, mitigation, deployment; EU scope not established. This is a provisional connection, not an outcome finding.</w:t>
      </w:r>
    </w:p>
    <w:p>
      <w:pPr>
        <w:pStyle w:val="SourceNote"/>
      </w:pPr>
      <w:r>
        <w:rPr>
          <w:b/>
        </w:rPr>
        <w:t>Available abstract (not full text):</w:t>
      </w:r>
      <w:r>
        <w:t xml:space="preserve"> Abstract Natural revegetation, afforestation, and lignocellulosic crops for bioenergy, possibly coupled with a developing technology like carbon capture and storage, are the most common land-based climate change mitigation options. However, they can compete for land and threaten food security or nature conservation. Using abandoned cropland for their deployment can minimize these risks, but associated potentials are unclear. Here, we compare alternative land-based mitigation options by integrating historical and future (up to 2050) abandoned cropland with site-specific biomass yields and life-cycle emissions. Considering natural revegetation in biodiversity priority areas and different measures in the remaining land can achieve a mitigation potential of 0.8–4.0 GtCO2-equivalents yr−1 (2–11% of 2021 global CO2 emissions). Afforestation generally provides larger climate benefits than bioenergy, but bioenergy with carbon capture and storage delivers the highest mitigation in most locations. Overall, these results offer refined estimates of mitigation potentials from abandoned cropland and highlight opportunities for context-specific mitigation measures.</w:t>
      </w:r>
    </w:p>
    <w:p>
      <w:pPr/>
      <w:r>
        <w:rPr>
          <w:b/>
        </w:rPr>
        <w:t>POSSIBLE 2023:</w:t>
      </w:r>
      <w:r>
        <w:t xml:space="preserve"> Capacity gaps in land-based mitigation technologies and practices: A first stock take — https://doi.org/10.1016/j.landusepol.2023.106888</w:t>
      </w:r>
    </w:p>
    <w:p>
      <w:pPr/>
      <w:r>
        <w:rPr>
          <w:b/>
        </w:rPr>
        <w:t>Shared claim-specific concepts:</w:t>
      </w:r>
      <w:r>
        <w:t xml:space="preserve"> bioenergy, mitigation, use, regional; EU scope visible. This is a provisional connection, not an outcome finding.</w:t>
      </w:r>
    </w:p>
    <w:p>
      <w:pPr>
        <w:pStyle w:val="SourceNote"/>
      </w:pPr>
      <w:r>
        <w:rPr>
          <w:b/>
        </w:rPr>
        <w:t>Available abstract (not full text):</w:t>
      </w:r>
      <w:r>
        <w:t xml:space="preserve"> Land-based mitigation technologies and practices (LMTs) reduce GHG emissions associated with land use and/or enhance terrestrial GHG sinks. This article investigates capacity gaps to successfully facilitate LMT adoption and/or scaling in the regions of Latin America, Europe, North America, sub-Saharan Africa and Southeast Asia. We look at LMTs such as agricultural land management, agroforestry, bioenergy with carbon capture and storage (BECCS), biochar, forest management, and peat/wetland management. We used a triangulation method based on literature review, an online survey, and semi-structured interviews with experts from Academia, Industry, NGOs, Local Communities and Government, to capture and analyze the most prominent capacity gaps by LMT and according to regional contexts. This approach identified ‘understanding’, ‘awareness’ and ‘economic/finance’ as the most important capacity gaps when it comes to LMT adoption and scaling across the aforementioned regions. A recommended first step for increased LMT adoption would be to address the knowledge and understanding capacity gaps, which, in turn, could help make LMTs more attractive to stakeholders. Policymakers in cooperation with other stakeholders might reflect on dedicated support policies and regulatory frameworks that level the playing field for LMTs (as compared to mitigation technologies and practices in energy and ot</w:t>
      </w:r>
    </w:p>
    <w:p>
      <w:pPr/>
      <w:r>
        <w:rPr>
          <w:b/>
        </w:rPr>
        <w:t>POSSIBLE 2023:</w:t>
      </w:r>
      <w:r>
        <w:t xml:space="preserve"> How replacing fossil fuels with electrofuels could influence the demand for renewable energy and land area — https://doi.org/10.1016/j.segy.2023.100107</w:t>
      </w:r>
    </w:p>
    <w:p>
      <w:pPr/>
      <w:r>
        <w:rPr>
          <w:b/>
        </w:rPr>
        <w:t>Shared claim-specific concepts:</w:t>
      </w:r>
      <w:r>
        <w:t xml:space="preserve"> bioenergy, needed; EU scope not established. This is a provisional connection, not an outcome finding.</w:t>
      </w:r>
    </w:p>
    <w:p>
      <w:pPr>
        <w:pStyle w:val="SourceNote"/>
      </w:pPr>
      <w:r>
        <w:rPr>
          <w:b/>
        </w:rPr>
        <w:t>Available abstract (not full text):</w:t>
      </w:r>
      <w:r>
        <w:t xml:space="preserve"> During recent years, electrofuels (fuels from electricity, water, and carbon) have gained increased interest as substitute for fossil fuels in all energy and chemical sectors. The feasibility of electrofuels has been assessed from a range of aspects but no study has assessed the land area needed if scaling up the production based on renewables. The amount of land on Earth is limited and the competition for land, in a long-term perspective, imposes a risk of, e.g., increased food prices and biodiversity losses. The aim of this paper is to assess how much land area it would require if all fossil fuels were substituted by electrofuels (‘All electrofuel’-scenario) and compare this with the area needed if all fossil fuels were substituted by bioenergy (‘All biomass’-scenario) or by electricity (‘All electric’-scenario). Each scenario represents extreme cases towards fully renewable energy systems to outline the theoretical area needed. Main conclusions are (1) the electricity demand, if substituting all fossil fuels with electrofuels, is huge (1540 EJ) but technically obtainable, demanding 1.1% of the Earth's surface, for solar panels, in the most optimistic case, and (2) the sustainable technical potential for biomass cannot alone substitute all fossil fuels, unless radical energy demand reductions.</w:t>
      </w:r>
    </w:p>
    <w:p>
      <w:pPr/>
      <w:r>
        <w:rPr>
          <w:b/>
        </w:rPr>
        <w:t>POSSIBLE 2022:</w:t>
      </w:r>
      <w:r>
        <w:t xml:space="preserve"> EU Bioenergy Supply-Chain Projections to 2050 Using a Multi-Model Framework -Combining Macro-Regional Bioenergy Demand and Supply Projections from a Global Iam with a Detailed Regional (Eu27 &amp; UK) Least-Cost Bioenergy Allocation Model – — https://doi.org/10.2139/ssrn.4223426</w:t>
      </w:r>
    </w:p>
    <w:p>
      <w:pPr/>
      <w:r>
        <w:rPr>
          <w:b/>
        </w:rPr>
        <w:t>Shared claim-specific concepts:</w:t>
      </w:r>
      <w:r>
        <w:t xml:space="preserve"> bioenergy, regional;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Global pathways &amp; EU response: A 2nd European Regional, National and Sectoral assessment — https://doi.org/10.5281/zenodo.7590826</w:t>
      </w:r>
    </w:p>
    <w:p>
      <w:pPr/>
      <w:r>
        <w:rPr>
          <w:b/>
        </w:rPr>
        <w:t>Shared claim-specific concepts:</w:t>
      </w:r>
      <w:r>
        <w:t xml:space="preserve"> mitigation, assessment, sectoral, regional; EU scope visible. This is a provisional connection, not an outcome finding.</w:t>
      </w:r>
    </w:p>
    <w:p>
      <w:pPr>
        <w:pStyle w:val="SourceNote"/>
      </w:pPr>
      <w:r>
        <w:rPr>
          <w:b/>
        </w:rPr>
        <w:t>Available abstract (not full text):</w:t>
      </w:r>
      <w:r>
        <w:t xml:space="preserve"> With the EU policy context fast evolving in the light of recent challenges, such as COVID-19, there is a need to guide and scientifically underpin key policymaking decisions to ensure that ambitious targets are realised. In this context, this deliverable presents a set of EU scenarios that achieve the 55% emission reduction target by 2030 and net zero by 2050, on top of a realistic current policies baseline, essentially ensuring that EU effectively manages its contribution towards achieving the Paris Agreement target. Produced by a diverse set of models in a multi-model setup, the scenarios are assessed in terms of their implications on key climate, economy, and energy indicators, as well as their impact on the member-state and sectoral level. Key results including the role of key mitigation options su h as renewables, electrification, carbon capture and storage, negative emissions technologies, and hydrogen are validated from the l ns of stakeholder input, as elicited in a series of national stakeholder workshops in Europe. Finally, the analysis further delves into niche modelling areas, including updates on the current policies baseline scenario in the light of COVID-19 and the “Fit for 55” package, long term strategies for the Agriculture Forestry and Land-Use sector, and the evaluation of a Carbon Border Adjustment Mechanism.</w:t>
      </w:r>
    </w:p>
    <w:p>
      <w:pPr/>
      <w:r>
        <w:rPr>
          <w:b/>
        </w:rPr>
        <w:t>POSSIBLE 2022:</w:t>
      </w:r>
      <w:r>
        <w:t xml:space="preserve"> Economic and biophysical limits to seaweed-based climate solutions — https://doi.org/10.31223/x5pg9v</w:t>
      </w:r>
    </w:p>
    <w:p>
      <w:pPr/>
      <w:r>
        <w:rPr>
          <w:b/>
        </w:rPr>
        <w:t>Shared claim-specific concepts:</w:t>
      </w:r>
      <w:r>
        <w:t xml:space="preserve"> bioenergy, needed, use; EU scope not established. This is a provisional connection, not an outcome finding.</w:t>
      </w:r>
    </w:p>
    <w:p>
      <w:pPr>
        <w:pStyle w:val="SourceNote"/>
      </w:pPr>
      <w:r>
        <w:rPr>
          <w:b/>
        </w:rPr>
        <w:t>Available abstract (not full text):</w:t>
      </w:r>
      <w:r>
        <w:t xml:space="preserve"> Net-zero greenhouse gas emissions targets are driving interest in opportunities for biomass-based negative emissions and bioenergy, including from marine sources such as seaweed. Yet the biophysical and economic limits to farming seaweed at scales relevant to the global carbon budget have not been assessed in detail. We use coupled seaweed growth and technoeconomic models to estimate the costs of global seaweed production and related climate benefits, systematically testing the relative importance of model parameters. Under our most optimistic assumptions, sinking farmed seaweed to the deep sea to sequester a gigaton of CO2 per year costs as little as $560/tCO2 on average, while using farmed seaweed for products that avoid a gigaton of CO2-equivalent greenhouse gas (GHG) emissions annually could return a profit of $30/tCO2-eq. However, these costs depend on low farming costs, high seaweed yields, and assumptions that almost all carbon in seaweed is removed from the atmosphere and seaweed products can displace products with substantial embodied non-CO2 GHG emissions. Moreover, the gigaton-scale climate benefits we model would require farming vary large areas (&gt;100,000 km2)—a &gt;40-fold increase in the area currently farmed. Our results therefore suggest that seaweed-based climate benefits may be feasible, but targeted research and demonstrations are needed to further reduce econom</w:t>
      </w:r>
    </w:p>
    <w:p>
      <w:pPr/>
      <w:r>
        <w:rPr>
          <w:b/>
        </w:rPr>
        <w:t>POSSIBLE 2022:</w:t>
      </w:r>
      <w:r>
        <w:t xml:space="preserve"> Energy requirements and carbon emissions for a low-carbon energy transition — https://doi.org/10.1038/s41467-022-33976-5</w:t>
      </w:r>
    </w:p>
    <w:p>
      <w:pPr/>
      <w:r>
        <w:rPr>
          <w:b/>
        </w:rPr>
        <w:t>Shared claim-specific concepts:</w:t>
      </w:r>
      <w:r>
        <w:t xml:space="preserve"> gtco2, mitigation, deployment; EU scope not established. This is a provisional connection, not an outcome finding.</w:t>
      </w:r>
    </w:p>
    <w:p>
      <w:pPr>
        <w:pStyle w:val="SourceNote"/>
      </w:pPr>
      <w:r>
        <w:rPr>
          <w:b/>
        </w:rPr>
        <w:t>Available abstract (not full text):</w:t>
      </w:r>
      <w:r>
        <w:t xml:space="preserve">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564.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food, each, use, but, biodiversity, loss;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2023:</w:t>
      </w:r>
      <w:r>
        <w:t xml:space="preserve"> Perspective: Food and Nutrition Insecurity in Europe: Challenges and Opportunities for Dietitians — https://doi.org/10.1016/j.advnut.2023.07.008</w:t>
      </w:r>
    </w:p>
    <w:p>
      <w:pPr/>
      <w:r>
        <w:rPr>
          <w:b/>
        </w:rPr>
        <w:t>Shared claim-specific concepts:</w:t>
      </w:r>
      <w:r>
        <w:t xml:space="preserve"> identifies, food, consequences; EU scope visible. This is a provisional connection, not an outcome finding.</w:t>
      </w:r>
    </w:p>
    <w:p>
      <w:pPr>
        <w:pStyle w:val="SourceNote"/>
      </w:pPr>
      <w:r>
        <w:rPr>
          <w:b/>
        </w:rPr>
        <w:t>Available abstract (not full text):</w:t>
      </w:r>
      <w:r>
        <w:t xml:space="preserve">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pPr/>
      <w:r>
        <w:rPr>
          <w:b/>
        </w:rPr>
        <w:t>POSSIBLE 2022:</w:t>
      </w:r>
      <w:r>
        <w:t xml:space="preserve"> Identifying the Key Success Factors of Plant-Based Food Brands in Europe — https://doi.org/10.3390/su15010306</w:t>
      </w:r>
    </w:p>
    <w:p>
      <w:pPr/>
      <w:r>
        <w:rPr>
          <w:b/>
        </w:rPr>
        <w:t>Shared claim-specific concepts:</w:t>
      </w:r>
      <w:r>
        <w:t xml:space="preserve"> six, food, each, marketing, but, high; EU scope visible. This is a provisional connection, not an outcome finding.</w:t>
      </w:r>
    </w:p>
    <w:p>
      <w:pPr>
        <w:pStyle w:val="SourceNote"/>
      </w:pPr>
      <w:r>
        <w:rPr>
          <w:b/>
        </w:rPr>
        <w:t>Available abstract (not full text):</w:t>
      </w:r>
      <w:r>
        <w:t xml:space="preserve"> Plant-based food (PBF) is on the rise as an alternative for animal-based food. Europe is leading in the market size compared with the global market. However, the high failure rate for new food products is challenging the success of new PBF in the market. This paper aims to unravel the key success factors (KSFs) from existing brands, contributing to the knowledge on how to achieve success in PBF market. Two subsequent studies employing online surveys were included, which targeted food expert participants. Study 1 focused on the collection of KSFs related to PBF brands utilizing the card sorting approach. Study 2 employed cluster analysis to further investigate the KSFs among different PBF brands. The findings identified six clusters of KSFs under the external and internal factors supporting the success of the PBF brands. Two (‘Consumer’ and ‘Trend’) and four (‘Ideology’, ‘Marketing strategy’, ‘Innovation management’, and ‘Management structure’) clusters were assigned into external and internal factors, respectively. Furthermore, cluster analysis identified four brand clusters: ‘Mature’, ‘Targeted’, ‘Newcomer’, and ‘Established but diversifying’ clusters. Each brand cluster utilized different KSFs into their strategies; however, both external and internal factors were applied, suggesting that there is no one-size-fits-all KSF to succeed in the market.</w:t>
      </w:r>
    </w:p>
    <w:p>
      <w:pPr/>
      <w:r>
        <w:rPr>
          <w:b/>
        </w:rPr>
        <w:t>POSSIBLE 2022:</w:t>
      </w:r>
      <w:r>
        <w:t xml:space="preserve"> Review of food safety hazards in circular food systems in Europe — https://doi.org/10.1016/j.foodres.2022.111505</w:t>
      </w:r>
    </w:p>
    <w:p>
      <w:pPr/>
      <w:r>
        <w:rPr>
          <w:b/>
        </w:rPr>
        <w:t>Shared claim-specific concepts:</w:t>
      </w:r>
      <w:r>
        <w:t xml:space="preserve"> food, production, processing, but, high; EU scope visible. This is a provisional connection, not an outcome finding.</w:t>
      </w:r>
    </w:p>
    <w:p>
      <w:pPr>
        <w:pStyle w:val="SourceNote"/>
      </w:pPr>
      <w:r>
        <w:rPr>
          <w:b/>
        </w:rPr>
        <w:t>Available abstract (not full text):</w:t>
      </w:r>
      <w:r>
        <w:t xml:space="preserve"> European food production systems have become very efficient in terms of high yield, quality and safety. However, these production systems are not sustainable since, amongst other reasons, a significant proportion of the production is wasted or lost in the supply chain. One of the strategies of the European Union is to achieve climate neutrality by moving towards a circular economy with better waste management. This includes, reducing food waste and losses, and reusing or recycling by-products of the food and feed production systems. A circular economy would greatly improve the sustainability of the European food systems, but attention must be paid to the emergence of (new) food safety hazards. New or not well-known hazards can occur because by-products are reintroduced into the system or new processing steps are used for recycling, and/or known hazards can accumulate in the food production chain due to the reuse of (by-)products. This review addresses food safety hazards in the circular biobased economy, covering the domains of plant production, animal production, aquaculture, and packaging. Instead of an exhaustive list of all potential hazards, example cases of circular food production systems are given, highlighting the known and potential emerging food safety hazards. Current literature covering emerging food safety hazards in the circular economy shows to be limited. There</w:t>
      </w:r>
    </w:p>
    <w:p>
      <w:pPr/>
      <w:r>
        <w:rPr>
          <w:b/>
        </w:rPr>
        <w:t>POSSIBLE 2022:</w:t>
      </w:r>
      <w:r>
        <w:t xml:space="preserve"> Food labeling in the European Union: a review of existing approaches — https://doi.org/10.1108/ijhg-07-2022-0072</w:t>
      </w:r>
    </w:p>
    <w:p>
      <w:pPr/>
      <w:r>
        <w:rPr>
          <w:b/>
        </w:rPr>
        <w:t>Shared claim-specific concepts:</w:t>
      </w:r>
      <w:r>
        <w:t xml:space="preserve"> identifies, six, food, each, use; EU scope visible. This is a provisional connection, not an outcome finding.</w:t>
      </w:r>
    </w:p>
    <w:p>
      <w:pPr>
        <w:pStyle w:val="SourceNote"/>
      </w:pPr>
      <w:r>
        <w:rPr>
          <w:b/>
        </w:rPr>
        <w:t>Available abstract (not full text):</w:t>
      </w:r>
      <w:r>
        <w:t xml:space="preserve"> Purpose This review explores the phenomenon of front-of-pack nutrition labels (FoPNLs) in the European Union (EU). FoPNLs highlight the nutritional quality of food and non-alcoholic beverages and help consumers to make healthier choices. The review explores different types of FoPNLs and evaluates their effectiveness. Design/methodology/approach A policy analysis was conducted, relying on extant academic literature, grey literature and policy documents. The use of current FoPNLs is interpreted in light of national and economic interests. Findings Our review identifies and describes seven government endorsed FoPNLs that are currently used in the EU. Five are positive endorsement labels (Croatia, Czech Republic, Denmark, Lithuania, Slovenia and Sweden), which only provide a positive indication on more healthy products. The Keyhole is used in three EU countries (Denmark, Lithuania and Sweden), while the others are used in one country each. The Nutri-Score represents a summary label, which provides an overall grade of how healthy a product is. It is used in six countries (Belgium, France, Germany, Netherlands, Spain and Luxembourg). Finally, the Nutrinform battery is a nutrient-specific non-interpretive scheme, indicating the content of nutrients in a portion of a food product. All identified labels are only used on a voluntary basis, encouraging selective use. Originality/value Thi</w:t>
      </w:r>
    </w:p>
    <w:p>
      <w:pPr/>
      <w:r>
        <w:rPr>
          <w:b/>
        </w:rPr>
        <w:t>POSSIBLE 2022:</w:t>
      </w:r>
      <w:r>
        <w:t xml:space="preserve"> Experiences and perceptions of nutritional health and wellbeing amongst food insecure women in Europe: A qualitative meta-ethnography — https://doi.org/10.1016/j.socscimed.2022.115313</w:t>
      </w:r>
    </w:p>
    <w:p>
      <w:pPr/>
      <w:r>
        <w:rPr>
          <w:b/>
        </w:rPr>
        <w:t>Shared claim-specific concepts:</w:t>
      </w:r>
      <w:r>
        <w:t xml:space="preserve"> six, food, greater; EU scope visible. This is a provisional connection, not an outcome finding.</w:t>
      </w:r>
    </w:p>
    <w:p>
      <w:pPr>
        <w:pStyle w:val="SourceNote"/>
      </w:pPr>
      <w:r>
        <w:rPr>
          <w:b/>
        </w:rPr>
        <w:t>Available abstract (not full text):</w:t>
      </w:r>
      <w:r>
        <w:t xml:space="preserve"> Since the 2008 global financial crisis, there has been a rise in the number of people experiencing food insecurity. Particularly vulnerable are mothers with young children, pregnant women, and lone parents (the majority of whom are women). This systematic review and meta-ethnography of qualitative studies focused on women's experiences of food insecurity and how it affects their nutritional health and wellbeing. Six electronic databases (Medline, Scopus, Web of Science, EMBASE, CINAHL and ASSIA), were searched from January 1, 2008-July 10, 2021, and supplemented by searches of grey literature databases, relevant websites, examination of reference lists and citation searches. We adhered to PRISMA and eMERGe guidelines to improve the completeness and clarity of meta-ethnographic reporting. Methodological quality of the studies was assessed using the Critical Appraisal Skills Programme qualitative checklist. We identified 11,589 unique records; we included 23 publications reporting data from 22 unique studies involving 647 women. Data were synthesised according to Noblit &amp; Hare's seven phases of meta-ethnography. We identified two key themes - accessing sufficient food and embodying food insecurity - comprising seven sub-themes. Our meta-ethnography provides a progressive 'storyline' of women's experiences of food insecurity. This includes the ways in which women attempt to access</w:t>
      </w:r>
    </w:p>
    <w:p>
      <w:pPr>
        <w:pStyle w:val="Heading2"/>
      </w:pPr>
      <w:r>
        <w:t>565.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r>
        <w:rPr>
          <w:b/>
        </w:rPr>
        <w:t>POSSIBLE 2025:</w:t>
      </w:r>
      <w:r>
        <w:t xml:space="preserve"> Factors Influencing the Purchase of Battery Electric Vehicles (BEVs) — https://doi.org/10.31803/tg-2024052312222</w:t>
      </w:r>
    </w:p>
    <w:p>
      <w:pPr/>
      <w:r>
        <w:rPr>
          <w:b/>
        </w:rPr>
        <w:t>Shared claim-specific concepts:</w:t>
      </w:r>
      <w:r>
        <w:t xml:space="preserve"> bevs, better, bev, charging; EU scope visible. This is a provisional connection, not an outcome finding.</w:t>
      </w:r>
    </w:p>
    <w:p>
      <w:pPr>
        <w:pStyle w:val="SourceNote"/>
      </w:pPr>
      <w:r>
        <w:rPr>
          <w:b/>
        </w:rPr>
        <w:t>Available abstract (not full text):</w:t>
      </w:r>
      <w:r>
        <w:t xml:space="preserve"> This research aims to identify the key factors influencing the new registrations of battery electric vehicles (BEVs) in Germany. Focusing the topics economy, mobility change and climate sustainability a mixed-methods approach was used combining a regression analysis based on public databases and qualitative interviews with experts, represented by vehicle testing organizations, BEV leasing companies, car dealerships and automotive magazines. The study revealed similarities as well as discrepancies between expert opinions and the regression analysis results in the fields of real GDP, education rate, the average range of BEVs, the real estate price index, charging infrastructure and political conviction. Regarding practical implications, the results of this study help BEV manufacturers to enhance their marketing and product strategies. The findings of this study could help decision-makers to better understand the mind set of BEV customers.</w:t>
      </w:r>
    </w:p>
    <w:p>
      <w:pPr/>
      <w:r>
        <w:rPr>
          <w:b/>
        </w:rPr>
        <w:t>POSSIBLE 2025:</w:t>
      </w:r>
      <w:r>
        <w:t xml:space="preserve"> E-Private Mobility Index: A Novel Tool for Assessing BEV Transition Feasibility — https://doi.org/10.3390/su17093983</w:t>
      </w:r>
    </w:p>
    <w:p>
      <w:pPr/>
      <w:r>
        <w:rPr>
          <w:b/>
        </w:rPr>
        <w:t>Shared claim-specific concepts:</w:t>
      </w:r>
      <w:r>
        <w:t xml:space="preserve"> bevs, bev, charging; EU scope visible. This is a provisional connection, not an outcome finding.</w:t>
      </w:r>
    </w:p>
    <w:p>
      <w:pPr>
        <w:pStyle w:val="SourceNote"/>
      </w:pPr>
      <w:r>
        <w:rPr>
          <w:b/>
        </w:rPr>
        <w:t>Available abstract (not full text):</w:t>
      </w:r>
      <w:r>
        <w:t xml:space="preserve"> While the speed of the transition to battery electric vehicles (BEVs) depends on real-world driving behaviors and socioeconomic conditions, relevant predictions are often not based on real trip data. This study analyzes over 200,000 private car trips, tracked via onboard telematics across Italy, in order to assess the feasibility of replacing internal combustion engine vehicles (ICEVs) with BEVs. Given that drivers are resistant to changing their habits, we introduce the E-Private Mobility Index, which quantifies the percentage of traditional cars at present that are functionally compatible with a medium BEV, assuming home charging. Nationwide, this index reaches 30%, but only 15% of car owners would also see financial benefits. By quantifying both the potential to replace traditional cars with electric ones and the associated economic impacts, our analysis supports sustainable mobility by offering insights into the rate of penetration of sustainable and green mobility, in line with the objectives of the European Green Deal. With its unprecedented statistical significance, the study not only provides a data-driven upper threshold of BEV penetration but also offers a flexible framework for shaping future policies, allowing the adaptation of parameters and assumptions to guide a scalable transition to electric private mobility.</w:t>
      </w:r>
    </w:p>
    <w:p>
      <w:pPr/>
      <w:r>
        <w:rPr>
          <w:b/>
        </w:rPr>
        <w:t>POSSIBLE 2024:</w:t>
      </w:r>
      <w:r>
        <w:t xml:space="preserve"> Investigating the Moderating Role of Government Incentive Policy on Consumer Adoption of Battery Electric Vehicles (BEV) in Malaysia — https://doi.org/10.6007/ijarbss/v14-i3/20992</w:t>
      </w:r>
    </w:p>
    <w:p>
      <w:pPr/>
      <w:r>
        <w:rPr>
          <w:b/>
        </w:rPr>
        <w:t>Shared claim-specific concepts:</w:t>
      </w:r>
      <w:r>
        <w:t xml:space="preserve"> adoption, bevs, better, bev; EU scope not established. This is a provisional connection, not an outcome finding.</w:t>
      </w:r>
    </w:p>
    <w:p>
      <w:pPr>
        <w:pStyle w:val="SourceNote"/>
      </w:pPr>
      <w:r>
        <w:rPr>
          <w:b/>
        </w:rPr>
        <w:t>Available abstract (not full text):</w:t>
      </w:r>
      <w:r>
        <w:t xml:space="preserve"> As concerns about climate change, global warming, and environmental degradation continue to escalate, the adoption of electric vehicles, particularly Battery Electric Vehicles (BEVs), has emerged as a promising solution for a more sustainable future. This study delves into the willingness of Malaysian consumers to embrace BEVs, with a specific focus on the moderating role of government incentives and policies. Drawing upon the Theory of Planned Behaviour (TPB) as the theoretical framework, this study extends the TPB model by incorporating four additional external variables to better understand the factors influencing adoption intention. Employing a quantitative research approach, this investigation utilizes a cross-sectional survey method to collect empirical data from car consumers across Malaysia. The survey instrument, adapted from previous studies, comprehensively assesses nine constructs relevant to this research. Data analysis will be conducted using Structural Equation Modelling (SEM), specifically employing the Partial Least Squares SEM (PLS-SEM) approach, to examine the formulated hypotheses. The findings of this study aim to shed light on the determinants of BEV adoption intention among Malaysian consumers, with implications for policymakers, automotive industry players, and researchers. Further research avenues are also proposed to deepen our understanding of the com</w:t>
      </w:r>
    </w:p>
    <w:p>
      <w:pPr/>
      <w:r>
        <w:rPr>
          <w:b/>
        </w:rPr>
        <w:t>POSSIBLE 2024:</w:t>
      </w:r>
      <w:r>
        <w:t xml:space="preserve"> Automated Parking Planning with Vision-Based BEV Approach — https://doi.org/10.48550/arxiv.2406.15430</w:t>
      </w:r>
    </w:p>
    <w:p>
      <w:pPr/>
      <w:r>
        <w:rPr>
          <w:b/>
        </w:rPr>
        <w:t>Shared claim-specific concepts:</w:t>
      </w:r>
      <w:r>
        <w:t xml:space="preserve"> demonstrates, bev; EU scope not established. This is a provisional connection, not an outcome finding.</w:t>
      </w:r>
    </w:p>
    <w:p>
      <w:pPr>
        <w:pStyle w:val="SourceNote"/>
      </w:pPr>
      <w:r>
        <w:rPr>
          <w:b/>
        </w:rPr>
        <w:t>Available abstract (not full text):</w:t>
      </w:r>
      <w:r>
        <w:t xml:space="preserve"> Automated Valet Parking (AVP) is a crucial component of advanced autonomous driving systems, focusing on the endpoint task within the "human-vehicle interaction" process to tackle the challenges of the "last mile".The perception module of the automated parking algorithm has evolved from local perception using ultrasonic radar and global scenario precise map matching for localization to a high-level map-free Birds Eye View (BEV) perception solution.The BEV scene places higher demands on the real-time performance and safety of automated parking planning tasks. This paper proposes an improved automated parking algorithm based on the A* algorithm, integrating vehicle kinematic models, heuristic function optimization, bidirectional search, and Bezier curve optimization to enhance the computational speed and real-time capabilities of the planning algorithm.Numerical optimization methods are employed to generate the final parking trajectory, ensuring the safety of the parking path. The proposed approach is experimentally validated in the commonly used industrial CARLA-ROS joint simulation environment. Compared to traditional algorithms, this approach demonstrates reduced computation time with more challenging collision-risk test cases and improved performance in comfort metrics.</w:t>
      </w:r>
    </w:p>
    <w:p>
      <w:pPr/>
      <w:r>
        <w:rPr>
          <w:b/>
        </w:rPr>
        <w:t>POSSIBLE 2023:</w:t>
      </w:r>
      <w:r>
        <w:t xml:space="preserve"> Exponential adoption of battery electric cars — https://doi.org/10.1371/journal.pone.0295692</w:t>
      </w:r>
    </w:p>
    <w:p>
      <w:pPr/>
      <w:r>
        <w:rPr>
          <w:b/>
        </w:rPr>
        <w:t>Shared claim-specific concepts:</w:t>
      </w:r>
      <w:r>
        <w:t xml:space="preserve"> suggest, adoption, bevs, bev, near, countries; EU scope visible. This is a provisional connection, not an outcome finding.</w:t>
      </w:r>
    </w:p>
    <w:p>
      <w:pPr>
        <w:pStyle w:val="SourceNote"/>
      </w:pPr>
      <w:r>
        <w:rPr>
          <w:b/>
        </w:rPr>
        <w:t>Available abstract (not full text):</w:t>
      </w:r>
      <w:r>
        <w:t xml:space="preserve"> The adoption of battery electric vehicles (BEVs) may significantly reduce greenhouse gas emissions caused by road transport. However, there is wide disagreement as to how soon battery electric vehicles will play a major role in overall transportation. Focusing on battery electric passenger cars, we analyze BEV adoption across 17 individual countries, Europe, and the World, and consistently find exponential growth trends. Modeling-based estimates of future adoption given past trends suggest system-wide adoption substantially faster than typical economic analyses have proposed so far. For instance, we estimate the majority of passenger cars in Europe to be electric by about 2031. Within regions, the predicted times of mass adoption are largely insensitive to model details. Despite significant differences in current electric fleet sizes across regions, their growth rates consistently indicate fast doubling times of approximately 15 months, hinting at radical economic and infrastructural consequences in the near future.</w:t>
      </w:r>
    </w:p>
    <w:p>
      <w:pPr/>
      <w:r>
        <w:rPr>
          <w:b/>
        </w:rPr>
        <w:t>POSSIBLE 2023:</w:t>
      </w:r>
      <w:r>
        <w:t xml:space="preserve"> Impacts of charging behavior on BEV charging infrastructure needs and energy use — https://doi.org/10.1016/j.trd.2023.103645</w:t>
      </w:r>
    </w:p>
    <w:p>
      <w:pPr/>
      <w:r>
        <w:rPr>
          <w:b/>
        </w:rPr>
        <w:t>Shared claim-specific concepts:</w:t>
      </w:r>
      <w:r>
        <w:t xml:space="preserve"> adoption, bevs, bev, charging, increased; EU scope visible. This is a provisional connection, not an outcome finding.</w:t>
      </w:r>
    </w:p>
    <w:p>
      <w:pPr>
        <w:pStyle w:val="SourceNote"/>
      </w:pPr>
      <w:r>
        <w:rPr>
          <w:b/>
        </w:rPr>
        <w:t>Available abstract (not full text):</w:t>
      </w:r>
      <w:r>
        <w:t xml:space="preserve"> Battery electric vehicles (BEVs) are vital in the sustainable future of transport systems. Increased BEV adoption makes the realistic assessment of charging infrastructure demand critical. The current literature on charging infrastructure often uses outdated charging behavior assumptions such as universal access to home chargers and the “Liquid-fuel” mental model. We simulate charging infrastructure needs using a large-scale agent-based simulation of Sweden with detailed individual characteristics, including dwelling types and activity patterns. The two state-of-art archetypes of charging behaviors, “Plan-ahead” and “Event-triggered”, mirror the current infrastructure built-up, suggesting 2.3–4.5 times more public chargers per BEV than the “Liquid-fuel” mental model. We also estimate roughly 30–150 BEVs served by a slow charger may be needed for non-home residential overnight charging.</w:t>
      </w:r>
    </w:p>
    <w:p>
      <w:pPr>
        <w:pStyle w:val="Heading2"/>
      </w:pPr>
      <w:r>
        <w:t>566.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pStyle w:val="Heading2"/>
      </w:pPr>
      <w:r>
        <w:t>567.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r>
        <w:rPr>
          <w:b/>
        </w:rPr>
        <w:t>POSSIBLE 2023:</w:t>
      </w:r>
      <w:r>
        <w:t xml:space="preserve"> Ecological Indicator Values for Europe (EIVE) 1.0 — https://doi.org/10.3897/vcs.98324</w:t>
      </w:r>
    </w:p>
    <w:p>
      <w:pPr/>
      <w:r>
        <w:rPr>
          <w:b/>
        </w:rPr>
        <w:t>Shared claim-specific concepts:</w:t>
      </w:r>
      <w:r>
        <w:t xml:space="preserve"> addition, values, database; EU scope visible. This is a provisional connection, not an outcome finding.</w:t>
      </w:r>
    </w:p>
    <w:p>
      <w:pPr>
        <w:pStyle w:val="SourceNote"/>
      </w:pPr>
      <w:r>
        <w:rPr>
          <w:b/>
        </w:rPr>
        <w:t>Available abstract (not full text):</w:t>
      </w:r>
      <w:r>
        <w:t xml:space="preserve">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pPr/>
      <w:r>
        <w:rPr>
          <w:b/>
        </w:rPr>
        <w:t>POSSIBLE 2022:</w:t>
      </w:r>
      <w:r>
        <w:t xml:space="preserve"> The Effect of COVID-19 on the Value Relevance of European Firms’ Financial Statements — https://doi.org/10.33094/ijaefa.v14i1.661</w:t>
      </w:r>
    </w:p>
    <w:p>
      <w:pPr/>
      <w:r>
        <w:rPr>
          <w:b/>
        </w:rPr>
        <w:t>Shared claim-specific concepts:</w:t>
      </w:r>
      <w:r>
        <w:t xml:space="preserve"> addition, compared, countries, almost, same; EU scope visible. This is a provisional connection, not an outcome finding.</w:t>
      </w:r>
    </w:p>
    <w:p>
      <w:pPr>
        <w:pStyle w:val="SourceNote"/>
      </w:pPr>
      <w:r>
        <w:rPr>
          <w:b/>
        </w:rPr>
        <w:t>Available abstract (not full text):</w:t>
      </w:r>
      <w:r>
        <w:t xml:space="preserve"> The main topic of this study was the value relevance of accounting information. It employed a sample of 1,645 companies listed on the stock exchanges of the top six European Economies (in terms of GDP) – France, Germany, Italy, the Netherlands, Spain and the United Kingdom – for the period 2010-2020. The study’s analysis was based on the Ohlson model and used linear regression. The paper examines the difference between these countries in terms of value relevance. In addition, the paper examines the effects that the Covid-19 pandemic outbreak had on the value relevance of financial statements. The purpose is to examine how investors have been affected by the pandemic and the influence it has had on the importance of financial statements and specific accounting variables. Furthermore, we compare the importance of the two most significant accounting variables, earnings and book value (equity) before and after the pandemic. The results suggest that the explanatory power of financial statements is almost the same for all countries, except Germany, where it is significantly higher. The explanatory power of financial statements decreased in all countries after the start of the pandemic. Moreover, in most countries, earnings seem to have lost value relevance compared with book value due to the financial crisis.</w:t>
      </w:r>
    </w:p>
    <w:p>
      <w:pPr/>
      <w:r>
        <w:rPr>
          <w:b/>
        </w:rPr>
        <w:t>POSSIBLE 2022:</w:t>
      </w:r>
      <w:r>
        <w:t xml:space="preserve"> Ellenberg‐type indicator values for European vascular plant species — https://doi.org/10.1111/jvs.13168</w:t>
      </w:r>
    </w:p>
    <w:p>
      <w:pPr/>
      <w:r>
        <w:rPr>
          <w:b/>
        </w:rPr>
        <w:t>Shared claim-specific concepts:</w:t>
      </w:r>
      <w:r>
        <w:t xml:space="preserve"> compared, values, according, type;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Yugoslavs and Europeans Compared — https://doi.org/10.20901/pm.59.2.03</w:t>
      </w:r>
    </w:p>
    <w:p>
      <w:pPr/>
      <w:r>
        <w:rPr>
          <w:b/>
        </w:rPr>
        <w:t>Shared claim-specific concepts:</w:t>
      </w:r>
      <w:r>
        <w:t xml:space="preserve"> compared, findings, countries; EU scope visible. This is a provisional connection, not an outcome finding.</w:t>
      </w:r>
    </w:p>
    <w:p>
      <w:pPr>
        <w:pStyle w:val="SourceNote"/>
      </w:pPr>
      <w:r>
        <w:rPr>
          <w:b/>
        </w:rPr>
        <w:t>Available abstract (not full text):</w:t>
      </w:r>
      <w:r>
        <w:t xml:space="preserve"> Drawing on Sekulić, Massey and Hodson’s seminal article ‘Who were the‎ Yugoslavs?’, this paper compares the share and determinants of identifying as‎ Yugoslavs during socialism with the panorama of primary European identification.‎ Eurobarometer surveys containing data on European identification are‎ utilized to that end. The study takes in consideration social and political contexts ‎that shaped supranational identification in particular Yugoslav socialist‎ republics and EU member states. Our findings show low levels of Europeans‎ and Yugoslavs in both polities. The results also show that nationally specific‎ contexts affect both the prevalence of European identification and its determinants.‎ There are considerable differences in the level of European identification‎ among EU countries, and statistical analyses of the Belgian, French and‎ German cases further showed that different factors shape it. Of all the variables,‎ non-exclusive nationalities have been the strongest predictors of supranational ‎identification in both Socialist Yugoslavia and the EU.‎</w:t>
      </w:r>
    </w:p>
    <w:p>
      <w:pPr>
        <w:pStyle w:val="Heading2"/>
      </w:pPr>
      <w:r>
        <w:t>568.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r>
        <w:rPr>
          <w:b/>
        </w:rPr>
        <w:t>POSSIBLE 2025:</w:t>
      </w:r>
      <w:r>
        <w:t xml:space="preserve"> How Service Exclusion Affects Rural Depopulation. An Approach Based on Structural Equation Modelling — https://doi.org/10.1111/soru.70005</w:t>
      </w:r>
    </w:p>
    <w:p>
      <w:pPr/>
      <w:r>
        <w:rPr>
          <w:b/>
        </w:rPr>
        <w:t>Shared claim-specific concepts:</w:t>
      </w:r>
      <w:r>
        <w:t xml:space="preserve"> abstract, depopulation, structural; EU scope visible. This is a provisional connection, not an outcome finding.</w:t>
      </w:r>
    </w:p>
    <w:p>
      <w:pPr>
        <w:pStyle w:val="SourceNote"/>
      </w:pPr>
      <w:r>
        <w:rPr>
          <w:b/>
        </w:rPr>
        <w:t>Available abstract (not full text):</w:t>
      </w:r>
      <w:r>
        <w:t xml:space="preserve">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pPr/>
      <w:r>
        <w:rPr>
          <w:b/>
        </w:rPr>
        <w:t>POSSIBLE 2024:</w:t>
      </w:r>
      <w:r>
        <w:t xml:space="preserve"> Depopulation in the Central Apennines in the Twentieth Century: An Empirical Investigation — https://doi.org/10.1007/s40797-024-00295-1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We propose an empirical investigation of the population dynamics between 1931 and 2011 in a mountain area in Italy. The main novelty of our work is the usage of sub-municipal data, which makes it possible to disentangle several drivers of the overall depopulation trend. All these factors had been considered previously by separate strands of literature, but never jointly, as we do. One of our most interesting results is that different factors operate in different historical periods. Therefore, we use a flexible strategy by which we divide the sample in four different 20-year spans and adopt a different statistical model for each. Another notable result is that an appropriate quantitative description of the phenomenon must take into account the disappearance of inhabited centres separately from their size in terms on inhabitants. Consequently, the concept of local community is crucial for a systematic understanding of population change and “place-sensitive” policies in remote mountain areas.</w:t>
      </w:r>
    </w:p>
    <w:p>
      <w:pPr/>
      <w:r>
        <w:rPr>
          <w:b/>
        </w:rPr>
        <w:t>POSSIBLE 2024:</w:t>
      </w:r>
      <w:r>
        <w:t xml:space="preserve"> Urban Shrinkage Research — https://doi.org/10.14398/urpr.11.113</w:t>
      </w:r>
    </w:p>
    <w:p>
      <w:pPr/>
      <w:r>
        <w:rPr>
          <w:b/>
        </w:rPr>
        <w:t>Shared claim-specific concepts:</w:t>
      </w:r>
      <w:r>
        <w:t xml:space="preserve"> shrinkage, related, also, shrinking; EU scope visible. This is a provisional connection, not an outcome finding.</w:t>
      </w:r>
    </w:p>
    <w:p>
      <w:pPr>
        <w:pStyle w:val="SourceNote"/>
      </w:pPr>
      <w:r>
        <w:rPr>
          <w:b/>
        </w:rPr>
        <w:t>Available abstract (not full text):</w:t>
      </w:r>
      <w:r>
        <w:t xml:space="preserve"> Urban shrinkage has emerged as a global phenomenon in recent decades, attracting increasing attention from scholars since the early 2000s, with broader geographical scope and research topics. However, there is a lack of systematic reviews encompassing the evolution of discourse, shifting focus, and national context comparisons. This research analyzed 98 articles directly related to urban shrinkage studies from both qualitative and quantitative perspectives to provide a comprehensive overview of current research. The results show that research on shrinking cities emerged in the 2000s, and it has received worldwide attention, with significant studies conducted in the United States, Germany, Japan, and China. Most of the studies have been conducted at the city level. The most prevalent topics are the causes of urban shrinkage and response policies. The perception of urban shrinkage shows a change from unacceptance to acceptance, and the coping strategies have been adjusted accordingly. There are two main planning paradigms: growth-oriented planning and shrinkage-adapted planning. While many scholars have advocated for approaches like “smart shrinkage” and “right-sizing,” some studies have questioned their feasibility and effectiveness. Among the specific coping strategies, economic restructuring and addressing vacancy issues are the focus of attention. Additionally, the discourse </w:t>
      </w:r>
    </w:p>
    <w:p>
      <w:pPr/>
      <w:r>
        <w:rPr>
          <w:b/>
        </w:rPr>
        <w:t>POSSIBLE 2023:</w:t>
      </w:r>
      <w:r>
        <w:t xml:space="preserve"> New Perspectives for the Building Heritage in Depopulated Areas: A Methodological Approach for Evaluating Sustainable Reuse and Upcycling Strategies — https://doi.org/10.1007/978-3-031-29515-7_68</w:t>
      </w:r>
    </w:p>
    <w:p>
      <w:pPr/>
      <w:r>
        <w:rPr>
          <w:b/>
        </w:rPr>
        <w:t>Shared claim-specific concepts:</w:t>
      </w:r>
      <w:r>
        <w:t xml:space="preserve"> abstract, shrinkage, depopulation, territories, areas, offering; EU scope visible. This is a provisional connection, not an outcome finding.</w:t>
      </w:r>
    </w:p>
    <w:p>
      <w:pPr>
        <w:pStyle w:val="SourceNote"/>
      </w:pPr>
      <w:r>
        <w:rPr>
          <w:b/>
        </w:rPr>
        <w:t>Available abstract (not full text):</w:t>
      </w:r>
      <w:r>
        <w:t xml:space="preserve"> Abstract The building reuse can reduce both consumption of non-renewable resources and production of construction and demolition waste, preserving the architectural and constructive culture. The progressive depopulation of the European inner areas is an opportunity to discuss the potential of reuse and sustainable adaptation of extensive heritage sites to cope with abandonment processes. The study of depopulation processes, as well as the investigation of case studies, allows to analyze the main strategies implemented to regenerate and repopulate abandoned inner areas, to highlight successful approaches and intervention criteria. In this scenario, “smart shrinkage” emerges as a powerful strategy to systemize resources and values embedded in the territories. On the basis of the economic-territorial interpretation of the performance decay process of buildings and settlement systems, developed by the research group of the Universities of Sassari and Catania, the paper proposes a multi-scale methodological approach for the evaluation of enhancement strategies and technological upcycling. The research links building performance with the urban and territorial values, integrating the Performance-Based Building Design in an axiological approach based on the solidarity between functions and values, referring to the economic category of human and urban capital. The model is tailored to t</w:t>
      </w:r>
    </w:p>
    <w:p>
      <w:pPr>
        <w:pStyle w:val="Heading2"/>
      </w:pPr>
      <w:r>
        <w:t>569.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2023:</w:t>
      </w:r>
      <w:r>
        <w:t xml:space="preserve"> European Exchanges, Networks and Contexts — https://doi.org/10.3366/edinburgh/9781474499170.003.0016</w:t>
      </w:r>
    </w:p>
    <w:p>
      <w:pPr/>
      <w:r>
        <w:rPr>
          <w:b/>
        </w:rPr>
        <w:t>Shared claim-specific concepts:</w:t>
      </w:r>
      <w:r>
        <w:t xml:space="preserve"> took, account, distribution, well; EU scope visible. This is a provisional connection, not an outcome finding.</w:t>
      </w:r>
    </w:p>
    <w:p>
      <w:pPr>
        <w:pStyle w:val="SourceNote"/>
      </w:pPr>
      <w:r>
        <w:rPr>
          <w:b/>
        </w:rPr>
        <w:t>Available abstract (not full text):</w:t>
      </w:r>
      <w:r>
        <w:t xml:space="preserve"> This chapter investigates the development and integration of European news communication along with the formation of new types of news publication capable of conveying details and impressions of a rapidly changing geopolitical order to the first mass audiences. Particularly fertile generators of new genres were the Thirty Years War and English Civil War, which in turn received the effects of news distribution while supplying new material for consumption. New research demonstrates, for instance, that events occurring as far away as Naples were discussed in London, whereas Neapolitans took cues from regime-changing episodes in Civil War Britain. The study takes account of recent studies tending to emphasise continuities as well as discontinuities, not only between the press history of Britain and Ireland and the press history of neighbouring states, but also between the history of printed newspapers and of older media types.</w:t>
      </w:r>
    </w:p>
    <w:p>
      <w:pPr/>
      <w:r>
        <w:rPr>
          <w:b/>
        </w:rPr>
        <w:t>POSSIBLE 2022:</w:t>
      </w:r>
      <w:r>
        <w:t xml:space="preserve"> Urbanization the Eastern Borders of Old Europe — https://doi.org/10.15388/archlit.2022.23.12</w:t>
      </w:r>
    </w:p>
    <w:p>
      <w:pPr/>
      <w:r>
        <w:rPr>
          <w:b/>
        </w:rPr>
        <w:t>Shared claim-specific concepts:</w:t>
      </w:r>
      <w:r>
        <w:t xml:space="preserve"> took, account, materials; EU scope visible. This is a provisional connection, not an outcome finding.</w:t>
      </w:r>
    </w:p>
    <w:p>
      <w:pPr>
        <w:pStyle w:val="SourceNote"/>
      </w:pPr>
      <w:r>
        <w:rPr>
          <w:b/>
        </w:rPr>
        <w:t>Available abstract (not full text):</w:t>
      </w:r>
      <w:r>
        <w:t xml:space="preserve"> Maria Gimbutas created an impressive picture of Old Europe, using, among others, materials from Trypillia Culture. From the very beginning, she took into account new archaeological discoveries from the 70s of the 20th century, namely, information about the large settlements. But fifty years ago, their studies were just beginning and this topic was not particularly popular among researchers outside of Ukraine. Today, news about life on the eastern borders of Old Europe, where these megasites, appeared more than 6000 years ago, appeares on the pages of leading archaeological publications and becomes the subject of discussions among archaeologists from different countries.</w:t>
      </w:r>
    </w:p>
    <w:p>
      <w:pPr>
        <w:pStyle w:val="Heading2"/>
      </w:pPr>
      <w:r>
        <w:t>570.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r>
        <w:rPr>
          <w:b/>
        </w:rPr>
        <w:t>POSSIBLE 2024:</w:t>
      </w:r>
      <w:r>
        <w:t xml:space="preserve"> Systemic effects of hypophosphatasia characterization of two novel variants in the ALPL gene — https://doi.org/10.3389/fendo.2023.1320516</w:t>
      </w:r>
    </w:p>
    <w:p>
      <w:pPr/>
      <w:r>
        <w:rPr>
          <w:b/>
        </w:rPr>
        <w:t>Shared claim-specific concepts:</w:t>
      </w:r>
      <w:r>
        <w:t xml:space="preserve"> systemic, variant, main; EU scope not established. This is a provisional connection, not an outcome finding.</w:t>
      </w:r>
    </w:p>
    <w:p>
      <w:pPr>
        <w:pStyle w:val="SourceNote"/>
      </w:pPr>
      <w:r>
        <w:rPr>
          <w:b/>
        </w:rPr>
        <w:t>Available abstract (not full text):</w:t>
      </w:r>
      <w:r>
        <w:t xml:space="preserve">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pStyle w:val="Heading2"/>
      </w:pPr>
      <w:r>
        <w:t>571.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2023:</w:t>
      </w:r>
      <w:r>
        <w:t xml:space="preserve"> Analysis of the European Strategy for Hydrogen: A Comprehensive Review — https://doi.org/10.3390/en16093866</w:t>
      </w:r>
    </w:p>
    <w:p>
      <w:pPr/>
      <w:r>
        <w:rPr>
          <w:b/>
        </w:rPr>
        <w:t>Shared claim-specific concepts:</w:t>
      </w:r>
      <w:r>
        <w:t xml:space="preserve"> all, strategies, developed, union, within; EU scope visible. This is a provisional connection, not an outcome finding.</w:t>
      </w:r>
    </w:p>
    <w:p>
      <w:pPr>
        <w:pStyle w:val="SourceNote"/>
      </w:pPr>
      <w:r>
        <w:rPr>
          <w:b/>
        </w:rPr>
        <w:t>Available abstract (not full text):</w:t>
      </w:r>
      <w:r>
        <w:t xml:space="preserve"> This review focuses on analysing the strategy and aspirations of the European Union within the hydrogen sector. This aim is achieved through the examination of the European Parliament’s hydrogen strategy, allowing for a study of actions and projects in hydrogen technologies. The Parliament’s hydrogen strategy is the document that provides the guideline of how the EU intends to function in the hydrogen sector and manages to cover a wide range of topics, all of them significant to represent the entirety of the hydrogen sector. It touches on subjects such as hydrogen demand, infrastructure, research, and standards, among others. The review discusses also the aspect that the EU intends to be a leader in the hydrogen sector, including the large-scale industrialization of key elements such as electrolysers, and this purpose is corroborated by the large number of associations, strategies, plans, and projects that are being established and developed by the European Union. The most important conclusions to learn from this analysis are that hydrogen has many of the right characteristics to make it the key to decarbonisation, especially in hard-to-abate sectors, and that it is bound to be one of the main actors in the imminent green transition. Moreover, hydrogen seems to be having its breakthrough, and this field’s development can have benefits not only from an environmental perspective </w:t>
      </w:r>
    </w:p>
    <w:p>
      <w:pPr/>
      <w:r>
        <w:rPr>
          <w:b/>
        </w:rPr>
        <w:t>POSSIBLE 2023:</w:t>
      </w:r>
      <w:r>
        <w:t xml:space="preserve"> Digital Health Reimbursement Strategies of 8 European Countries and Israel: Scoping Review and Policy Mapping — https://doi.org/10.2196/49003</w:t>
      </w:r>
    </w:p>
    <w:p>
      <w:pPr/>
      <w:r>
        <w:rPr>
          <w:b/>
        </w:rPr>
        <w:t>Shared claim-specific concepts:</w:t>
      </w:r>
      <w:r>
        <w:t xml:space="preserve"> all, strategies, basis, possible, within; EU scope visible. This is a provisional connection, not an outcome finding.</w:t>
      </w:r>
    </w:p>
    <w:p>
      <w:pPr>
        <w:pStyle w:val="SourceNote"/>
      </w:pPr>
      <w:r>
        <w:rPr>
          <w:b/>
        </w:rPr>
        <w:t>Available abstract (not full text):</w:t>
      </w:r>
      <w:r>
        <w:t xml:space="preserve"> BACKGROUND: The adoption of digital health care within health systems is determined by various factors, including pricing and reimbursement. The reimbursement landscape for digital health in Europe remains underresearched. Although various emergency reimbursement decisions were made during the COVID-19 pandemic to enable health care delivery through videoconferencing and asynchronous care (eg, digital apps), research so far has primarily focused on the policy innovations that facilitated this outside of Europe. OBJECTIVE: This study examines the digital health reimbursement strategies in 8 European countries (Belgium, France, Germany, Italy, the Netherlands, Poland, Sweden, and the United Kingdom) and Israel. METHODS: We mapped available digital health reimbursement strategies using a scoping review and policy mapping framework. We reviewed the literature on the MEDLINE, Embase, Global Health, and Web of Science databases. Supplementary records were identified through Google Scholar and country experts. RESULTS: Our search strategy yielded a total of 1559 records, of which 40 (2.57%) were ultimately included in this study. As of August 2023, digital health solutions are reimbursable to some extent in all studied countries except Poland, although the mechanism of reimbursement differs significantly across countries. At the time of writing, the pricing of digital health solutions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all, strategies, increase;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Investing in AI for social good: an analysis of European national strategies — https://doi.org/10.1007/s00146-022-01445-8</w:t>
      </w:r>
    </w:p>
    <w:p>
      <w:pPr/>
      <w:r>
        <w:rPr>
          <w:b/>
        </w:rPr>
        <w:t>Shared claim-specific concepts:</w:t>
      </w:r>
      <w:r>
        <w:t xml:space="preserve"> all, strategies, union, possible, commission; EU scope visible. This is a provisional connection, not an outcome finding.</w:t>
      </w:r>
    </w:p>
    <w:p>
      <w:pPr>
        <w:pStyle w:val="SourceNote"/>
      </w:pPr>
      <w:r>
        <w:rPr>
          <w:b/>
        </w:rPr>
        <w:t>Available abstract (not full text):</w:t>
      </w:r>
      <w:r>
        <w:t xml:space="preserve"> Artificial Intelligence (AI) has become a driving force in modern research, industry and public administration and the European Union (EU) is embracing this technology with a view to creating societal, as well as economic, value. This effort has been shared by EU Member States which were all encouraged to develop their own national AI strategies outlining policies and investment levels. This study focuses on how EU Member States are approaching the promise to develop and use AI for the good of society through the lens of their national AI strategies. In particular, we aim to investigate how European countries are investing in AI and to what extent the stated plans contribute to the good of people and society as a whole. Our contribution consists of three parts: (i) a conceptualization of AI for social good highlighting the role of AI policy, in particular, the one put forward by the European Commission (EC); (ii) a qualitative analysis of 15 European national strategies mapping investment plans and suggesting their relation to the social good (iii) a reflection on the current status of investments in socially good AI and possible steps to move forward. Our study suggests that while European national strategies incorporate money allocations in the sphere of AI for social good (e.g. education), there is a broader variety of underestimated actions (e.g. multidisciplinary approach </w:t>
      </w:r>
    </w:p>
    <w:p>
      <w:pPr>
        <w:pStyle w:val="Heading2"/>
      </w:pPr>
      <w:r>
        <w:t>572.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2024:</w:t>
      </w:r>
      <w:r>
        <w:t xml:space="preserve"> Phytoliths in dicotyledons occurring in Northwest Europe: establishing a baseline — https://doi.org/10.1093/aob/mcae217</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pPr/>
      <w:r>
        <w:rPr>
          <w:b/>
        </w:rPr>
        <w:t>POSSIBLE 2024:</w:t>
      </w:r>
      <w:r>
        <w:t xml:space="preserve"> Baseline matters: Challenges and implications of different marine heatwave baselines — https://doi.org/10.1016/j.pocean.2024.103404</w:t>
      </w:r>
    </w:p>
    <w:p>
      <w:pPr/>
      <w:r>
        <w:rPr>
          <w:b/>
        </w:rPr>
        <w:t>Shared claim-specific concepts:</w:t>
      </w:r>
      <w:r>
        <w:t xml:space="preserve"> suggest, baseline, strategies; EU scope not established. This is a provisional connection, not an outcome finding.</w:t>
      </w:r>
    </w:p>
    <w:p>
      <w:pPr>
        <w:pStyle w:val="SourceNote"/>
      </w:pPr>
      <w:r>
        <w:rPr>
          <w:b/>
        </w:rPr>
        <w:t>Available abstract (not full text):</w:t>
      </w:r>
      <w:r>
        <w:t xml:space="preserve">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Treatment gaps in the implementation of LDL cholesterol control among high- and very high-risk patients in Europe between 2020 and 2021: the multinational observational SANTORINI study — https://doi.org/10.1016/j.lanepe.2023.100624</w:t>
      </w:r>
    </w:p>
    <w:p>
      <w:pPr/>
      <w:r>
        <w:rPr>
          <w:b/>
        </w:rPr>
        <w:t>Shared claim-specific concepts:</w:t>
      </w:r>
      <w:r>
        <w:t xml:space="preserve"> findings, suggest, baseline; EU scope visible. This is a provisional connection, not an outcome finding.</w:t>
      </w:r>
    </w:p>
    <w:p>
      <w:pPr>
        <w:pStyle w:val="SourceNote"/>
      </w:pPr>
      <w:r>
        <w:rPr>
          <w:b/>
        </w:rPr>
        <w:t>Available abstract (not full text):</w:t>
      </w:r>
      <w:r>
        <w:t xml:space="preserve"> Background: European data pre-2019 suggest statin monotherapy is the most common approach to lipid management for preventing cardiovascular (CV) events, resulting in only one-fifth of high- and very high-risk patients achieving the 2019 ESC/EAS recommended low-density lipoprotein cholesterol (LDL-C) goals. Whether the treatment landscape has evolved, or gaps persist remains of interest. Methods: Baseline data are presented from SANTORINI, an observational, prospective study that documents the use of lipid-lowering therapies (LLTs) in patients ≥18 years at high or very high CV risk between 2020 and 2021 across primary and secondary care settings in 14 European countries. Findings: Of 9602 enrolled patients, 9044 with complete data were included (mean age: 65.3 ± 10.9 years; 72.6% male). Physicians reported using 2019 ESC/EAS guidelines as a basis for CV risk classification in 52.0% (4706/9044) of patients (overall: high risk 29.2%; very high risk 70.8%). However, centrally re-assessed CV risk based on 2019 ESC/EAS guidelines suggested 6.5% (308/4706) and 91.0% (4284/4706) were high- and very high-risk patients, respectively. Overall, 21.8% of patients had no documented LLTs, 54.2% were receiving monotherapy and 24.0% combination LLT. Median (interquartile range [IQR]) LDL-C was 2.1 (1.6, 3.0) mmol/L (82 [60, 117] mg/dL), with 20.1% of patients achieving risk-based LDL-C goals as</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suggest, conclusions;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Social isolation, loneliness, and incident type 2 diabetes mellitus: results from two large prospective cohorts in Europe and East Asia and Mendelian randomization — https://doi.org/10.1016/j.eclinm.2023.102236</w:t>
      </w:r>
    </w:p>
    <w:p>
      <w:pPr/>
      <w:r>
        <w:rPr>
          <w:b/>
        </w:rPr>
        <w:t>Shared claim-specific concepts:</w:t>
      </w:r>
      <w:r>
        <w:t xml:space="preserve"> findings, baseline, strategies; EU scope visible. This is a provisional connection, not an outcome finding.</w:t>
      </w:r>
    </w:p>
    <w:p>
      <w:pPr>
        <w:pStyle w:val="SourceNote"/>
      </w:pPr>
      <w:r>
        <w:rPr>
          <w:b/>
        </w:rPr>
        <w:t>Available abstract (not full text):</w:t>
      </w:r>
      <w:r>
        <w:t xml:space="preserve"> Background: Social isolation and loneliness pose significant public health challenges globally. The objective of this study is to investigate the association between social isolation, loneliness, and the risk of type 2 diabetes mellitus (T2DM). Methods: 423,503 UK adults from the UK Biobank (UKB) and 13,800 Chinese adults from the China Health and Retirement Longitudinal Study (CHARLS) were analyzed. The exposures of interest were social isolation and loneliness. Social isolation was evaluated based on the number of household members, frequency of social activities, contact with others, and marriage status (CHARLS only). Loneliness was evaluated by the subjective feeling of loneliness and the willingness to confide in others (UKB only). The primary endpoint was incident T2DM. The two-sample Mendelian randomization (MR) analysis was based on the genome-wide association studies of UKB (n = 463,010) and the European Bioinformatics Institute (n = 655,666). Findings: The UKB cohort study documented 15,072 T2DM cases during a mean follow-up of 13.5 years, and the CHARLS cohort study recorded 1,249 T2DM cases during a mean follow-up of 5.8 years. Social isolation and loneliness showed significant associations with an elevated risk of T2DM in both UKB (social isolation [most vs least]: HR 1.17, 95% CI 1.11-1.23; loneliness [yes vs no]: HR 1.21, 95% CI 1.13-1.30) and CHARLS cohorts (soc</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findings, suggest, baseline;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pStyle w:val="Heading2"/>
      </w:pPr>
      <w:r>
        <w:t>573.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Bias-adjusting for underestimated large-scale European warming in regional climate model simulations and implications for future extremes — https://doi.org/10.5194/egusphere-egu24-18186</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pPr/>
      <w:r>
        <w:rPr>
          <w:b/>
        </w:rPr>
        <w:t>POSSIBLE 2023:</w:t>
      </w:r>
      <w:r>
        <w:t xml:space="preserve"> A roadmap to estimating agricultural ammonia volatilization over Europe using satellite observations and simulation data — https://doi.org/10.5194/acp-23-12505-2023</w:t>
      </w:r>
    </w:p>
    <w:p>
      <w:pPr/>
      <w:r>
        <w:rPr>
          <w:b/>
        </w:rPr>
        <w:t>Shared claim-specific concepts:</w:t>
      </w:r>
      <w:r>
        <w:t xml:space="preserve"> simulations, show, increase; EU scope visible. This is a provisional connection, not an outcome finding.</w:t>
      </w:r>
    </w:p>
    <w:p>
      <w:pPr>
        <w:pStyle w:val="SourceNote"/>
      </w:pPr>
      <w:r>
        <w:rPr>
          <w:b/>
        </w:rPr>
        <w:t>Available abstract (not full text):</w:t>
      </w:r>
      <w:r>
        <w:t xml:space="preserve">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pPr/>
      <w:r>
        <w:rPr>
          <w:b/>
        </w:rPr>
        <w:t>POSSIBLE 2023:</w:t>
      </w:r>
      <w:r>
        <w:t xml:space="preserve"> Validating EURO-CORDEX climate simulations for modelling European wind power generation — https://doi.org/10.1016/j.renene.2023.118989</w:t>
      </w:r>
    </w:p>
    <w:p>
      <w:pPr/>
      <w:r>
        <w:rPr>
          <w:b/>
        </w:rPr>
        <w:t>Shared claim-specific concepts:</w:t>
      </w:r>
      <w:r>
        <w:t xml:space="preserve"> simulations, show, lower; EU scope visible. This is a provisional connection, not an outcome finding.</w:t>
      </w:r>
    </w:p>
    <w:p>
      <w:pPr>
        <w:pStyle w:val="SourceNote"/>
      </w:pPr>
      <w:r>
        <w:rPr>
          <w:b/>
        </w:rPr>
        <w:t>Available abstract (not full text):</w:t>
      </w:r>
      <w:r>
        <w:t xml:space="preserve"> As the energy system becomes increasingly dependent on intermittent meteorological sources, there is a need to understand better the possible consequences of a changing climate on weather variability and how it will affect wind power generation in the future. Most previous validation studies of regional climate datasets focus on the distributional properties or, in fewer cases, the variability at lower frequencies, such as interannual and seasonal. However, accurate wind variability at a high-enough resolution (e.g., hourly) is crucial for many aspects of power and energy system analyses. Using European country-level wind generation data and metrics relevant to power and energy system applications, we validate the wind speed output from seven regional climate models from the EURO-CORDEX project. We show that the EURO-CORDEX models adjusted with the Global Wind Atlas (GWA2) can simulate temporal dependencies and generation distributions with accuracy similar to or better than the ERA5 reanalysis. The spatial correlations, however, are exaggerated compared to observations by most analysed models. Assuming the GWA2 scaling is also valid for the future, the projections under the RCP8.5 scenario show a slight negative trend (2026--2065) in capacity factors for most analysed European countries.</w:t>
      </w:r>
    </w:p>
    <w:p>
      <w:pPr/>
      <w:r>
        <w:rPr>
          <w:b/>
        </w:rPr>
        <w:t>POSSIBLE 2022:</w:t>
      </w:r>
      <w:r>
        <w:t xml:space="preserve"> Numerical simulation of the impact of COVID-19 lockdown on tropospheric composition and aerosol radiative forcing in Europe — https://doi.org/10.5194/acp-22-10901-2022</w:t>
      </w:r>
    </w:p>
    <w:p>
      <w:pPr/>
      <w:r>
        <w:rPr>
          <w:b/>
        </w:rPr>
        <w:t>Shared claim-specific concepts:</w:t>
      </w:r>
      <w:r>
        <w:t xml:space="preserve"> mobility, increase, lower; EU scope visible. This is a provisional connection, not an outcome finding.</w:t>
      </w:r>
    </w:p>
    <w:p>
      <w:pPr>
        <w:pStyle w:val="SourceNote"/>
      </w:pPr>
      <w:r>
        <w:rPr>
          <w:b/>
        </w:rPr>
        <w:t>Available abstract (not full text):</w:t>
      </w:r>
      <w:r>
        <w:t xml:space="preserve"> Abstract. Aerosols influence the Earth’s energy balance through direct radiative effects and indirectly by altering the cloud micro-physics. Anthropogenic aerosol emissions dropped considerably when the global COVID–19 pandemic resulted in severe restraints on mobility, production, and public life in spring 2020. Here we assess the effects of these reduced emissions on direct and indirect aerosol radiative forcing over Europe, excluding contributions from contrails. We simulate the atmospheric com- position with the ECHAM5/MESSy Atmospheric Chemistry (EMAC) model in a baseline (business as usual) and a reduced emission scenario. The model results are compared to aircraft observations from the BLUESKY aircraft campaign performed in May/June 2020 over Europe. The model agrees well with most of the observations, except for sulfur dioxide, particulate sulfate and nitrate in the upper troposphere, likely due to a somewhat biased representation of stratospheric aerosol chemistry and missing information about volcanic eruptions which could have influenced the campaign. The comparison with a business as usual scenario shows that the largest relative differences for tracers and aerosols are found in the upper troposphere, around the aircraft cruise altitude, due to the reduced aircraft emissions, while the largest absolute changes are present at the surface. We also find an increase in </w:t>
      </w:r>
    </w:p>
    <w:p>
      <w:pPr/>
      <w:r>
        <w:rPr>
          <w:b/>
        </w:rPr>
        <w:t>POSSIBLE 2022:</w:t>
      </w:r>
      <w:r>
        <w:t xml:space="preserve"> The Effects of Soil Improving Cropping Systems (SICS) on Soil Erosion and Soil Organic Carbon Stocks across Europe: A Simulation Study — https://doi.org/10.3390/land11060943</w:t>
      </w:r>
    </w:p>
    <w:p>
      <w:pPr/>
      <w:r>
        <w:rPr>
          <w:b/>
        </w:rPr>
        <w:t>Shared claim-specific concepts:</w:t>
      </w:r>
      <w:r>
        <w:t xml:space="preserve"> simulations, show, without, increase; EU scope visible. This is a provisional connection, not an outcome finding.</w:t>
      </w:r>
    </w:p>
    <w:p>
      <w:pPr>
        <w:pStyle w:val="SourceNote"/>
      </w:pPr>
      <w:r>
        <w:rPr>
          <w:b/>
        </w:rPr>
        <w:t>Available abstract (not full text):</w:t>
      </w:r>
      <w:r>
        <w:t xml:space="preserve"> Healthy soils are fundamental for sustainable agriculture. Soil Improving Cropping Systems (SICS) aim to make land use and food production more sustainable. To evaluate the effect of SICS at EU scale, a modelling approach was taken. This study simulated the effects of SICS on two principal indicators of soil health (Soil Organic Carbon stocks) and land degradation (soil erosion) across Europe using the spatially explicit PESERA model. Four scenarios with varying levels and combinations of cover crops, mulching, soil compaction alleviation and minimum tillage were implemented and simulated until 2050. Results showed that while in the scenario without SICS, erosion slightly increased on average across Europe, it significantly decreased in the scenario with the highest level of SICS applied, especially in the cropping areas in the central European Loess Belt. Regarding SOC stocks, the simulations show a substantial decrease for the scenario without SICS and a slight overall decrease for the medium level scenario and the scenario with a mix of high, medium and no SICS. The scenario with a high level of SICS implementation showed an overall increase in SOC stocks across Europe. Potential future improvements include incorporating dynamic land use, climate change and an optimal spatial allocation of SICS.</w:t>
      </w:r>
    </w:p>
    <w:p>
      <w:pPr/>
      <w:r>
        <w:rPr>
          <w:b/>
        </w:rPr>
        <w:t>POSSIBLE 2022:</w:t>
      </w:r>
      <w:r>
        <w:t xml:space="preserve"> Afforestation impact on soil temperature in regional climate model simulations over Europe — https://doi.org/10.5194/gmd-15-595-2022</w:t>
      </w:r>
    </w:p>
    <w:p>
      <w:pPr/>
      <w:r>
        <w:rPr>
          <w:b/>
        </w:rPr>
        <w:t>Shared claim-specific concepts:</w:t>
      </w:r>
      <w:r>
        <w:t xml:space="preserve"> simulations, show, lower; EU scope visible. This is a provisional connection, not an outcome finding.</w:t>
      </w:r>
    </w:p>
    <w:p>
      <w:pPr>
        <w:pStyle w:val="SourceNote"/>
      </w:pPr>
      <w:r>
        <w:rPr>
          <w:b/>
        </w:rPr>
        <w:t>Available abstract (not full text):</w:t>
      </w:r>
      <w:r>
        <w:t xml:space="preserve">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pStyle w:val="Heading2"/>
      </w:pPr>
      <w:r>
        <w:t>574.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2024:</w:t>
      </w:r>
      <w:r>
        <w:t xml:space="preserve"> Projection in Arabic: a typological overview — https://doi.org/10.1515/jwl-2024-0019</w:t>
      </w:r>
    </w:p>
    <w:p>
      <w:pPr/>
      <w:r>
        <w:rPr>
          <w:b/>
        </w:rPr>
        <w:t>Shared claim-specific concepts:</w:t>
      </w:r>
      <w:r>
        <w:t xml:space="preserve"> show, three, abstract, examines; EU scope not established. This is a provisional connection, not an outcome finding.</w:t>
      </w:r>
    </w:p>
    <w:p>
      <w:pPr>
        <w:pStyle w:val="SourceNote"/>
      </w:pPr>
      <w:r>
        <w:rPr>
          <w:b/>
        </w:rPr>
        <w:t>Available abstract (not full text):</w:t>
      </w:r>
      <w:r>
        <w:t xml:space="preserve">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pPr/>
      <w:r>
        <w:rPr>
          <w:b/>
        </w:rPr>
        <w:t>POSSIBLE 2023:</w:t>
      </w:r>
      <w:r>
        <w:t xml:space="preserve"> Projection in Politicians' Perceptions of Public Opinion — https://doi.org/10.1111/pops.12900</w:t>
      </w:r>
    </w:p>
    <w:p>
      <w:pPr/>
      <w:r>
        <w:rPr>
          <w:b/>
        </w:rPr>
        <w:t>Shared claim-specific concepts:</w:t>
      </w:r>
      <w:r>
        <w:t xml:space="preserve"> three, out, four, countries; EU scope visible. This is a provisional connection, not an outcome finding.</w:t>
      </w:r>
    </w:p>
    <w:p>
      <w:pPr>
        <w:pStyle w:val="SourceNote"/>
      </w:pPr>
      <w:r>
        <w:rPr>
          <w:b/>
        </w:rPr>
        <w:t>Available abstract (not full text):</w:t>
      </w:r>
      <w:r>
        <w:t xml:space="preserve"> Research has shown that politicians' perceptions of public opinion are subject to social projection. When estimating the opinions of voters on a broad range of issues, politicians tend to assume that their own preferences are shared by voters. This article revisits this finding and adds to the literature in three ways. First, it makes a conceptual contribution by bringing together different approaches to the analysis of projection and its consequences. Second, relying on data from surveys with politicians (n = 866) in four countries (Belgium, Canada, Germany, and Switzerland) conducted between March 2018 and September 2019, it shows that there is more projection in politicians' estimations of their partisan electorate than in their estimations of the general public or of their geographic district. Third, comparing the data on politician projection with data from parallel surveys with citizens, the article reveals that—at least in three out of the four countries studied here—elected politicians are not better at avoiding erroneous projection than ordinary citizens. The article discusses the implications of these findings for the workings of representative democracy.</w:t>
      </w:r>
    </w:p>
    <w:p>
      <w:pPr/>
      <w:r>
        <w:rPr>
          <w:b/>
        </w:rPr>
        <w:t>POSSIBLE 2023:</w:t>
      </w:r>
      <w:r>
        <w:t xml:space="preserve"> Global projections of flash drought show increased risk in a warming climate — https://doi.org/10.1038/s43247-023-00826-1</w:t>
      </w:r>
    </w:p>
    <w:p>
      <w:pPr/>
      <w:r>
        <w:rPr>
          <w:b/>
        </w:rPr>
        <w:t>Shared claim-specific concepts:</w:t>
      </w:r>
      <w:r>
        <w:t xml:space="preserve"> projections, show, expected, over, compared, abstract; EU scope visible. This is a provisional connection, not an outcome finding.</w:t>
      </w:r>
    </w:p>
    <w:p>
      <w:pPr>
        <w:pStyle w:val="SourceNote"/>
      </w:pPr>
      <w:r>
        <w:rPr>
          <w:b/>
        </w:rPr>
        <w:t>Available abstract (not full text):</w:t>
      </w:r>
      <w:r>
        <w:t xml:space="preserve"> Abstract Flash drought, characterized by unusually rapid drying, can have substantial impact on many socioeconomic sectors, particularly agriculture. However, potential changes to flash drought risk in a warming climate remain unknown. In this study, projected changes in flash drought frequency and cropland risk from flash drought are quantified using global climate model simulations. We find that flash drought occurrence is expected to increase globally among all scenarios, with the sharpest increases seen in scenarios with higher radiative forcing and greater fossil fuel usage. Flash drought risk over cropland is expected to increase globally, with the largest increases projected across North America (change in annual risk from 32% in 2015 to 49% in 2100) and Europe (32% to 53%) in the most extreme emissions scenario. Following low-end and medium scenarios compared to high-end scenarios indicates a notable reduction in annual flash drought risk over cropland.</w:t>
      </w:r>
    </w:p>
    <w:p>
      <w:pPr/>
      <w:r>
        <w:rPr>
          <w:b/>
        </w:rPr>
        <w:t>POSSIBLE 2023:</w:t>
      </w:r>
      <w:r>
        <w:t xml:space="preserve"> Super-resolution reconstruction for the three-dimensional turbulence flows with a back-projection network — https://doi.org/10.1063/5.0147902</w:t>
      </w:r>
    </w:p>
    <w:p>
      <w:pPr/>
      <w:r>
        <w:rPr>
          <w:b/>
        </w:rPr>
        <w:t>Shared claim-specific concepts:</w:t>
      </w:r>
      <w:r>
        <w:t xml:space="preserve"> show, three, recent; EU scope not established. This is a provisional connection, not an outcome finding.</w:t>
      </w:r>
    </w:p>
    <w:p>
      <w:pPr>
        <w:pStyle w:val="SourceNote"/>
      </w:pPr>
      <w:r>
        <w:rPr>
          <w:b/>
        </w:rPr>
        <w:t>Available abstract (not full text):</w:t>
      </w:r>
      <w:r>
        <w:t xml:space="preserve"> Recent attempts to employ deep learning technology for the super-resolution (SR) reconstruction of turbulence have focused chiefly on reconstructing two-dimensional (2D) slices of the three-dimensional (3D) flow fields. However, tomographic particle image velocimetry (Tomo-PIV) measurements yield 3D velocity fields. The resolutions of 3D velocity field data along three directions cannot be simultaneously enhanced using a 2D SR reconstruction model. Additionally, a 3D velocity flow field structure cannot be accurately reconstructed using a 2D model. Therefore, we present a 3D flow field SR reconstruction method (FSR-3D) based on a back-projection network. The FSR-3D model incorporates a multiscale convolutional residual block and an up-and-down projection module and establishes the mapping relationship between low-resolution features and high-resolution (HR) features through an iterative mechanism. The proposed model is validated using two experiments. First, the original velocity field is reconstructed from downsampled forced isotropic turbulence data. Second, the downsampled direct numerical simulation (DNS) data of a turbulent channel flow are used to reconstruct the HR flow field to verify the reconstruction capability of the FSR-3D model with respect to the flow field of the boundary layer. Third, Tomo-PIV measurements of the wake flow behind a circular cylinder are used to</w:t>
      </w:r>
    </w:p>
    <w:p>
      <w:pPr/>
      <w:r>
        <w:rPr>
          <w:b/>
        </w:rPr>
        <w:t>POSSIBLE 2023:</w:t>
      </w:r>
      <w:r>
        <w:t xml:space="preserve"> Global survey shows planners use widely varying sea-level rise projections for coastal adaptation — https://doi.org/10.1038/s43247-023-00703-x</w:t>
      </w:r>
    </w:p>
    <w:p>
      <w:pPr/>
      <w:r>
        <w:rPr>
          <w:b/>
        </w:rPr>
        <w:t>Shared claim-specific concepts:</w:t>
      </w:r>
      <w:r>
        <w:t xml:space="preserve"> projections, show, countries; EU scope not established. This is a provisional connection, not an outcome finding.</w:t>
      </w:r>
    </w:p>
    <w:p>
      <w:pPr>
        <w:pStyle w:val="SourceNote"/>
      </w:pPr>
      <w:r>
        <w:rPr>
          <w:b/>
        </w:rPr>
        <w:t>Available abstract (not full text):</w:t>
      </w:r>
      <w:r>
        <w:t xml:space="preserve"> Including sea-level rise (SLR) projections in planning and implementing coastal adaptation is crucial. Here we analyze the first global survey on the use of SLR projections for 2050 and 2100. Two-hundred and fifty-three coastal practitioners engaged in adaptation/planning from 49 countries provided complete answers to the survey which was distributed in nine languages - Arabic, Chinese, English, French, Hebrew, Japanese, Korean, Portuguese and Spanish. While recognition of the threat of SLR is almost universal, only 72% of respondents currently utilize SLR projections. Generally, developing countries have lower levels of utilization. There is no global standard in the use of SLR projections: for locations using a standard data structure, 53% are planning using a single projection, while the remainder are using multiple projections, with 13% considering a low-probability high-end scenario. Countries with histories of adaptation and consistent national support show greater assimilation of SLR projections into adaptation decisions. This research provides new insights about current planning practices and can inform important ongoing efforts on the application of the science that is essential to the promotion of effective adaptation.</w:t>
      </w:r>
    </w:p>
    <w:p>
      <w:pPr/>
      <w:r>
        <w:rPr>
          <w:b/>
        </w:rPr>
        <w:t>POSSIBLE 2022:</w:t>
      </w:r>
      <w:r>
        <w:t xml:space="preserve"> Ranked enumeration of join queries with projections — https://doi.org/10.14778/3510397.3510401</w:t>
      </w:r>
    </w:p>
    <w:p>
      <w:pPr/>
      <w:r>
        <w:rPr>
          <w:b/>
        </w:rPr>
        <w:t>Shared claim-specific concepts:</w:t>
      </w:r>
      <w:r>
        <w:t xml:space="preserve"> projections, show, three, over, recent; EU scope not established. This is a provisional connection, not an outcome finding.</w:t>
      </w:r>
    </w:p>
    <w:p>
      <w:pPr>
        <w:pStyle w:val="SourceNote"/>
      </w:pPr>
      <w:r>
        <w:rPr>
          <w:b/>
        </w:rPr>
        <w:t>Available abstract (not full text):</w:t>
      </w:r>
      <w:r>
        <w:t xml:space="preserve"> Join query evaluation with ordering is a fundamental data processing task in relational database management systems. SQL and custom graph query languages such as Cypher offer this functionality by allowing users to specify the order via the ORDER BY clause. In many scenarios, the users also want to see the firstkresults quickly (expressed by the LIMIT clause), but the value ofkis not predetermined as user queries are arriving in an online fashion. Recent work has made considerable progress in identifying optimal algorithms for ranked enumeration of join queries that donotcontain any projections. In this paper, we initiate the study of the problem of enumerating results in ranked order for querieswith projections.Our main result shows that for any acyclic query, it is possible to obtain a near-linear (in the size of the database) delay algorithm after only a linear time preprocessing step for two important ranking functions: sum and lexicographic ordering. For a practical subset of acyclic queries known as star queries, we show an even stronger result that allows a user to obtain a smooth tradeoff between faster answering time guarantees using more preprocessing time. Our results are also extensible to queries containing cycles and unions. We also perform a comprehensive experimental evaluation to demonstrate that our algorithms, which are simple to implement, improve up to thre</w:t>
      </w:r>
    </w:p>
    <w:p>
      <w:pPr>
        <w:pStyle w:val="Heading2"/>
      </w:pPr>
      <w:r>
        <w:t>575.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Energy Policy in the European Union within the European Green Deal Strategy — https://doi.org/10.18778/1508-2008.27.13</w:t>
      </w:r>
    </w:p>
    <w:p>
      <w:pPr/>
      <w:r>
        <w:rPr>
          <w:b/>
        </w:rPr>
        <w:t>Shared claim-specific concepts:</w:t>
      </w:r>
      <w:r>
        <w:t xml:space="preserve"> article, main, green, analyzed;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2023:</w:t>
      </w:r>
      <w:r>
        <w:t xml:space="preserve"> RETRACTED ARTICLE: Sustainable development economy and the development of green economy in the European Union — https://doi.org/10.1186/s13705-023-00410-7</w:t>
      </w:r>
    </w:p>
    <w:p>
      <w:pPr/>
      <w:r>
        <w:rPr>
          <w:b/>
        </w:rPr>
        <w:t>Shared claim-specific concepts:</w:t>
      </w:r>
      <w:r>
        <w:t xml:space="preserve"> article, present, main, challenges, green, economy; EU scope visible. This is a provisional connection, not an outcome finding.</w:t>
      </w:r>
    </w:p>
    <w:p>
      <w:pPr>
        <w:pStyle w:val="SourceNote"/>
      </w:pPr>
      <w:r>
        <w:rPr>
          <w:b/>
        </w:rPr>
        <w:t>Available abstract (not full text):</w:t>
      </w:r>
      <w:r>
        <w:t xml:space="preserve"> Abstract Background This study aims to explain the policies implemented by the European Union in transitioning to a green economy. It examines the period from the adoption of sustainable development within the Union to the present, focusing on the EU's strategies for sustainable development and the green economy. Main text The study reveals that the European Union has long recognized environmental problems and the impacts of climate change, starting from the 1990s. In response to the global crisis in 2008, the EU embraced the opportunity to build a dynamic, low-carbon, resource-efficient, knowledge-based, and socially inclusive society. Green investments were included in the EU's rescue plan, initiating the green transformation. The study explains the concepts of sustainable development, the green economy, and green growth. It discusses how the European Union implemented its green transformation, particularly through the examination of the European Green Deal. Furthermore, it explores the developments related to climate change and the green economy within the framework of the European 2020 strategy. Conclusions The findings highlight the European Union's commitment to addressing environmental challenges and transitioning to a green economy. Future research should focus on assessing the effectiveness of implemented policies and strategies in achieving sustainable development goa</w:t>
      </w:r>
    </w:p>
    <w:p>
      <w:pPr/>
      <w:r>
        <w:rPr>
          <w:b/>
        </w:rPr>
        <w:t>POSSIBLE 2022:</w:t>
      </w:r>
      <w:r>
        <w:t xml:space="preserve"> The Regional Development Trap in Europe — https://doi.org/10.1080/00130095.2022.2080655</w:t>
      </w:r>
    </w:p>
    <w:p>
      <w:pPr/>
      <w:r>
        <w:rPr>
          <w:b/>
        </w:rPr>
        <w:t>Shared claim-specific concepts:</w:t>
      </w:r>
      <w:r>
        <w:t xml:space="preserve"> article, challenges;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European Green Deal — https://doi.org/10.33919/yldnbu.20.9.12</w:t>
      </w:r>
    </w:p>
    <w:p>
      <w:pPr/>
      <w:r>
        <w:rPr>
          <w:b/>
        </w:rPr>
        <w:t>Shared claim-specific concepts:</w:t>
      </w:r>
      <w:r>
        <w:t xml:space="preserve"> article, present, main, challenges, green, economy; EU scope visible. This is a provisional connection, not an outcome finding.</w:t>
      </w:r>
    </w:p>
    <w:p>
      <w:pPr>
        <w:pStyle w:val="SourceNote"/>
      </w:pPr>
      <w:r>
        <w:rPr>
          <w:b/>
        </w:rPr>
        <w:t>Available abstract (not full text):</w:t>
      </w:r>
      <w:r>
        <w:t xml:space="preserve"> This article aims to present the main objectives and characteristics of the European Green Deal, which is a kind of roadmap for achieving the sustainability of the EU economy by turning climate and environmental challenges into opportunities in all policy areas, through a just and inclusive transition for all. The implementation of this roadmap provides for actions to use resources efficiently by moving to a circular economy, reducing biodiversity loss and diminishing pollution. The roadmap also sets out the necessary investments and financial instruments and the need to ensure a just and inclusive transition. Transforming the economy of the European Union (EU) into a resource-efficient economy in which economic growth is not directly linked to the use of resources, based on the cessation of net emissions by 2050. The European Green Deal outlines a plan for this transformative change.</w:t>
      </w:r>
    </w:p>
    <w:p>
      <w:pPr/>
      <w:r>
        <w:rPr>
          <w:b/>
        </w:rPr>
        <w:t>POSSIBLE 2022:</w:t>
      </w:r>
      <w:r>
        <w:t xml:space="preserve"> Professional development of teacher educators in Europe and Myanmar — https://doi.org/10.5937/andstud2201083l</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The learning opportunities for teacher educators should respond to individual professional needs, but also prepare educators for new developments in (teacher) learning, (teacher) education and the teaching profession (Smith, 2003). To communicate the needs of society, the professional development and the lifelong learning of teacher educators are essential. This article aims to discuss the different approaches to the professional development of teacher educators, an overview of the European policies and country-specific studies, and observe and analyse professional development (PD) activities for teacher educators that create strategies to ensure quality education in Myanmar. It is found that compared to some European countries, it should provide opportunities for international professional networks and research projects to promote positive research culture. Moreover, sufficient financial support for developing a practical knowledge base for Myanmar teacher educators is needed. Finally, we present some suggestions for effective professional development pathways for teacher educators in Myanmar.</w:t>
      </w:r>
    </w:p>
    <w:p>
      <w:pPr/>
      <w:r>
        <w:rPr>
          <w:b/>
        </w:rPr>
        <w:t>POSSIBLE 2022:</w:t>
      </w:r>
      <w:r>
        <w:t xml:space="preserve"> Introduction: Teaching and Learning ‘Europe’ in ‘the Periphery’: Disciplinary, Educational and Cognitive Boundaries of European Studies — https://doi.org/10.30950/jcer.v18i2.1292</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This introductory article argues that there is a need to introduce a renewed approach to the field of European Studies which takes into account various perspectives from the ‘periphery’ to unfold complexities and challenges of teaching and learning ‘Europe’ away from the immediate geographical and conceptual focus of the European studies. By elaborating on the notion of ‘periphery’ and exploring how European Studies resonate beyond ‘the centre’, we aim to explore the complexities and challenges of the European studies in its relationality of the broader processes such as EU accession and global university education. This endeavour will contribute to the ongoing disciplinary debate on the future of European studies as well as the introduction of new methods of teaching and knowledge production by presenting alternative narratives on the challenges of the European integration and Europeanisation in the ‘periphery’.</w:t>
      </w:r>
    </w:p>
    <w:p>
      <w:pPr>
        <w:pStyle w:val="Heading2"/>
      </w:pPr>
      <w:r>
        <w:t>576.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2023:</w:t>
      </w:r>
      <w:r>
        <w:t xml:space="preserve"> Justification of military neutrality of the Republic of Serbia at a time of erosion of neutrality in Europe — https://doi.org/10.5937/spm82-46850</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pPr/>
      <w:r>
        <w:rPr>
          <w:b/>
        </w:rPr>
        <w:t>POSSIBLE 2023:</w:t>
      </w:r>
      <w:r>
        <w:t xml:space="preserve"> Strategies of US foreign policy at the end of the 20-th – at the beginning of the 21-st centuries — https://doi.org/10.24144/2307-3322.2022.76.2.30</w:t>
      </w:r>
    </w:p>
    <w:p>
      <w:pPr/>
      <w:r>
        <w:rPr>
          <w:b/>
        </w:rPr>
        <w:t>Shared claim-specific concepts:</w:t>
      </w:r>
      <w:r>
        <w:t xml:space="preserve"> beginning, republic, energy, transition; EU scope visible. This is a provisional connection, not an outcome finding.</w:t>
      </w:r>
    </w:p>
    <w:p>
      <w:pPr>
        <w:pStyle w:val="SourceNote"/>
      </w:pPr>
      <w:r>
        <w:rPr>
          <w:b/>
        </w:rPr>
        <w:t>Available abstract (not full text):</w:t>
      </w:r>
      <w:r>
        <w:t xml:space="preserve">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pPr/>
      <w:r>
        <w:rPr>
          <w:b/>
        </w:rPr>
        <w:t>POSSIBLE 2023:</w:t>
      </w:r>
      <w:r>
        <w:t xml:space="preserve"> Assessing waste management efficiency in the European Union: A focus on the Slovak Republic — https://doi.org/10.19040/ecocycles.v9i2.285</w:t>
      </w:r>
    </w:p>
    <w:p>
      <w:pPr/>
      <w:r>
        <w:rPr>
          <w:b/>
        </w:rPr>
        <w:t>Shared claim-specific concepts:</w:t>
      </w:r>
      <w:r>
        <w:t xml:space="preserve"> republic, adopted, energy; EU scope visible. This is a provisional connection, not an outcome finding.</w:t>
      </w:r>
    </w:p>
    <w:p>
      <w:pPr>
        <w:pStyle w:val="SourceNote"/>
      </w:pPr>
      <w:r>
        <w:rPr>
          <w:b/>
        </w:rPr>
        <w:t>Available abstract (not full text):</w:t>
      </w:r>
      <w:r>
        <w:t xml:space="preserve">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pPr/>
      <w:r>
        <w:rPr>
          <w:b/>
        </w:rPr>
        <w:t>POSSIBLE 2022:</w:t>
      </w:r>
      <w:r>
        <w:t xml:space="preserve"> Agrarian strategy and policy of the Republic of Serbia — https://doi.org/10.5937/ekopolj2203897l</w:t>
      </w:r>
    </w:p>
    <w:p>
      <w:pPr/>
      <w:r>
        <w:rPr>
          <w:b/>
        </w:rPr>
        <w:t>Shared claim-specific concepts:</w:t>
      </w:r>
      <w:r>
        <w:t xml:space="preserve"> strategy, republic, two; EU scope visible. This is a provisional connection, not an outcome finding.</w:t>
      </w:r>
    </w:p>
    <w:p>
      <w:pPr>
        <w:pStyle w:val="SourceNote"/>
      </w:pPr>
      <w:r>
        <w:rPr>
          <w:b/>
        </w:rPr>
        <w:t>Available abstract (not full text):</w:t>
      </w:r>
      <w:r>
        <w:t xml:space="preserve">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pPr/>
      <w:r>
        <w:rPr>
          <w:b/>
        </w:rPr>
        <w:t>POSSIBLE 2022:</w:t>
      </w:r>
      <w:r>
        <w:t xml:space="preserve"> Functioning of market and trade in the Republic of Kosovo — https://doi.org/10.53730/ijhs.v6ns8.13282</w:t>
      </w:r>
    </w:p>
    <w:p>
      <w:pPr/>
      <w:r>
        <w:rPr>
          <w:b/>
        </w:rPr>
        <w:t>Shared claim-specific concepts:</w:t>
      </w:r>
      <w:r>
        <w:t xml:space="preserve"> beginning, republic, accelerated; EU scope visible. This is a provisional connection, not an outcome finding.</w:t>
      </w:r>
    </w:p>
    <w:p>
      <w:pPr>
        <w:pStyle w:val="SourceNote"/>
      </w:pPr>
      <w:r>
        <w:rPr>
          <w:b/>
        </w:rPr>
        <w:t>Available abstract (not full text):</w:t>
      </w:r>
      <w:r>
        <w:t xml:space="preserve"> In modern market conditions, trade plays a complex and very important role in economic and social development. In Kosovo, trade and market issues are gaining momentum with the beginning of access to the single European market. At the same time, the first modern strategic guidelines in the field of market development and trade policy were created. The trade development strategies of the Republic of Kosovo were the basis for the preparation and adoption of the Law on Trade. Since 2007, the Law on Trade, as an umbrella law, has been regulating the field of trade and markets in the Republic of Kosovo in a modern and comprehensive manner. However, after its adoption, it is necessary to have a timely and accelerated implementation of the created solutions. It is also necessary to have a determined commitment to supplementing and amending as well as changes to this act in the future, as it is a very dynamic field that requires careful monitoring and a full understanding of the changes taking place in the environment. Special attention should be paid to the analysis of the current situation, further developments and regulation of trade of goods in the Republic of Kosovo.</w:t>
      </w:r>
    </w:p>
    <w:p>
      <w:pPr/>
      <w:r>
        <w:rPr>
          <w:b/>
        </w:rPr>
        <w:t>POSSIBLE 2022:</w:t>
      </w:r>
      <w:r>
        <w:t xml:space="preserve"> DIMENSIONS OF THE FEDERAL REPUBLIC OF GERMANY SECURITY AND DEFENCE POLICY. A CHRONOLOGICAL PERSPECTIVE — https://doi.org/10.53477/2284-9378-22-77</w:t>
      </w:r>
    </w:p>
    <w:p>
      <w:pPr/>
      <w:r>
        <w:rPr>
          <w:b/>
        </w:rPr>
        <w:t>Shared claim-specific concepts:</w:t>
      </w:r>
      <w:r>
        <w:t xml:space="preserve"> beginning, strategy, republic; EU scope visible. This is a provisional connection, not an outcome finding.</w:t>
      </w:r>
    </w:p>
    <w:p>
      <w:pPr>
        <w:pStyle w:val="SourceNote"/>
      </w:pPr>
      <w:r>
        <w:rPr>
          <w:b/>
        </w:rPr>
        <w:t>Available abstract (not full text):</w:t>
      </w:r>
      <w:r>
        <w:t xml:space="preserve"> The Federal Republic of Germany and its armed forces, the Bundeswehr, stand as a cornerstone of the European and NATO defence and security. It is vitally important to understand one of the major European conventional powers’ policies, concepts and overarching capabilities, along with the history behind them in a 21st century evermore complex security environment. The following paper examines the Bundeswehr historical evolution the major focal points in its strategy and capabilities development, since the beginning of the Cold War. The paper extends the historical discussion towards the present moment and the security policies undertaken in the 21st century, reaching the major policy re-evaluations occurring in 2022 and their importance both for the German state and its allies.</w:t>
      </w:r>
    </w:p>
    <w:p>
      <w:pPr>
        <w:pStyle w:val="Heading2"/>
      </w:pPr>
      <w:r>
        <w:t>577.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2024:</w:t>
      </w:r>
      <w:r>
        <w:t xml:space="preserve"> Urban labs beyond Europe: the formation and contextualization of experimental climate governance in five Latin American cities — https://doi.org/10.1177/09562478241230462</w:t>
      </w:r>
    </w:p>
    <w:p>
      <w:pPr/>
      <w:r>
        <w:rPr>
          <w:b/>
        </w:rPr>
        <w:t>Shared claim-specific concepts:</w:t>
      </w:r>
      <w:r>
        <w:t xml:space="preserve"> based, findings, five, developed, framework, however; EU scope visible. This is a provisional connection, not an outcome finding.</w:t>
      </w:r>
    </w:p>
    <w:p>
      <w:pPr>
        <w:pStyle w:val="SourceNote"/>
      </w:pPr>
      <w:r>
        <w:rPr>
          <w:b/>
        </w:rPr>
        <w:t>Available abstract (not full text):</w:t>
      </w:r>
      <w:r>
        <w:t xml:space="preserve">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pPr/>
      <w:r>
        <w:rPr>
          <w:b/>
        </w:rPr>
        <w:t>POSSIBLE 2024:</w:t>
      </w:r>
      <w:r>
        <w:t xml:space="preserve"> Evaluation of Colon Capsule Utilisation in Europe—CAPTURE EU Survey Findings — https://doi.org/10.3390/jcm14010099</w:t>
      </w:r>
    </w:p>
    <w:p>
      <w:pPr/>
      <w:r>
        <w:rPr>
          <w:b/>
        </w:rPr>
        <w:t>Shared claim-specific concepts:</w:t>
      </w:r>
      <w:r>
        <w:t xml:space="preserve"> findings, full, but; EU scope visible. This is a provisional connection, not an outcome finding.</w:t>
      </w:r>
    </w:p>
    <w:p>
      <w:pPr>
        <w:pStyle w:val="SourceNote"/>
      </w:pPr>
      <w:r>
        <w:rPr>
          <w:b/>
        </w:rPr>
        <w:t>Available abstract (not full text):</w:t>
      </w:r>
      <w:r>
        <w:t xml:space="preserve">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based, findings, five, improving, framework;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Accounting for forest condition in Europe based on an international statistical standard — https://doi.org/10.1038/s41467-023-39434-0</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pPr/>
      <w:r>
        <w:rPr>
          <w:b/>
        </w:rPr>
        <w:t>POSSIBLE 2023:</w:t>
      </w:r>
      <w:r>
        <w:t xml:space="preserve"> Head and neck cancers survival in Europe, Taiwan, and Japan: results from RARECAREnet Asia based on a privacy-preserving federated infrastructure — https://doi.org/10.3389/fonc.2023.1219111</w:t>
      </w:r>
    </w:p>
    <w:p>
      <w:pPr/>
      <w:r>
        <w:rPr>
          <w:b/>
        </w:rPr>
        <w:t>Shared claim-specific concepts:</w:t>
      </w:r>
      <w:r>
        <w:t xml:space="preserve"> based, findings, but; EU scope visible. This is a provisional connection, not an outcome finding.</w:t>
      </w:r>
    </w:p>
    <w:p>
      <w:pPr>
        <w:pStyle w:val="SourceNote"/>
      </w:pPr>
      <w:r>
        <w:rPr>
          <w:b/>
        </w:rPr>
        <w:t>Available abstract (not full text):</w:t>
      </w:r>
      <w:r>
        <w:t xml:space="preserve"> Background: The head and neck cancers (HNCs) incidence differs between Europe and East Asia. Our objective was to determine whether survival of HNC also differs between European and Asian countries. Methods: We used population-based cancer registry data to calculate 5-year relative survival (RS) for the oral cavity, hypopharynx, larynx, nasal cavity, and major salivary gland in Europe, Taiwan, and Japan. We modeled RS with a generalized linear model adjusting for time since diagnosis, sex, age, subsite, and histological grouping. Analyses were performed using federated learning, which enables analyses without sharing sensitive data. Findings: Five-year RS for HNC varied between geographical areas. For each HNC site, Europe had a lower RS than both Japan and Taiwan. HNC subsites and histologies distribution and survival differed between the three areas. Differences between Europe and both Asian countries persisted even after adjustments for all HNC sites but nasal cavity and paranasal sinuses, when comparing Europe and Taiwan. Interpretation: Survival differences can be attributed to different factors including different period of diagnosis, more advanced stage at diagnosis, or different availability/access of treatment. Cancer registries did not have stage and treatment information to further explore the reasons of the observed survival differences. Our analyses have confirmed </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coordination, but;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2022:</w:t>
      </w:r>
      <w:r>
        <w:t xml:space="preserve"> Forest-based climate change mitigation and adaptation in Europe — https://doi.org/10.36333/fs14</w:t>
      </w:r>
    </w:p>
    <w:p>
      <w:pPr/>
      <w:r>
        <w:rPr>
          <w:b/>
        </w:rPr>
        <w:t>Shared claim-specific concepts:</w:t>
      </w:r>
      <w:r>
        <w:t xml:space="preserve"> efficiency, increased;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findings, action, but, however;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2022:</w:t>
      </w:r>
      <w:r>
        <w:t xml:space="preserve"> The Future of Wood Construction: Opportunities and Barriers Based on Surveys in Europe and Chile — https://doi.org/10.3390/su14074358</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The demand for wood has increased in recent years due to new technical possibilities and environmental concerns. This paper provides an analysis of the factors that affect the use of wood in the construction sector, and an assessment of their importance in individual countries and for groups of stakeholders. The study covers the technical, societal, political, economic, and gender aspects of wood construction, with the aim of increasing global understanding regarding national differences, the current situation, and the potential for further development. The subject was investigated using a survey, and the most important opportunities for and barriers to growth in the use of wood in the construction sector were selected, following a statistical analysis. The results indicate strong regional and cultural differences regarding the acceptance of some of the opportunities and barriers related to the development of wood construction. The findings indicate that there is a need to promote wood construction based on its technical and economic benefits rather than its societal ones. On the other hand, the current societal barriers should be addressed as a priority, together with the establishment of common and harmonized policies. The results of this study, therefore, will contribute to the generation of regional-sensitive information that can be useful for policymakers when updating the</w:t>
      </w:r>
    </w:p>
    <w:p>
      <w:pPr/>
      <w:r>
        <w:rPr>
          <w:b/>
        </w:rPr>
        <w:t>POSSIBLE 2022:</w:t>
      </w:r>
      <w:r>
        <w:t xml:space="preserve"> A model-based Approach to Affordable Housing in Europe — https://doi.org/10.15396/eres2022_215</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Housing affordability is one of the most pressing issues in urban areas. During the Covid 19 pandemic, this problem spread to surrounding and more rural areas due to changing demand dynamics. At the same time, the economic downturn has exacerbated challenges for certain tenant groups. Based on an adapted Social Business Model Canvas, we are working with student groups on an interdisciplinary project to look at the entire affordable housing value chain from both the user perspective and the perspective of private and public housing companies, i.e., from design and planning to construction, operation, and redevelopment. The aim is to identify the main variables for achieving affordable housing prices, the interdependencies between them and their respective manifestations in Germany and five other European countries: Netherlands, Italy, Austria, Denmark and the United Kingdom. Based on this, we derive limits and drivers of value creation as well as potentials for the realization of affordable rents or housing costs. The Affordable Housing issues examined in each country are: Definition of 'affordable housing' and characteristics, needs and quantity of the most relevant user groups. Building conditions, structural-functional designs, and construction costs for Affordable Housing. Characteristics and business models of investors or providers of affordable housing. Legal framework / </w:t>
      </w:r>
    </w:p>
    <w:p>
      <w:pPr>
        <w:pStyle w:val="Heading2"/>
      </w:pPr>
      <w:r>
        <w:t>578.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r>
        <w:rPr>
          <w:b/>
        </w:rPr>
        <w:t>POSSIBLE 2024:</w:t>
      </w:r>
      <w:r>
        <w:t xml:space="preserve"> Building Blocks of the European Union’s Strategy for Climate Neutrality — https://doi.org/10.1017/9781009341493.003</w:t>
      </w:r>
    </w:p>
    <w:p>
      <w:pPr/>
      <w:r>
        <w:rPr>
          <w:b/>
        </w:rPr>
        <w:t>Shared claim-specific concepts:</w:t>
      </w:r>
      <w:r>
        <w:t xml:space="preserve"> climate, neutrality, union, energy; EU scope visible. This is a provisional connection, not an outcome finding.</w:t>
      </w:r>
    </w:p>
    <w:p>
      <w:pPr>
        <w:pStyle w:val="SourceNote"/>
      </w:pPr>
      <w:r>
        <w:rPr>
          <w:b/>
        </w:rPr>
        <w:t>Available abstract (not full text):</w:t>
      </w:r>
      <w:r>
        <w:t xml:space="preserve">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pPr/>
      <w:r>
        <w:rPr>
          <w:b/>
        </w:rPr>
        <w:t>POSSIBLE 2024:</w:t>
      </w:r>
      <w:r>
        <w:t xml:space="preserve"> EUROPEAN LANDSCAPE OF CLIMATE LAW — https://doi.org/10.46299/979-8-89504-809-2.3</w:t>
      </w:r>
    </w:p>
    <w:p>
      <w:pPr/>
      <w:r>
        <w:rPr>
          <w:b/>
        </w:rPr>
        <w:t>Shared claim-specific concepts:</w:t>
      </w:r>
      <w:r>
        <w:t xml:space="preserve"> achievement, climate, neutrality, union, not, reduction;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Moving Waste Sector Towards Climate Neutrality. Scenario Analysis — https://doi.org/10.7250/conect.2024.100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The upward economic growth, the development of the industrial, transport and agricultural sectors, and technological innovations contribute to the constant stimulation of the demand and supply of new products and services, inevitably contributing to the increase in the amount of waste. Mitigation of climate change is not a short-term goal; therefore, sustainable and reasonable practices in the waste management sector could contribute to positive changes in mitigating GHG emissions and climate change in general. However, it is not clear whether by implementing the current domestic waste management policy of Latvia and the action measures contained in it, it is objectively possible to achieve the strategic goals and desired results set at the European Union as well as at the national level, what is the impact of the set goals and the success of their implementation so far, and whether these political settings will not remain only at the level of ideas and wishes. In the scientific literature, several proposals developed as a result of research have been put forward for reducing the climate neutrality of the waste sector with the help of various technologies and technological innovations. At the same time, it is difficult to evaluate the proposals and solutions put forward in the research results in relation to an individual situation; for example, if a municipality in Latvia woul</w:t>
      </w:r>
    </w:p>
    <w:p>
      <w:pPr/>
      <w:r>
        <w:rPr>
          <w:b/>
        </w:rPr>
        <w:t>POSSIBLE 2023:</w:t>
      </w:r>
      <w:r>
        <w:t xml:space="preserve"> Three decades of EU climate policy: Racing toward climate neutrality? — https://doi.org/10.1002/wcc.863</w:t>
      </w:r>
    </w:p>
    <w:p>
      <w:pPr/>
      <w:r>
        <w:rPr>
          <w:b/>
        </w:rPr>
        <w:t>Shared claim-specific concepts:</w:t>
      </w:r>
      <w:r>
        <w:t xml:space="preserve"> climate, neutrality, union, energy, renewable, goals; EU scope visible. This is a provisional connection, not an outcome finding.</w:t>
      </w:r>
    </w:p>
    <w:p>
      <w:pPr>
        <w:pStyle w:val="SourceNote"/>
      </w:pPr>
      <w:r>
        <w:rPr>
          <w:b/>
        </w:rPr>
        <w:t>Available abstract (not full text):</w:t>
      </w:r>
      <w:r>
        <w:t xml:space="preserve"> Abstract The European Union (EU) began developing climate policy in the 1990s. Since then, it has built up a broad portfolio of mitigation policy measures and governance tools, including legally binding targets to reduce greenhouse gas (GHG) emissions, and policy measures addressing emissions trading, renewable energy, energy efficiency, and more. In 2019, the European Commission—the EU's executive arm—published the European Green Deal (EGD), an overarching policy framework to achieve the goal of climate neutrality by 2050. The EGD aims to push EU climate policy and governance far beyond incremental policy development. In this article, we ask: does the EGD represent a break from past patterns of EU climate governance? We argue that it maintains several past patterns, but nevertheless breaks from other established policy and governance trends. We review insights from politicization and new institutionalist theoretical lenses to help us understand these findings. We reveal certain tensions and challenges inherent in the EU's climate governance approach—around speed and coherence, effectiveness and just transition—that highlight future research needs, and raise questions about the EU's ability to implement its climate policy goals. This article is categorized under: Policy and Governance &gt; Multilevel and Transnational Climate Change Governance</w:t>
      </w:r>
    </w:p>
    <w:p>
      <w:pPr>
        <w:pStyle w:val="Heading2"/>
      </w:pPr>
      <w:r>
        <w:t>579.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r>
        <w:rPr>
          <w:b/>
        </w:rPr>
        <w:t>POSSIBLE 2024:</w:t>
      </w:r>
      <w:r>
        <w:t xml:space="preserve"> INTRODUCTORY PREFACE: Publication Patterns of the Central European Public Administration Review – A Bibliometric Analysis — https://doi.org/10.17573/cepar.2024.1.01</w:t>
      </w:r>
    </w:p>
    <w:p>
      <w:pPr/>
      <w:r>
        <w:rPr>
          <w:b/>
        </w:rPr>
        <w:t>Shared claim-specific concepts:</w:t>
      </w:r>
      <w:r>
        <w:t xml:space="preserve"> article, introductory, two; EU scope visible. This is a provisional connection, not an outcome finding.</w:t>
      </w:r>
    </w:p>
    <w:p>
      <w:pPr>
        <w:pStyle w:val="SourceNote"/>
      </w:pPr>
      <w:r>
        <w:rPr>
          <w:b/>
        </w:rPr>
        <w:t>Available abstract (not full text):</w:t>
      </w:r>
      <w:r>
        <w:t xml:space="preserve">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pPr/>
      <w:r>
        <w:rPr>
          <w:b/>
        </w:rPr>
        <w:t>POSSIBLE 2024:</w:t>
      </w:r>
      <w:r>
        <w:t xml:space="preserve"> Śvetāśvatara-Upaniṣad 1.1-16 / Translation from Sanskrit, Introductory Article and Commentaries by Yu. Zavhorodnii — https://doi.org/10.15407/orientw2024.03.292</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pPr/>
      <w:r>
        <w:rPr>
          <w:b/>
        </w:rPr>
        <w:t>POSSIBLE 2022:</w:t>
      </w:r>
      <w:r>
        <w:t xml:space="preserve"> Transport policies and business practices during COVID-19 and their impact on the management of new transport mobility systems – introductory part — https://doi.org/10.3846/bm.2022.890</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COVID-19 pandemic has had a profound effect on global economies. Transport was a particular sector of the economy that was particularly exposed to the spread of the virus. This has led to many changes in the management and the implementation of various types of business practices in the new mobility companies during the pandemic and post-pandemic periods. The work aimed to analyze the policies in the field of transport in pandemic times and the practices implemented and provided by enterprises in the field of new mobility, including companies sharing vehicles, e.g., car-sharing, bike-sharing, scooter-sharing, and ride-sharing. Furthermore, the article was used to indicate the changes that have occurred in the management of new mobility enterprises in companies operating in Asia, Europe, and America. The work is based on secondary data research and own research. The developed results indicate which operators made the most changes and which continents proposed the most changes to transport policies. The article supports the development of both new policies for the post-pandemic period and new business practices for companies in the new mobility services industry.</w:t>
      </w:r>
    </w:p>
    <w:p>
      <w:pPr/>
      <w:r>
        <w:rPr>
          <w:b/>
        </w:rPr>
        <w:t>POSSIBLE 2022:</w:t>
      </w:r>
      <w:r>
        <w:t xml:space="preserve"> Must Introductory Genetics Start with Mendel? — https://doi.org/10.1007/s11191-022-00361-z</w:t>
      </w:r>
    </w:p>
    <w:p>
      <w:pPr/>
      <w:r>
        <w:rPr>
          <w:b/>
        </w:rPr>
        <w:t>Shared claim-specific concepts:</w:t>
      </w:r>
      <w:r>
        <w:t xml:space="preserve"> introductory, two, developed; EU scope not established. This is a provisional connection, not an outcome finding.</w:t>
      </w:r>
    </w:p>
    <w:p>
      <w:pPr>
        <w:pStyle w:val="SourceNote"/>
      </w:pPr>
      <w:r>
        <w:rPr>
          <w:b/>
        </w:rPr>
        <w:t>Available abstract (not full text):</w:t>
      </w:r>
      <w:r>
        <w:t xml:space="preserve"> Abstract It is 157 years since Mendel presented his results on hybridisation in peas to the Brünn Society for Natural Science. The discipline of genetics has dramatically changed since then, with technological advancements revealing multifactorial causation and trait variability. Whilst none of this complexity featured in the discovery of classical genetics, Mendel and his peas still dominate teaching today. Must genetics always start from such a simplistic, determinist perspective? A number of recent studies (e.g. Donovan, 2021; Dougherty, 2010; Jamieson &amp; Radick, 2013) have made the case for emphasising the complexity of genetics from the beginning. In this study, I will examine the origins and fate of two earlier attempts at reform, from the 1970s and 1980s. One was from Steven Rose, a biochemist in London and founder of the British Society for Social Responsibility in Science, who developed a genetics course for distance teaching at the Open University. The other was from Garland Allen, a historian of science and influential writer of biology textbooks, including four editions of Study of Biology . Both tried to depart from the standard start-with-Mendel script, in ways that aimed to help students better appreciate not only the complexities of genetics but also embedding genetics—and genetic knowledge—in society. Both met significant resistance, with concerns varying from t</w:t>
      </w:r>
    </w:p>
    <w:p>
      <w:pPr>
        <w:pStyle w:val="Heading2"/>
      </w:pPr>
      <w:r>
        <w:t>580.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2023:</w:t>
      </w:r>
      <w:r>
        <w:t xml:space="preserve"> A methodology to explore the road safety impact of fitness to drive solutions for commercial drivers: The PANACEA project — https://doi.org/10.1016/j.trpro.2023.02.241</w:t>
      </w:r>
    </w:p>
    <w:p>
      <w:pPr/>
      <w:r>
        <w:rPr>
          <w:b/>
        </w:rPr>
        <w:t>Shared claim-specific concepts:</w:t>
      </w:r>
      <w:r>
        <w:t xml:space="preserve"> monitoring, system, health, drivers; EU scope visible. This is a provisional connection, not an outcome finding.</w:t>
      </w:r>
    </w:p>
    <w:p>
      <w:pPr>
        <w:pStyle w:val="SourceNote"/>
      </w:pPr>
      <w:r>
        <w:rPr>
          <w:b/>
        </w:rPr>
        <w:t>Available abstract (not full text):</w:t>
      </w:r>
      <w:r>
        <w:t xml:space="preserve"> In Europe, one in four road deaths occurred in an accident involving a goods vehicle in 2018 (ETSC 2020). Commercial drivers are at higher risk for suffering from physiological, psychological and prescribed medication and illicit drug use, including alcohol misuse. Fitness to drive or driver state monitoring systems integrate technologies able to detect altered driver states and provide them feedback. They constitute an emerging phenomenon, and their effects on changing people's behaviour to drive more safely, and in general, their impact on road safety should be better investigated. The scope of this paper is to present a methodology able to simulate different scenarios to understand how a driver state monitoring system can support improving road safety in the European Union. A conceptual framework is presented to support the definition of the impact assessment methodology and is applied to the PANACEA European research project. The project develops an integrated solution for driving ability assessment of commercial drivers, paired with a countermeasure and coaching solution. The PANACEA system uses algorithms and technologies for detecting, monitoring and assessing alcohol consumption, licit (barbituric) and illicit (methadone substitute) drugs, fatigue and cognitive load (Commercial Health Toolkits (CHTs)). It also provides strategic, tactical and operational countermeasures</w:t>
      </w:r>
    </w:p>
    <w:p>
      <w:pPr/>
      <w:r>
        <w:rPr>
          <w:b/>
        </w:rPr>
        <w:t>POSSIBLE 2022:</w:t>
      </w:r>
      <w:r>
        <w:t xml:space="preserve"> Interventions to increase linkage to care and adherence to treatment for hepatitis C among people who inject drugs: A systematic review and practical considerations from an expert panel consultation — https://doi.org/10.1016/j.drugpo.2022.103588</w:t>
      </w:r>
    </w:p>
    <w:p>
      <w:pPr/>
      <w:r>
        <w:rPr>
          <w:b/>
        </w:rPr>
        <w:t>Shared claim-specific concepts:</w:t>
      </w:r>
      <w:r>
        <w:t xml:space="preserve"> emcdda, activities, increase, health, areas; EU scope not established. This is a provisional connection, not an outcome finding.</w:t>
      </w:r>
    </w:p>
    <w:p>
      <w:pPr>
        <w:pStyle w:val="SourceNote"/>
      </w:pPr>
      <w:r>
        <w:rPr>
          <w:b/>
        </w:rPr>
        <w:t>Available abstract (not full text):</w:t>
      </w:r>
      <w:r>
        <w:t xml:space="preserve"> BACKGROUND: Following advances in treatment for hepatitis C (HCV), optimizing linkage to care and adherence to treatment of people who inject drugs became of pivotal importance. An ECDC/EMCDDA stakeholders survey in 2018 indicated that two components of the cascade of care, linkage to care and adherence to treatment, were priority areas for inclusion in the updated guidance, planned for publication in 2022. This systematic review was commissioned with the aim to evaluate the effectiveness of interventions on HCV linkage to care and adherence to treatment among people who inject drugs. METHODS: The full study protocol is available at PROSPERO (2020 CRD42020191116). We searched five databases to identify studies published between 2011 and 2020. Studies were included if they had a comparative study design and reported on the primary outcomes for linkage to care (visits, treatment initiation) and/or adherence to treatment (treatment adherence, treatment completion, SVR12) among people who inject drugs/people receiving opioid substitution therapy. Following the risk of bias (EPHPP) and quality of evidence assessment (GRADE), evidence to decision tables were produced and shared for critical review with an expert panel convened by ECDC and EMCDDA. The expert panel provided further considerations on the benefit, acceptability, and transferability of interventions. RESULTS: Fourteen stu</w:t>
      </w:r>
    </w:p>
    <w:p>
      <w:pPr>
        <w:pStyle w:val="Heading2"/>
      </w:pPr>
      <w:r>
        <w:t>581.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2023:</w:t>
      </w:r>
      <w:r>
        <w:t xml:space="preserve"> “The heat of a multitudinous assembly”: Striking short fiction and the rise of feminist potencia — https://doi.org/10.1111/lic3.12740</w:t>
      </w:r>
    </w:p>
    <w:p>
      <w:pPr/>
      <w:r>
        <w:rPr>
          <w:b/>
        </w:rPr>
        <w:t>Shared claim-specific concepts:</w:t>
      </w:r>
      <w:r>
        <w:t xml:space="preserve"> based, potencia, energy, potential; EU scope not established. This is a provisional connection, not an outcome finding.</w:t>
      </w:r>
    </w:p>
    <w:p>
      <w:pPr>
        <w:pStyle w:val="SourceNote"/>
      </w:pPr>
      <w:r>
        <w:rPr>
          <w:b/>
        </w:rPr>
        <w:t>Available abstract (not full text):</w:t>
      </w:r>
      <w:r>
        <w:t xml:space="preserve">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pStyle w:val="Heading2"/>
      </w:pPr>
      <w:r>
        <w:t>582.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2025:</w:t>
      </w:r>
      <w:r>
        <w:t xml:space="preserve"> Decadal Prediction for the European Energy Sector — https://doi.org/10.1002/met.70054</w:t>
      </w:r>
    </w:p>
    <w:p>
      <w:pPr/>
      <w:r>
        <w:rPr>
          <w:b/>
        </w:rPr>
        <w:t>Shared claim-specific concepts:</w:t>
      </w:r>
      <w:r>
        <w:t xml:space="preserve"> power, sector, share, electricity, wind, climate; EU scope visible. This is a provisional connection, not an outcome finding.</w:t>
      </w:r>
    </w:p>
    <w:p>
      <w:pPr>
        <w:pStyle w:val="SourceNote"/>
      </w:pPr>
      <w:r>
        <w:rPr>
          <w:b/>
        </w:rPr>
        <w:t>Available abstract (not full text):</w:t>
      </w:r>
      <w:r>
        <w:t xml:space="preserve">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pPr/>
      <w:r>
        <w:rPr>
          <w:b/>
        </w:rPr>
        <w:t>POSSIBLE 2025:</w:t>
      </w:r>
      <w:r>
        <w:t xml:space="preserve"> Decoupling carbon emissions from power sector growth in Indonesia — https://doi.org/10.1007/s44274-025-00426-0</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pPr/>
      <w:r>
        <w:rPr>
          <w:b/>
        </w:rPr>
        <w:t>POSSIBLE 2024:</w:t>
      </w:r>
      <w:r>
        <w:t xml:space="preserve"> What pace for direct electrification? Insights from co-optimised pathways in the European chemical and power sector — https://doi.org/10.1016/j.ecmx.2024.100839</w:t>
      </w:r>
    </w:p>
    <w:p>
      <w:pPr/>
      <w:r>
        <w:rPr>
          <w:b/>
        </w:rPr>
        <w:t>Shared claim-specific concepts:</w:t>
      </w:r>
      <w:r>
        <w:t xml:space="preserve"> power, sector, decarbonised, climate, energy; EU scope visible. This is a provisional connection, not an outcome finding.</w:t>
      </w:r>
    </w:p>
    <w:p>
      <w:pPr>
        <w:pStyle w:val="SourceNote"/>
      </w:pPr>
      <w:r>
        <w:rPr>
          <w:b/>
        </w:rPr>
        <w:t>Available abstract (not full text):</w:t>
      </w:r>
      <w:r>
        <w:t xml:space="preserve"> • Analysis of the chemical sector electrification using a novel supply-chain model. • Integrated sector-coupling with a power sector investment model. • Disregarding co-optimization could result in above 3% net present cost underestimation. • A carbon price &gt; 200 EUR/tCO2 by 2050 is needed to achieve climate neutrality. • Doubling of the chemical sector power consumption is likely. Decision makers and private investors impacted by the evolution of the carbon price should limit risks associated with investments in decarbonised options, notably for electrified options. This research demonstrates that considering only static future power prices and carbon content might be insufficient when accelerated sectoral electrification effort is foreseen. To illustrate the phenomenon, this research focuses on the conditions and the extent of electrification in decarbonising the chemical sector in Central-West Europe. Specifically, energy transition pathways until 2050 are considered for the power and the chemical sectors using a novel co-optimisation model, minimising the net present cost of both sectors and considering different carbon price scenarios and deployment rates. The findings indicate that not accounting for the power sector constraints when assessing the chemical sector’s transition pathways overestimates greenhouse gas (GHG) reduction potential and underestimates the net presen</w:t>
      </w:r>
    </w:p>
    <w:p>
      <w:pPr/>
      <w:r>
        <w:rPr>
          <w:b/>
        </w:rPr>
        <w:t>POSSIBLE 2024:</w:t>
      </w:r>
      <w:r>
        <w:t xml:space="preserve"> Analysis of the power sector in Bangladesh: current trends, challenges, and future perspectives — https://doi.org/10.11591/eei.v13i6.7503</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Bangladesh’s economic development is largely dependent on the power sector, which promotes sustainability and growth. The country’s future energy security, however, is seriously threatened by the natural gas reserves running out by 2028. As a result, the current energy mix has to be modified right away to ensure Bangladesh’s sustained economic growth. This research paper offers a thorough analysis of Bangladesh’s power sector’s current state. With a focus on important metrics like installed capacity, electricity generation, and distribution infrastructure, the study seeks to provide insights into the sector’s opportunities, challenges, and strengths. The research highlighting the importance of energy security and forecasting the projected energy demand in Bangladesh. The study also looks at current projects and advancements that have shaped Bangladesh’s power industry. This research also provides an ideal energy option that supports Bangladesh's sustainable growth. This analysis offers significant insights into the dynamics of the power industry in Bangladesh, elucidating it is present trajectory, the challenges it encounters, and the potential avenues for achieving a more sustainable and resilient energy future.</w:t>
      </w:r>
    </w:p>
    <w:p>
      <w:pPr/>
      <w:r>
        <w:rPr>
          <w:b/>
        </w:rPr>
        <w:t>POSSIBLE 2024:</w:t>
      </w:r>
      <w:r>
        <w:t xml:space="preserve"> Environmental Violations in the Power Sector: Accountability and Community Welfare — https://doi.org/10.67929/ecgi-fin-1019-2024</w:t>
      </w:r>
    </w:p>
    <w:p>
      <w:pPr/>
      <w:r>
        <w:rPr>
          <w:b/>
        </w:rPr>
        <w:t>Shared claim-specific concepts:</w:t>
      </w:r>
      <w:r>
        <w:t xml:space="preserve"> power, sector, electricity; EU scope not established. This is a provisional connection, not an outcome finding.</w:t>
      </w:r>
    </w:p>
    <w:p>
      <w:pPr>
        <w:pStyle w:val="SourceNote"/>
      </w:pPr>
      <w:r>
        <w:rPr>
          <w:b/>
        </w:rPr>
        <w:t>Available abstract (not full text):</w:t>
      </w:r>
      <w:r>
        <w:t xml:space="preserve"> This study examines how U.S. power sector firms respond to environmental regulation violations, focusing on facilities flagged by the EPA for non-compliance. In response, these plants implement various strategies to reduce air pollution and prevent future violations, including cutting electricity generation, improving fuel quality, reducing coal use, installing scrubbers, enhancing pollution controls, and investing in energy-efficient generators. Organizational efficiencies and government subsidies further strengthen these efforts. While these actions aid environmental recovery, the costs of compliance are often passed on to local communities through higher electricity prices, raising concerns about social equity. Following a violation, firms generally experience increases in assets, capital expenditures, debt, revenues, and electricity prices, yet operating income remains unaffected. Our findings highlight that while market competition and government subsidies can help alleviate some of the financial burden on consumers, these subsidies often fall short in promoting the long-term investments in advanced technologies necessary for sustained environmental progress.</w:t>
      </w:r>
    </w:p>
    <w:p>
      <w:pPr/>
      <w:r>
        <w:rPr>
          <w:b/>
        </w:rPr>
        <w:t>POSSIBLE 2024:</w:t>
      </w:r>
      <w:r>
        <w:t xml:space="preserve"> Enlightening Bangladesh: Navigating power sector challenges through PPP excellence — https://doi.org/10.24294/jipd.v8i3.2529</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As Bangladesh faces its current energy crisis, public-private partnerships (PPPs) emerge as a promising solution, bridging the strengths of both sectors toward a brighter, more electrified future. This research focuses on the challenges in Bangladesh’s power sector: increasing electricity demand and the imperative for a consistent supply of renewable energy sources. The research employs content analysis, exploring various aspects, including policy documents, regulatory frameworks, stakeholder engagements, and resource assessments, with a specific focus on three key variables: regulatory framework, stakeholder engagement, and informed policymaking. Drawing on the ‘resource-based view’ theory, the study emphasizes the significance of ‘mitigating resource risks’ through ‘resource assessment.’ Empirical support is derived from an extensive review of literature in reputable journals and research articles, enhancing the research’s credibility with real-world evidence. The study provides a practical roadmap for stakeholders navigating Bangladesh’s power sector, addressing energy challenges, and promoting sustainability.</w:t>
      </w:r>
    </w:p>
    <w:p>
      <w:pPr/>
      <w:r>
        <w:rPr>
          <w:b/>
        </w:rPr>
        <w:t>POSSIBLE 2023:</w:t>
      </w:r>
      <w:r>
        <w:t xml:space="preserve"> Concentration of asset owners exposed to power sector stranded assets may trigger climate policy resistance — https://doi.org/10.1038/s41467-023-42031-w</w:t>
      </w:r>
    </w:p>
    <w:p>
      <w:pPr/>
      <w:r>
        <w:rPr>
          <w:b/>
        </w:rPr>
        <w:t>Shared claim-specific concepts:</w:t>
      </w:r>
      <w:r>
        <w:t xml:space="preserve"> power, sector, share, climate, energy; EU scope visible. This is a provisional connection, not an outcome finding.</w:t>
      </w:r>
    </w:p>
    <w:p>
      <w:pPr>
        <w:pStyle w:val="SourceNote"/>
      </w:pPr>
      <w:r>
        <w:rPr>
          <w:b/>
        </w:rPr>
        <w:t>Available abstract (not full text):</w:t>
      </w:r>
      <w:r>
        <w:t xml:space="preserve"> Thoroughly assessing the owners and distribution of stranded assets in a 2 °C scenario is essential to anticipate climate policy resistance. We employ novel data to analyze owners and incidence of asset stranding in the power sector globally. We show that Asia-Pacific, Europe, and the US are highly exposed to stranded assets, especially coal plants. Stranded assets are highly concentrated in a few asset owners in some countries (e.g., India). Even if owners are more equally exposed (e.g., in the US) they can vary considerably in the asset stranding timing due to differences in plant fleets' age profile. European, US, and Chinese asset owners own large shares of stranded coal plants abroad. Listed owners may face stranded assets of up to 78% of their share price or more than 80% of their equity. Asset stranding exposure positively correlates with ownership of alternative energy assets. India stands out owning many stranded assets but little alternative energy.</w:t>
      </w:r>
    </w:p>
    <w:p>
      <w:pPr/>
      <w:r>
        <w:rPr>
          <w:b/>
        </w:rPr>
        <w:t>POSSIBLE 2023:</w:t>
      </w:r>
      <w:r>
        <w:t xml:space="preserve"> Decarbonization of Power and Industrial Sectors: The Role of Membrane Processes — https://doi.org/10.3390/membranes13020130</w:t>
      </w:r>
    </w:p>
    <w:p>
      <w:pPr/>
      <w:r>
        <w:rPr>
          <w:b/>
        </w:rPr>
        <w:t>Shared claim-specific concepts:</w:t>
      </w:r>
      <w:r>
        <w:t xml:space="preserve"> power, climate; EU scope not established. This is a provisional connection, not an outcome finding.</w:t>
      </w:r>
    </w:p>
    <w:p>
      <w:pPr>
        <w:pStyle w:val="SourceNote"/>
      </w:pPr>
      <w:r>
        <w:rPr>
          <w:b/>
        </w:rPr>
        <w:t>Available abstract (not full text):</w:t>
      </w:r>
      <w:r>
        <w:t xml:space="preserve"> Carbon dioxide (CO2) is the single largest contributor to climate change due to its increased emissions since global industrialization began. Carbon Capture, Storage, and Utilization (CCSU) is regarded as a promising strategy to mitigate climate change, reducing the atmospheric concentration of CO2 from power and industrial activities. Post-combustion carbon capture (PCC) is necessary to implement CCSU into existing facilities without changing the combustion block. In this study, the recent research on various PCC technologies is discussed, along with the membrane technology for PCC, emphasizing the different types of membranes and their gas separation performances. Additionally, an overall comparison of membrane separation technology with respect to other PCC methods is implemented based on six different key parameters—CO2 purity and recovery, technological maturity, scalability, environmental concerns, and capital and operational expenditures. In general, membrane separation is found to be the most competitive technique in conventional absorption as long as the highly-performed membrane materials and the technology itself reach the full commercialization stage. Recent updates on the main characteristics of different flue gas streams and the Technology Readiness Levels (TRL) of each PCC technology are also provided with a brief discussion of their latest progresses.</w:t>
      </w:r>
    </w:p>
    <w:p>
      <w:pPr/>
      <w:r>
        <w:rPr>
          <w:b/>
        </w:rPr>
        <w:t>POSSIBLE 2023:</w:t>
      </w:r>
      <w:r>
        <w:t xml:space="preserve"> Decarbonizing the European energy system in the absence of Russian gas: Hydrogen uptake and carbon capture developments in the power, heat and industry sectors — https://doi.org/10.1016/j.jclepro.2023.140473</w:t>
      </w:r>
    </w:p>
    <w:p>
      <w:pPr/>
      <w:r>
        <w:rPr>
          <w:b/>
        </w:rPr>
        <w:t>Shared claim-specific concepts:</w:t>
      </w:r>
      <w:r>
        <w:t xml:space="preserve"> power, sector, climate, energy, targets; EU scope visible. This is a provisional connection, not an outcome finding.</w:t>
      </w:r>
    </w:p>
    <w:p>
      <w:pPr>
        <w:pStyle w:val="SourceNote"/>
      </w:pPr>
      <w:r>
        <w:rPr>
          <w:b/>
        </w:rPr>
        <w:t>Available abstract (not full text):</w:t>
      </w:r>
      <w:r>
        <w:t xml:space="preserve"> Hydrogen and carbon capture and storage are pivotal to decarbonize the European energy system in a broad range of pathway scenarios. Yet, their timely uptake in different sectors and distribution across countries are affected by supply options of renewable and fossil energy sources. Here, we analyze the decarbonization of the European energy system towards 2060, covering the power, heat, and industry sectors, and the change in use of hydrogen and carbon capture and storage in these sectors upon Europe’s decoupling from Russian gas. The results indicate that the use of gas is significantly reduced in the power sector, instead being replaced by coal with carbon capture and storage, and with a further expansion of renewable generators. Coal coupled with carbon capture and storage is also used in the steel sector as an intermediary step when Russian gas is neglected, before being fully decarbonized with hydrogen. Hydrogen production mostly relies on natural gas with carbon capture and storage until natural gas is scarce and costly at which time green hydrogen production increases sharply. The disruption of Russian gas imports has significant consequences on the decarbonization pathways for Europe, with local energy sources and carbon capture and storage becoming even more important. Given the highlighted importance of carbon capture and storage in reaching the climate targets, it i</w:t>
      </w:r>
    </w:p>
    <w:p>
      <w:pPr/>
      <w:r>
        <w:rPr>
          <w:b/>
        </w:rPr>
        <w:t>POSSIBLE 2023:</w:t>
      </w:r>
      <w:r>
        <w:t xml:space="preserve"> The landscape of European policies in the power sector: first-mover advantages — https://doi.org/10.1007/s11027-023-10081-6</w:t>
      </w:r>
    </w:p>
    <w:p>
      <w:pPr/>
      <w:r>
        <w:rPr>
          <w:b/>
        </w:rPr>
        <w:t>Shared claim-specific concepts:</w:t>
      </w:r>
      <w:r>
        <w:t xml:space="preserve"> power, sector, electricity, climate, energy, targets; EU scope visible. This is a provisional connection, not an outcome finding.</w:t>
      </w:r>
    </w:p>
    <w:p>
      <w:pPr>
        <w:pStyle w:val="SourceNote"/>
      </w:pPr>
      <w:r>
        <w:rPr>
          <w:b/>
        </w:rPr>
        <w:t>Available abstract (not full text):</w:t>
      </w:r>
      <w:r>
        <w:t xml:space="preserve"> Abstract In order to achieve the commonly agreed emission reduction target, the European Commission called upon the member states to submit National Energy and Climate Plans to ensure increased transparency for the respective national targets and strategies. An analysis of these plans shows that some member states have declared ambitious emission reductions targets, as well as technology-specific phaseout policies in the power sector. A transformation to a climate-friendly system requires considerable investment, the question arises if there are benefits to be in the vanguard. We find that countries may have an incentive to outperform in the development of a low-carbon electricity system.</w:t>
      </w:r>
    </w:p>
    <w:p>
      <w:pPr/>
      <w:r>
        <w:rPr>
          <w:b/>
        </w:rPr>
        <w:t>POSSIBLE 2023:</w:t>
      </w:r>
      <w:r>
        <w:t xml:space="preserve"> Power sector impacts of a simultaneous European heat pump rollout — https://doi.org/10.48550/arxiv.2312.06589</w:t>
      </w:r>
    </w:p>
    <w:p>
      <w:pPr/>
      <w:r>
        <w:rPr>
          <w:b/>
        </w:rPr>
        <w:t>Shared claim-specific concepts:</w:t>
      </w:r>
      <w:r>
        <w:t xml:space="preserve"> power, sector, electricity, wind, energy; EU scope visible. This is a provisional connection, not an outcome finding.</w:t>
      </w:r>
    </w:p>
    <w:p>
      <w:pPr>
        <w:pStyle w:val="SourceNote"/>
      </w:pPr>
      <w:r>
        <w:rPr>
          <w:b/>
        </w:rPr>
        <w:t>Available abstract (not full text):</w:t>
      </w:r>
      <w:r>
        <w:t xml:space="preserve"> The decarbonization of buildings requires the phase-out of fossil fuel heating systems. Heat pumps are considered a crucial technology to supply a substantial part of heating energy for buildings. Yet, their introduction is not without challenges, as heat pumps generate additional electricity demand as well as peak loads. To better understand these challenges, an ambitious simultaneous heat pump rollout in several central European countries with an hourly-resolved capacity expansion model of the power sector is studied. I assess the structure of hours and periods of peak heat demands and their concurrence with hours and periods of peak residual load. In a 2030 scenario, I find that meeting 25% of total heat demand in buildings with heat pumps would be covered best with additional wind power generation capacities. I also identify the important role of small thermal energy storage that could reduce the need for additional firm generation capacity. Due to the co-occurrence of heat demand, interconnection between countries does not substantially reduce the additional generation capacities needed for heat pump deployment. Based on six different weather years, my analysis cautions against relying on results based on a single weather year.</w:t>
      </w:r>
    </w:p>
    <w:p>
      <w:pPr>
        <w:pStyle w:val="Heading2"/>
      </w:pPr>
      <w:r>
        <w:t>583.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pStyle w:val="Heading2"/>
      </w:pPr>
      <w:r>
        <w:t>584.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r>
        <w:rPr>
          <w:b/>
        </w:rPr>
        <w:t>POSSIBLE 2024:</w:t>
      </w:r>
      <w:r>
        <w:t xml:space="preserve"> Price prediction of polyester yarn based on multiple linear regression model — https://doi.org/10.1371/journal.pone.0310355</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China's polyester textile industry is one of the notable contributors to national economy. This paper takes polyester yarn, core raw material in polyester textile industry chain, as research object, and deeply explores its price indicators and risk hedging mechanisms through multiple linear regression models and Holt-Winters approaches. It is worth mentioning that with continuous development of digital technology, digital transformation of production lines and warehouses has become an important development feature in various industries. This study also actively complies with this trend, and innovatively incorporates the upstream and downstream production line start-up rates into price prediction model. Through this initiative, we can more comprehensively consider the impact of supply and demand changes on price of polyester yarn, thus making prediction results more closely reflect the actual market situation. This quantitative analysis method undoubtedly provides new ideas for enterprises to better grasp market dynamics in digital era.</w:t>
      </w:r>
    </w:p>
    <w:p>
      <w:pPr/>
      <w:r>
        <w:rPr>
          <w:b/>
        </w:rPr>
        <w:t>POSSIBLE 2024:</w:t>
      </w:r>
      <w:r>
        <w:t xml:space="preserve"> Enterprise Value Valuation—BYD as an Example Based on SWOT Model and Multiple Regression Model — https://doi.org/10.17265/2328-2185/2024.04.001</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BYD is one of the largest new energy vehicle companies in China.Analyzing its scenario and the factors that affect its value helps to understand and identify development opportunities and potential problems.On one hand, this paper makes a qualitative analysis of BYD, using SWOT model to study the internal capability and external environment of BYD.On the other hand, the multiple regression model is used for quantitative analysis of BYD's enterprise value, and the model is established based on three factors: enterprise fundamentals, investor behavior and psychology, and macroeconomic policy uncertainty, and the stepwise regression is carried out.The results show that the increase of institutional investors' shareholding ratio, the increase of investor sentiment index, and the increase of M2 growth rate will increase the overall enterprise value, while the increase of economic policy uncertainty will decrease the enterprise value.</w:t>
      </w:r>
    </w:p>
    <w:p>
      <w:pPr/>
      <w:r>
        <w:rPr>
          <w:b/>
        </w:rPr>
        <w:t>POSSIBLE 2023:</w:t>
      </w:r>
      <w:r>
        <w:t xml:space="preserve"> Estimation of Cloudiness Data Based on Multiple Linear Regression Model — https://doi.org/10.31466/kfbd.1150879</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This study estimates cloudiness data using meteorological parameters which include climatic variables and air quality index. Daily average observed values of all meteorological parameters used in this study were transformed to monthly mean data for 1990-2015 period. The monthly mean values of cloudiness were estimated by using the other climatic elements and the value air quality index at urban area in Kayseri. Multiple Linear Regression model was built to determine the mathematical relationships for predicting cloudiness. It has been shown that meteorological parameters affect cloudiness the most in May and October, and the least in September and January. Additionally, according to the estimated models, air quality index value has effect on cloudiness data on January, July, October and November as statistically significant.</w:t>
      </w:r>
    </w:p>
    <w:p>
      <w:pPr/>
      <w:r>
        <w:rPr>
          <w:b/>
        </w:rPr>
        <w:t>POSSIBLE 2023:</w:t>
      </w:r>
      <w:r>
        <w:t xml:space="preserve"> Biosafety management strategy based on multiple linear regression model — https://doi.org/10.2478/amns.2023.1.00362</w:t>
      </w:r>
    </w:p>
    <w:p>
      <w:pPr/>
      <w:r>
        <w:rPr>
          <w:b/>
        </w:rPr>
        <w:t>Shared claim-specific concepts:</w:t>
      </w:r>
      <w:r>
        <w:t xml:space="preserve"> based, multiple, regression, major; EU scope not established. This is a provisional connection, not an outcome finding.</w:t>
      </w:r>
    </w:p>
    <w:p>
      <w:pPr>
        <w:pStyle w:val="SourceNote"/>
      </w:pPr>
      <w:r>
        <w:rPr>
          <w:b/>
        </w:rPr>
        <w:t>Available abstract (not full text):</w:t>
      </w:r>
      <w:r>
        <w:t xml:space="preserve"> Abstract With the rise of artificial intelligence technology in the context of digital development of big data and information, the biosafety management method under the traditional model can hardly fit the development requirements of the times, and the biosafety management under the traditional model has various problems such as slow manual efficiency, tedious management work, and humanization of work. This paper focuses on studying a biosafety management strategy based on a multiple regression model, then analyzes and compares the two methods of the one-dimensional linear regression model and the multiple linear regression model. The study is conducted under the three indicators of biosafety management weight score. Arithmetic means to score and significance of 100 enterprises (schools, pharmaceutical companies, hospitals, and other types of these four major types) under the multiple linear regression model. The results show schools topped the list with a biosafety management weight score of 0.793. The arithmetic mean scores of the four categories of enterprises were ranked in descending order: schools, hospitals, pharmaceutical plants, and other categories. The size of the enterprise has a significant and positive effect on biosafety management, which means that the larger the size of the enterprise, the more resources the enterprise has under its control, and then the imple</w:t>
      </w:r>
    </w:p>
    <w:p>
      <w:pPr/>
      <w:r>
        <w:rPr>
          <w:b/>
        </w:rPr>
        <w:t>POSSIBLE 2023:</w:t>
      </w:r>
      <w:r>
        <w:t xml:space="preserve"> Development of Multiple Linear Regression Models for Predicting Chronic Iron Toxicity to Aquatic Organisms — https://doi.org/10.1002/etc.5623</w:t>
      </w:r>
    </w:p>
    <w:p>
      <w:pPr/>
      <w:r>
        <w:rPr>
          <w:b/>
        </w:rPr>
        <w:t>Shared claim-specific concepts:</w:t>
      </w:r>
      <w:r>
        <w:t xml:space="preserve"> based, multiple, regression, approach; EU scope visible. This is a provisional connection, not an outcome finding.</w:t>
      </w:r>
    </w:p>
    <w:p>
      <w:pPr>
        <w:pStyle w:val="SourceNote"/>
      </w:pPr>
      <w:r>
        <w:rPr>
          <w:b/>
        </w:rPr>
        <w:t>Available abstract (not full text):</w:t>
      </w:r>
      <w:r>
        <w:t xml:space="preserve"> Abstract We developed multiple linear regression (MLR) models for predicting iron (Fe) toxicity to aquatic organisms for use in deriving site-specific water quality guidelines (WQGs). The effects of dissolved organic carbon (DOC), hardness, and pH on Fe toxicity to three representative taxa (Ceriodaphnia dubia, Pimephales promelas, and Raphidocelis subcapitata) were evaluated. Both DOC and pH were identified as toxicity-modifying factors (TMFs) for P. promelas and R. subcapitata, whereas only DOC was a TMF for C. dubia. The MLR models based on effective concentration 10% and 20% values were developed and performed reasonably well, with adjusted R2 of 0.68–0.89 across all species and statistical endpoints. Differences among species in the MLR models precluded development of a pooled model. Instead, the species-specific models were assumed to be representative of invertebrates, fish, and algae and were applied accordingly to normalize toxicity data. The species sensitivity distribution (SSD) included standard laboratory toxicity data and effects data from mesocosm experiments on aquatic insects, with aquatic insects being the predominant taxa in the lowest quartile of the SSD. Using the European Union approach for deriving WQGs, application of MLR models to this SSD resulted in WQGs ranging from 114 to 765 μg l−1 Fe across the TMF conditions evaluated (DOC: 0.5–10 mg l−1; pH: 6.0</w:t>
      </w:r>
    </w:p>
    <w:p>
      <w:pPr/>
      <w:r>
        <w:rPr>
          <w:b/>
        </w:rPr>
        <w:t>POSSIBLE 2023:</w:t>
      </w:r>
      <w:r>
        <w:t xml:space="preserve"> Calculation and Analysis of Green GDP based on EWM and Multiple Linear Regression Model — https://doi.org/10.54097/hbem.v12i.8383</w:t>
      </w:r>
    </w:p>
    <w:p>
      <w:pPr/>
      <w:r>
        <w:rPr>
          <w:b/>
        </w:rPr>
        <w:t>Shared claim-specific concepts:</w:t>
      </w:r>
      <w:r>
        <w:t xml:space="preserve"> based, multiple, regression, scale; EU scope not established. This is a provisional connection, not an outcome finding.</w:t>
      </w:r>
    </w:p>
    <w:p>
      <w:pPr>
        <w:pStyle w:val="SourceNote"/>
      </w:pPr>
      <w:r>
        <w:rPr>
          <w:b/>
        </w:rPr>
        <w:t>Available abstract (not full text):</w:t>
      </w:r>
      <w:r>
        <w:t xml:space="preserve"> With the acceleration of the industrialization process, global problems such as resource shortage and ecological environment deterioration have become increasingly prominent. To uphold the concept of sustainable development, a real, feasible and scientific indicator: green GDP needs to be established urgently. But it is still difficult to promote green GDP on a global scale due to a lack of ideas and technology. In order to calculate and predict GGDP, resource and environmental factors are taken into account. Based on entropy weight method (EWM) and multiple linear regression, an improved global GGDP accounting method is constructed. The future development should pay attention to pollution prevention and ecological environment protection.</w:t>
      </w:r>
    </w:p>
    <w:p>
      <w:pPr/>
      <w:r>
        <w:rPr>
          <w:b/>
        </w:rPr>
        <w:t>POSSIBLE 2023:</w:t>
      </w:r>
      <w:r>
        <w:t xml:space="preserve"> Investment Demand Forecast for Grid Companies Based on Multiple Linear Regression Analysis — https://doi.org/10.4108/eai.19-5-2023.2334303</w:t>
      </w:r>
    </w:p>
    <w:p>
      <w:pPr/>
      <w:r>
        <w:rPr>
          <w:b/>
        </w:rPr>
        <w:t>Shared claim-specific concepts:</w:t>
      </w:r>
      <w:r>
        <w:t xml:space="preserve"> based, multiple, regression, population; EU scope not established. This is a provisional connection, not an outcome finding.</w:t>
      </w:r>
    </w:p>
    <w:p>
      <w:pPr>
        <w:pStyle w:val="SourceNote"/>
      </w:pPr>
      <w:r>
        <w:rPr>
          <w:b/>
        </w:rPr>
        <w:t>Available abstract (not full text):</w:t>
      </w:r>
      <w:r>
        <w:t xml:space="preserve"> Grid investment demand refers to the investment made by provincial power companies to ensure that strategic projects and decisions are steadily promoted, while building a safe and reliable grid according to the needs of social and economic development. First, the role of population, GDP, total energ</w:t>
      </w:r>
    </w:p>
    <w:p>
      <w:pPr>
        <w:pStyle w:val="Heading2"/>
      </w:pPr>
      <w:r>
        <w:t>585.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European Union/United Kingdom — https://doi.org/10.1093/law/9780198849155.003.0063</w:t>
      </w:r>
    </w:p>
    <w:p>
      <w:pPr/>
      <w:r>
        <w:rPr>
          <w:b/>
        </w:rPr>
        <w:t>Shared claim-specific concepts:</w:t>
      </w:r>
      <w:r>
        <w:t xml:space="preserve"> application, looks, three, role; EU scope visible. This is a provisional connection, not an outcome finding.</w:t>
      </w:r>
    </w:p>
    <w:p>
      <w:pPr>
        <w:pStyle w:val="SourceNote"/>
      </w:pPr>
      <w:r>
        <w:rPr>
          <w:b/>
        </w:rPr>
        <w:t>Available abstract (not full text):</w:t>
      </w:r>
      <w:r>
        <w:t xml:space="preserve"> Abstract This chapter evaluates international environmental law (IEL) in the courts of the European Union (EU) and the United Kingdom. This topic potentially covers many different kinds of courts, considering that the EU comprises many member states, each with its own court system, and the United Kingdom itself is a system of devolved government with different court systems. To draw out some key themes, the chapter focuses on decisions of the EU courts and the UK courts in England and Wales, as well as particularly notable decisions of other EU member state courts (available in English). The different experiences of IEL in these three sets of courts demonstrate that the doctrines of different legal systems and their legal cultures are critical to the experiences of their courts in implementing IEL. The chapter examines the reception and application of IEL in these different courts in two steps. It first looks at cases in which IEL has been directly applied by courts, considering the complex EU law in this area, and the EU's special role in implementing IEL in member states. The chapter then addresses cases where IEL applies indirectly in judicial reasoning.</w:t>
      </w:r>
    </w:p>
    <w:p>
      <w:pPr/>
      <w:r>
        <w:rPr>
          <w:b/>
        </w:rPr>
        <w:t>POSSIBLE 2021:</w:t>
      </w:r>
      <w:r>
        <w:t xml:space="preserve"> Complex Projects and Transition-Driven Evaluation: The Case of the easyRights European Project — https://doi.org/10.3390/su13042343</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More and more, the evaluation of complex projects is being related to the capacity of the project to deal with crucial social, economic, and environmental issues that society is responsible for and with the activation of systemic changes. Within this “mission” perspective, growing attention is given to learning in action. This paper aims at (i) conceptualizing a methodological framework for complex project evaluation within the context of the Triple-Loop Learning mechanism and (ii) showing its application in a European project as well as including the toolbox developed in coherence with the elaborated framework. It does so by looking at the case of an ongoing Horizon 2020 project aiming to develop language-oriented technologies supporting the inclusion of migrants in Europe. In particular, the paper looks at Triple-Loop Learning as pushed by the reflection on three dimensions: the “what”, the “how”, and the “why” of collective actions in complex projects. The consequent learning process is expected to have transformational potentials at the individual, institutional/organizational, and (in the long term) up to the societal scale. By exploring the opportunities offered by the evaluation tools in the easyRights project, the study highlights the potential of nurturing a wider, arguably neglected as yet, learning space for understanding, engaging, and transforming real contexts and</w:t>
      </w:r>
    </w:p>
    <w:p>
      <w:pPr>
        <w:pStyle w:val="Heading2"/>
      </w:pPr>
      <w:r>
        <w:t>586.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2022:</w:t>
      </w:r>
      <w:r>
        <w:t xml:space="preserve"> ‘Confused about Predicting whether This Kid is Good or Not’ — https://doi.org/10.53088/eej.v1i2.556</w:t>
      </w:r>
    </w:p>
    <w:p>
      <w:pPr/>
      <w:r>
        <w:rPr>
          <w:b/>
        </w:rPr>
        <w:t>Shared claim-specific concepts:</w:t>
      </w:r>
      <w:r>
        <w:t xml:space="preserve"> not, about, predicting; EU scope not established. This is a provisional connection, not an outcome finding.</w:t>
      </w:r>
    </w:p>
    <w:p>
      <w:pPr>
        <w:pStyle w:val="SourceNote"/>
      </w:pPr>
      <w:r>
        <w:rPr>
          <w:b/>
        </w:rPr>
        <w:t>Available abstract (not full text):</w:t>
      </w:r>
      <w:r>
        <w:t xml:space="preserve"> Backgrounds: The study analyzed the evaluation of social attitudes in the primary schools in Karanganyar Regency, Indonesia: honesty, discipline, responsibility, and tolerance. Methods: A qualitative descriptive technique with a case study design was employed in this investigation. There were eight recruits made up of both instructors and pupils. Observation and interview were the approaches utilized in this investigation. Data is evaluated through data reduction, presenting of data, and formulation of conclusions. Technical triangulation and source triangulation were evaluation procedures to evaluate the veracity of the data. Results: This study showed evaluations carried out; there were two evaluations for students and an evaluation for parents at Dabin I RA Kartini Elementary School. The obstacles that were complained about by the teachers were mostly about time constraints. Implications: The results of this study can be a reference for authors, teachers, and school principals in evaluating the assessment of social attitudes correctly Novelty: The present study revealed the evaluation of social attitudes assessment in primary school comprehensively.</w:t>
      </w:r>
    </w:p>
    <w:p>
      <w:pPr/>
      <w:r>
        <w:rPr>
          <w:b/>
        </w:rPr>
        <w:t>POSSIBLE 2021:</w:t>
      </w:r>
      <w:r>
        <w:t xml:space="preserve"> What big data in health care can teach us about predictive policing — https://doi.org/10.4324/9780429265365-6</w:t>
      </w:r>
    </w:p>
    <w:p>
      <w:pPr/>
      <w:r>
        <w:rPr>
          <w:b/>
        </w:rPr>
        <w:t>Shared claim-specific concepts:</w:t>
      </w:r>
      <w:r>
        <w:t xml:space="preserve"> about, forefront, come; EU scope not established. This is a provisional connection, not an outcome finding.</w:t>
      </w:r>
    </w:p>
    <w:p>
      <w:pPr>
        <w:pStyle w:val="SourceNote"/>
      </w:pPr>
      <w:r>
        <w:rPr>
          <w:b/>
        </w:rPr>
        <w:t>Available abstract (not full text):</w:t>
      </w:r>
      <w:r>
        <w:t xml:space="preserve"> The chapter examines how the established use of predictive analytics in one field—policing—can offer insights for its newer application in another—health care—and vice versa. Predictive policing has now been around for decades, employed by police departments across the United States and studied by scholars and policymakers alike. The use of predictive analytics in health care, by contrast, is only now starting to come to the forefront of the profession. Placing the fields side-by-side reveals substantial and important areas of overlap: the balance between privacy and innovation; how professional roles must adapt to new technologies; when reliance on big data changes from blessing to curse; how regulatory regimes should evolve; and many more. As we explore, to the degree that lessons can be learned from this dialogue, they go in both directions.</w:t>
      </w:r>
    </w:p>
    <w:p>
      <w:pPr/>
      <w:r>
        <w:rPr>
          <w:b/>
        </w:rPr>
        <w:t>POSSIBLE 2021:</w:t>
      </w:r>
      <w:r>
        <w:t xml:space="preserve"> Communication processes about predictive genetic testing within high-risk breast cancer families: a two-phase study design — https://doi.org/10.1038/s41598-021-98737-8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Abstract Background: The detection of a pathogenic variant in the BRCA1 or BRCA2 gene has medical and psychological consequences for both, affected mutation carriers and their relatives. This study analyzed the psychological impact of genetic testing and mutation-positive test result as well as associated family communication processes from the perspective of BRCA1 or BRCA2 mutation carriers and their family members.Methods: We conducted a two-phase study with explanatory sequential mixed methods design to understand the perspective of psychological process regarding genetic testing more efficiently. First, we analyzed a survey data of 79 carriers of a BRCA1 or BRCA2 mutation. Second, we conducted focus group interviews of 10 family members to deepen understanding of communication processes in high-risk families.Results: The average age of the BRCA1 or BRCA2 mutation carriers was 48 years, 58% had a history of cancer. The majority (64.6%) had general psychological distress independent of cancer diagnosis in the patients’ history. The point prevalence of depression was 16.9%. The main motives for undergoing genetic testing were desire for safety, prevention and risk assessment for the own children. The mutation carriers were satisfied with the decision to undergo genetic testing. Contrary to their subjective perception, the respondents' knowledge about those mutations was modera</w:t>
      </w:r>
    </w:p>
    <w:p>
      <w:pPr>
        <w:pStyle w:val="Heading2"/>
      </w:pPr>
      <w:r>
        <w:t>587.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2021:</w:t>
      </w:r>
      <w:r>
        <w:t xml:space="preserve"> Early Detection of Failing Automotive Batteries Using Gas Sensors — https://doi.org/10.3390/batteries7020025</w:t>
      </w:r>
    </w:p>
    <w:p>
      <w:pPr/>
      <w:r>
        <w:rPr>
          <w:b/>
        </w:rPr>
        <w:t>Shared claim-specific concepts:</w:t>
      </w:r>
      <w:r>
        <w:t xml:space="preserve"> produced, failing, case; EU scope not established. This is a provisional connection, not an outcome finding.</w:t>
      </w:r>
    </w:p>
    <w:p>
      <w:pPr>
        <w:pStyle w:val="SourceNote"/>
      </w:pPr>
      <w:r>
        <w:rPr>
          <w:b/>
        </w:rPr>
        <w:t>Available abstract (not full text):</w:t>
      </w:r>
      <w:r>
        <w:t xml:space="preserve"> Safety for automotive lithium-ion battery (LIB) applications is of crucial importance, especially for electric vehicle applications using batteries with high capacity and high energy density. In case of a defect inside or outside the cell, serious safety risks are possible including extensive heat generation, toxic and flammable gas generation, and consequently fire and explosion. New regulations (GB 38031-2020) require a warning for passengers at least five minutes before serious incidents. This regulation can hardly be fulfilled with state-of-the-art battery monitoring. In this study, gases produced during battery failure before and during a thermal runaway (TR) are investigated in detail and the use of different gas sensors as early detectors of battery incidents is tested and proposed. The response of several commercially available gas sensors is tested in four battery failure cases: unwanted electrolysis of voltage carrying parts, electrolyte vapor, first venting of the cell and the TR. The experiments show that battery failure detection with gas sensors is possible but depends highly on the failure case. The chosen gas sensor can detect H2 produced by unwanted electrolysis and electrolyte vapor and gases produced by degassing of state-of-the-art LIBs. The results may contribute significantly to failure detection and improvement of battery safety.</w:t>
      </w:r>
    </w:p>
    <w:p>
      <w:pPr/>
      <w:r>
        <w:rPr>
          <w:b/>
        </w:rPr>
        <w:t>POSSIBLE 2021:</w:t>
      </w:r>
      <w:r>
        <w:t xml:space="preserve"> Influence of Aging on the Failing Behavior of Automotive Lithium-Ion Batteries — https://doi.org/10.3390/batteries7020023</w:t>
      </w:r>
    </w:p>
    <w:p>
      <w:pPr/>
      <w:r>
        <w:rPr>
          <w:b/>
        </w:rPr>
        <w:t>Shared claim-specific concepts:</w:t>
      </w:r>
      <w:r>
        <w:t xml:space="preserve"> three, produced, failing; EU scope not established. This is a provisional connection, not an outcome finding.</w:t>
      </w:r>
    </w:p>
    <w:p>
      <w:pPr>
        <w:pStyle w:val="SourceNote"/>
      </w:pPr>
      <w:r>
        <w:rPr>
          <w:b/>
        </w:rPr>
        <w:t>Available abstract (not full text):</w:t>
      </w:r>
      <w:r>
        <w:t xml:space="preserve"> Lithium-ion batteries (LIBs) are a dominant state-of-the-art energy storage system and have importance in the automotive sector. Still, LIBs suffer from aging effects and serious hazards from failing batteries are possible. These failures can lead to exothermic chemical reactions inside the cell, ending up in thermal runaway (TR). TR has caused most electric vehicle (EV) fires. Since statistically most accidents with EVs happen after about one year of vehicle usage, in particular, the failing behavior of aged cells needs to be investigated. Little information is available in open literature about the influence of aging paths on the failing behavior and especially on the degassing behavior of large automotive LIBs. Therefore, this study investigates the influence of three different aging paths (cyclic at −10 °C and at 45 °C and calendric at 60 °C) on the thermal behavior, the vent gas emission, and the vent gas composition. The results show a clear effect of aging on the failing behavior. The aged cells showed a less violent failing reaction, reduced maximal temperatures, lower amount of produced gas, significantly lower amount of CO in the vent gas, and lower mass loss than fresh cells in the same overtemperature experiments. The results are valuable for the scientific and industrial community dealing with LIBs.</w:t>
      </w:r>
    </w:p>
    <w:p>
      <w:pPr/>
      <w:r>
        <w:rPr>
          <w:b/>
        </w:rPr>
        <w:t>POSSIBLE 2021:</w:t>
      </w:r>
      <w:r>
        <w:t xml:space="preserve"> Failure and failing, an ethos of the (self) exiled? The case of the playwright William Saroyan — https://doi.org/10.4000/agon.8325</w:t>
      </w:r>
    </w:p>
    <w:p>
      <w:pPr/>
      <w:r>
        <w:rPr>
          <w:b/>
        </w:rPr>
        <w:t>Shared claim-specific concepts:</w:t>
      </w:r>
      <w:r>
        <w:t xml:space="preserve"> failing, case, status; EU scope not established. This is a provisional connection, not an outcome finding.</w:t>
      </w:r>
    </w:p>
    <w:p>
      <w:pPr>
        <w:pStyle w:val="SourceNote"/>
      </w:pPr>
      <w:r>
        <w:rPr>
          <w:b/>
        </w:rPr>
        <w:t>Available abstract (not full text):</w:t>
      </w:r>
      <w:r>
        <w:t xml:space="preserve"> This article discusses the authorial persona of American novelist and playwright William Saroyan. It is argued that his approach to failure was an essential element of his ethos and a means of endorsing his role and his social status as a writer, reflecting his disapproval of utilitarianism and conventional definitions of success, equated with wealth and celebrity.</w:t>
      </w:r>
    </w:p>
    <w:p>
      <w:pPr>
        <w:pStyle w:val="Heading2"/>
      </w:pPr>
      <w:r>
        <w:t>588.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used, regional, climate, simulations, euro-cordex, rcp8;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regional, climate, present;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Local Climate Risks in sight of realistic climate targets: Projecting Co-occurrence of Heat Extremes in Central Europe Using Downscaled CMIP6 and Regional Scenarios — https://doi.org/10.5194/ems2025-241</w:t>
      </w:r>
    </w:p>
    <w:p>
      <w:pPr/>
      <w:r>
        <w:rPr>
          <w:b/>
        </w:rPr>
        <w:t>Shared claim-specific concepts:</w:t>
      </w:r>
      <w:r>
        <w:t xml:space="preserve"> regional, climate, warming, levels, case; EU scope visible. This is a provisional connection, not an outcome finding.</w:t>
      </w:r>
    </w:p>
    <w:p>
      <w:pPr>
        <w:pStyle w:val="SourceNote"/>
      </w:pPr>
      <w:r>
        <w:rPr>
          <w:b/>
        </w:rPr>
        <w:t>Available abstract (not full text):</w:t>
      </w:r>
      <w:r>
        <w:t xml:space="preserve"> Humanity will face the challenge of adapting to the impacts of global warming besides those that have already occurred, even if political ambitions are realized. Challenges differ regionally and include a wide range of weather extremes, which means not only the increasing frequency of dangerous “usual” climatic events but also unprecedented impacts outside of the climate system's natural variability. Many regions globally, including Central Europe, have already experienced changes in climate extremes higher than the internal variability of the climate system. The signal is shown to be especially robust in case of heat extremes, such as warm days or warm nights, with signals reflecting unusual or even unfamiliar conditions. Our analysis focuses on heat-related extreme events, including their co-occurrence. We use a targeted subset of CMIP6 models known for their robust performance over Europe, supplemented by high-resolution regional climate scenarios. We employed different downscaling techniques, including convection-permitting regional climate simulation, to evaluate the sensitivity of results to methodological choices and to better capture regional-to-local-scale climate signals. Rather than focusing on specific emissions scenario pathways, we analyse projections at different levels of global warming. This approach allows us to explore the manifestation of heat-related extrem</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2024:</w:t>
      </w:r>
      <w:r>
        <w:t xml:space="preserve"> Assessing the effects of heat and droughts on forest-climate interactions in Europe using a regional climate model with an interactively coupled vegetation module — https://doi.org/10.5194/egusphere-egu24-10675</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effects of heat and droughts on forest-climate interactions in Europe using a regional climate model with an interactively coupled vegetation module — https://doi.org/10.5281/zenodo.20128050</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regional, climate, simulations, between;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regional, climate, simulations;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Did the Bronze Age deforestation of Europe affect its climate? A regional climate model study using pollen-based land cover reconstructions — https://doi.org/10.5194/cp-19-1507-2023</w:t>
      </w:r>
    </w:p>
    <w:p>
      <w:pPr/>
      <w:r>
        <w:rPr>
          <w:b/>
        </w:rPr>
        <w:t>Shared claim-specific concepts:</w:t>
      </w:r>
      <w:r>
        <w:t xml:space="preserve"> used, regional, climate, simulations, representing, between; EU scope visible. This is a provisional connection, not an outcome finding.</w:t>
      </w:r>
    </w:p>
    <w:p>
      <w:pPr>
        <w:pStyle w:val="SourceNote"/>
      </w:pPr>
      <w:r>
        <w:rPr>
          <w:b/>
        </w:rPr>
        <w:t>Available abstract (not full text):</w:t>
      </w:r>
      <w:r>
        <w:t xml:space="preserve"> Abstract. This paper studies the impact of land use and land-cover change (LULCC) on the climate around 2 500 years ago (2.5 ka), a period of rapid transitions across the European landscape. One global climate model was used to force two regional climate models (RCMs). The RCMs used two land cover descriptions. The first was from a dynamical vegetation model representing potential land cover; the second a land cover description reconstructed from pollen data by statistical interpolation. The two different land covers enable us to study the impact of land cover on climate conditions. Since the difference in landscape openness between potential and reconstructed land cover is mostly due to LULCC, this can be taken as a measure of early anthropogenic effects on climate. The use of two RCMs enables us to study how sensitive climate models can be to land-cover changes. The results show that the simulated 2.5 ka climate was warmer than the simulated pre-industrial (PI) climate. The largest differences are seen in northern Europe, where the 2.5 ka climate is 2–4 °C warmer than PI. In summer, the difference between the simulated 2.5 ka and PI climates is smaller (0–3 °C), with the smallest differences in southern Europe. Differences in seasonal precipitation are mostly within ±10 %. In parts of northern Europe, the 2.5 ka climate is up to 30 % wetter in winter than that of PI. In summe</w:t>
      </w:r>
    </w:p>
    <w:p>
      <w:pPr/>
      <w:r>
        <w:rPr>
          <w:b/>
        </w:rPr>
        <w:t>POSSIBLE 2023:</w:t>
      </w:r>
      <w:r>
        <w:t xml:space="preserve"> Review of "High resolution LGM climate over Europe and the Alpine region using the regional climate model WRF" by E. Russo and coauthors — https://doi.org/10.5194/egusphere-2023-1197-rc2</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Supplementary material to "High resolution LGM climate over Europe and the Alpine region using the regional climate model WRF" — https://doi.org/10.5194/egusphere-2023-1197-supplement</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Unavailable</w:t>
      </w:r>
    </w:p>
    <w:p>
      <w:pPr>
        <w:pStyle w:val="Heading2"/>
      </w:pPr>
      <w:r>
        <w:t>589.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2023:</w:t>
      </w:r>
      <w:r>
        <w:t xml:space="preserve"> Contesting Europe: Eurosceptic Dissent and Integration Polarization in the European Parliament — https://doi.org/10.1111/jcms.13448</w:t>
      </w:r>
    </w:p>
    <w:p>
      <w:pPr/>
      <w:r>
        <w:rPr>
          <w:b/>
        </w:rPr>
        <w:t>Shared claim-specific concepts:</w:t>
      </w:r>
      <w:r>
        <w:t xml:space="preserve"> abstract, article, provides, comprehensive; EU scope visible. This is a provisional connection, not an outcome finding.</w:t>
      </w:r>
    </w:p>
    <w:p>
      <w:pPr>
        <w:pStyle w:val="SourceNote"/>
      </w:pPr>
      <w:r>
        <w:rPr>
          <w:b/>
        </w:rPr>
        <w:t>Available abstract (not full text):</w:t>
      </w:r>
      <w:r>
        <w:t xml:space="preserve"> Abstract This article provides a comprehensive analysis of Eurosceptic contestation within the legislative arena of the European Parliament (EP) from 2009 to 2019. Under what conditions do Eurosceptics vote differently from their Europhile peers? The literatures on European integration, party competition and policy types lead us to expect variation in Eurosceptic contestation across policy areas. Drawing on roll‐call votes in the EP, we introduce two new measures of such contestation: Eurosceptic dissent, that is, the extent to which Eurosceptics diverge from the Europhile plurality, and integration polarization, that is, the extent to which Eurosceptics and Europhiles oppose each other as cohesive camps. Our two indicators show that Eurosceptic contestation is particularly pronounced when the EP votes on cultural, distributive and constituent issues. When voting on redistributive policies, in contrast, dissent and polarization are curbed by national and ideological diversity.</w:t>
      </w:r>
    </w:p>
    <w:p>
      <w:pPr/>
      <w:r>
        <w:rPr>
          <w:b/>
        </w:rPr>
        <w:t>POSSIBLE 2023:</w:t>
      </w:r>
      <w:r>
        <w:t xml:space="preserve"> Selective European Solidarity: How Recipient Country Characteristics Shape Support for International Redistribution in Europe — https://doi.org/10.1111/jcms.13506</w:t>
      </w:r>
    </w:p>
    <w:p>
      <w:pPr/>
      <w:r>
        <w:rPr>
          <w:b/>
        </w:rPr>
        <w:t>Shared claim-specific concepts:</w:t>
      </w:r>
      <w:r>
        <w:t xml:space="preserve"> abstract, article, union, also; EU scope visible. This is a provisional connection, not an outcome finding.</w:t>
      </w:r>
    </w:p>
    <w:p>
      <w:pPr>
        <w:pStyle w:val="SourceNote"/>
      </w:pPr>
      <w:r>
        <w:rPr>
          <w:b/>
        </w:rPr>
        <w:t>Available abstract (not full text):</w:t>
      </w:r>
      <w:r>
        <w:t xml:space="preserve"> Abstract This article analyses how the characteristics of recipient countries shape individual support for international redistribution in Europe. Whilst a growing body of research has looked into the determinants of support for international redistribution, we argue that individuals may not be willing to redistribute in equal measure to any foreign country. We use data from a survey asking respondents in 14 European countries whether they think their governments should provide financial help to 35 [European Union (EU) and non‐EU] foreign countries in the event of a major crisis. We show that individuals are more likely to support helping foreign countries that speak the same language, are geographically close, have deeper trade links, are poorer than their own and are also EU members. Individuals who are more sceptical towards international redistribution are more likely to discriminate amongst foreign countries in their support for redistribution across borders.</w:t>
      </w:r>
    </w:p>
    <w:p>
      <w:pPr/>
      <w:r>
        <w:rPr>
          <w:b/>
        </w:rPr>
        <w:t>POSSIBLE 2022:</w:t>
      </w:r>
      <w:r>
        <w:t xml:space="preserve"> Two Ways of Completing the European Fundamental Rights Union: Amendment to vs. Reinterpretation of Article 51 of the EU Charter of Fundamental Rights — https://doi.org/10.1017/cel.2022.5</w:t>
      </w:r>
    </w:p>
    <w:p>
      <w:pPr/>
      <w:r>
        <w:rPr>
          <w:b/>
        </w:rPr>
        <w:t>Shared claim-specific concepts:</w:t>
      </w:r>
      <w:r>
        <w:t xml:space="preserve"> abstract, article, union, law, also; EU scope visible. This is a provisional connection, not an outcome finding.</w:t>
      </w:r>
    </w:p>
    <w:p>
      <w:pPr>
        <w:pStyle w:val="SourceNote"/>
      </w:pPr>
      <w:r>
        <w:rPr>
          <w:b/>
        </w:rPr>
        <w:t>Available abstract (not full text):</w:t>
      </w:r>
      <w:r>
        <w:t xml:space="preserve"> Abstract The aim of this Article is to show that the enforcement of Article 2 of the Treaty on European Union (‘TEU’) values vis-à-vis Member States could benefit from the application of the EU Charter of Fundamental Rights (‘CFR’) also in instances where the current interpretation of Article 51(1) CFR prevents this. This would be the case if the CFR were also applicable to purely domestic cases, eg—but not only—with regard to fundamental rights-relevant violations related to the values enshrined in Article 2 TEU. In this case, the European Court of Justice, which has already partly taken this path recently, could prevent the violation of core EU values. The most important historical challenge to those values in Europe today is the systematic dismantling of the rule of law and democracy in certain Member States. It is the very purpose of fundamental rights to provide answers to such dangers. When one speaks of the rule of law and democracy, one necessarily also means fundamental rights. This Article thus advocates an EU which perceives itself as a complete fundamental rights union. While the traditional interpretation of Article 51(1) CFR had a balanced division of competence between the EU and its Member States in mind, the disregard of Article 2 TEU values triggers a clausula rebus sic stantibus: the neat federal balance can only be upheld if both ends stick to the original p</w:t>
      </w:r>
    </w:p>
    <w:p>
      <w:pPr/>
      <w:r>
        <w:rPr>
          <w:b/>
        </w:rPr>
        <w:t>POSSIBLE 2022:</w:t>
      </w:r>
      <w:r>
        <w:t xml:space="preserve"> Wind erosion in European agricultural landscapes: More than physics — https://doi.org/10.1002/pan3.10418</w:t>
      </w:r>
    </w:p>
    <w:p>
      <w:pPr/>
      <w:r>
        <w:rPr>
          <w:b/>
        </w:rPr>
        <w:t>Shared claim-specific concepts:</w:t>
      </w:r>
      <w:r>
        <w:t xml:space="preserve"> abstract, article, climate; EU scope visible. This is a provisional connection, not an outcome finding.</w:t>
      </w:r>
    </w:p>
    <w:p>
      <w:pPr>
        <w:pStyle w:val="SourceNote"/>
      </w:pPr>
      <w:r>
        <w:rPr>
          <w:b/>
        </w:rPr>
        <w:t>Available abstract (not full text):</w:t>
      </w:r>
      <w:r>
        <w:t xml:space="preserve">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pPr/>
      <w:r>
        <w:rPr>
          <w:b/>
        </w:rPr>
        <w:t>POSSIBLE 2022:</w:t>
      </w:r>
      <w:r>
        <w:t xml:space="preserve"> European Union Litigation — https://doi.org/10.1515/ercl-2022-2049</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European Union Litigation — https://doi.org/10.1515/ercl-2022-2038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2021:</w:t>
      </w:r>
      <w:r>
        <w:t xml:space="preserve"> The Integrated Carbon Observation System in Europe — https://doi.org/10.1175/bams-d-19-0364.1</w:t>
      </w:r>
    </w:p>
    <w:p>
      <w:pPr/>
      <w:r>
        <w:rPr>
          <w:b/>
        </w:rPr>
        <w:t>Shared claim-specific concepts:</w:t>
      </w:r>
      <w:r>
        <w:t xml:space="preserve"> abstract, article, provides, climate, also; EU scope visible. This is a provisional connection, not an outcome finding.</w:t>
      </w:r>
    </w:p>
    <w:p>
      <w:pPr>
        <w:pStyle w:val="SourceNote"/>
      </w:pPr>
      <w:r>
        <w:rPr>
          <w:b/>
        </w:rPr>
        <w:t>Available abstract (not full text):</w:t>
      </w:r>
      <w:r>
        <w:t xml:space="preserve">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pPr/>
      <w:r>
        <w:rPr>
          <w:b/>
        </w:rPr>
        <w:t>POSSIBLE 2021:</w:t>
      </w:r>
      <w:r>
        <w:t xml:space="preserve"> European Union Litigation — https://doi.org/10.1515/ercl-2021-2028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Pandemic Politics: The European Union in Times of the Coronavirus Emergency — https://doi.org/10.1111/jcms.13303</w:t>
      </w:r>
    </w:p>
    <w:p>
      <w:pPr/>
      <w:r>
        <w:rPr>
          <w:b/>
        </w:rPr>
        <w:t>Shared claim-specific concepts:</w:t>
      </w:r>
      <w:r>
        <w:t xml:space="preserve"> abstract, article, provides, union, law; EU scope visible. This is a provisional connection, not an outcome finding.</w:t>
      </w:r>
    </w:p>
    <w:p>
      <w:pPr>
        <w:pStyle w:val="SourceNote"/>
      </w:pPr>
      <w:r>
        <w:rPr>
          <w:b/>
        </w:rPr>
        <w:t>Available abstract (not full text):</w:t>
      </w:r>
      <w:r>
        <w:t xml:space="preserve"> Abstract This article provides an assessment of the EU institutions' response to the coronavirus pandemic. By building on a synthesis of the new intergovernmentalism and the emergency politics approach it contends that the effectiveness and legitimacy of de novo bodies like the European Stability Mechanism (ESM) and the European Investment Bank (EIB) have fallen prey to its intergovernmental decision‐making structure, whereas the ECB has proven to be more resilient. The European Commission as the traditional engine of European integration was able to fill the gap with its large‐scale recovery instrument termed ‘Next Generation EU’ and via the creation of a temporary loan‐based instrument to support national short‐term work schemes (SURE). The historic July 2020 European Council produced policy outputs such as the ‘emergency brake’ and the diluted ‘rule of law mechanism’ that have the potential to deepen the rift between polarized member states.</w:t>
      </w:r>
    </w:p>
    <w:p>
      <w:pPr>
        <w:pStyle w:val="Heading2"/>
      </w:pPr>
      <w:r>
        <w:t>590.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2024:</w:t>
      </w:r>
      <w:r>
        <w:t xml:space="preserve"> Unequal geographies of gender-affirming care: A comparative typology of trans-specific healthcare systems across Europe — https://doi.org/10.1016/j.socscimed.2024.117145</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RATIONALE: Gender-affirming healthcare can carry significant benefits for trans people. However, there are substantial geographical inequalities in the provision of and access to trans-specific healthcare across Europe. Comparative healthcare systems research has typically focused on universal services, neglecting provision which serves specific groups within populations (e.g., trans people). OBJECTIVE: This study aimed to develop a comparative typology of trans-specific healthcare systems across 28 European countries (the EU 27 plus the UK), and to examine country-level correlates which may influence or be influenced by these systems. METHODS: Using hierarchical and k-means cluster analysis, countries were classified into four types based on measures of trans-specific healthcare provision, regulation and access. Possible country-level correlates (including socio-political climate, medical outcomes, and the general healthcare system) were investigated. RESULTS AND DISCUSSION: The cluster analysis identified four clusters of trans-specific healthcare systems in Europe, characterized as: 1) Centralized conservative (highly centralized, extensive range of treatments, few trans-specific government policies); 2) Centralized reformist (highly centralized, extensive range of treatments, multiple trans-specific government policies); 3) Decentralized marketized (highly decentralized, mo</w:t>
      </w:r>
    </w:p>
    <w:p>
      <w:pPr/>
      <w:r>
        <w:rPr>
          <w:b/>
        </w:rPr>
        <w:t>POSSIBLE 2024:</w:t>
      </w:r>
      <w:r>
        <w:t xml:space="preserve"> A survey-based assessment of attitudes and needs regarding tinnitus healthcare among patients and healthcare professionals in Europe — https://doi.org/10.3389/fauot.2024.1347283</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Despite good agreement of national guidelines for the assessment and treatment of tinnitus, there is still substantial variation regarding tinnitus-related healthcare across Europe. In contrast to previous work, which has mainly focussed on the perspective of healthcare professionals, we here report the results of separate web-based surveys conducted with clinicians and researchers as well as tinnitus patients. These surveys were devised to obtain information about their respective attitudes and needs with respect to tinnitus healthcare, and to reveal possible interdisciplinary inconsistencies among clinicians and researchers. We mainly targeted participants from Germany, Cyprus, and Greece, the countries in which the institutions of the researchers involved in this project are based. Results showed, firstly, that the treatment satisfaction of the patients was overall more negative than that of the clinicians and researchers, and that the patients' treatment satisfaction did not depend on the number of different treatments they had received. Secondly, patients as well as clinicians and researchers indicated that they were interested in learning more about a variety of tinnitus-related topics, especially treatment strategies, with no marked differences between clinicians from different professional disciplines. This suggests similar tinnitus-specific educational needs in patient</w:t>
      </w:r>
    </w:p>
    <w:p>
      <w:pPr/>
      <w:r>
        <w:rPr>
          <w:b/>
        </w:rPr>
        <w:t>POSSIBLE 2023:</w:t>
      </w:r>
      <w:r>
        <w:t xml:space="preserve"> Racism against racialized migrants in healthcare in Europe: a scoping review — https://doi.org/10.1186/s12939-023-02014-1</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BACKGROUND: Racism is frequently mentioned as a social determinant of migrants' health and a barrier to health services. However, in the European context, racism and its impact on racialized migrants' access to healthcare is remarkably under-researched. This scoping review makes a first step toward filling this void by mapping the existing literature on racial and ethnic discrimination against racialized migrants in healthcare in Europe, identifying evidence gaps, and offering recommendations for future research on this topic. METHODS: Following PRISMA guidelines, four databases were searched for empirical studies published in English between 1992 and 2022. Studies were included if they report findings on manifestations, experiences and/or impacts of racial or ethnic discrimination against racialized migrants in a healthcare setting in a European country. They were summarized by study characteristics (geographical scope, study design, research question and measures) and research findings were synthesized. RESULTS: Out of 2365 initial hits, 1724 records were included in the title/abstract-screening, 87 records in the full text-screening, and 38 records in the data extraction. For many country and healthcare contexts, evidence on racism in healthcare is lacking. Most studies apply an explorative qualitative research design; comparability and generalizability of research results a</w:t>
      </w:r>
    </w:p>
    <w:p>
      <w:pPr/>
      <w:r>
        <w:rPr>
          <w:b/>
        </w:rPr>
        <w:t>POSSIBLE 2023:</w:t>
      </w:r>
      <w:r>
        <w:t xml:space="preserve"> Socio-demographic and regional differences in unmet healthcare needs among migrants in Europe — https://doi.org/10.1371/journal.pone.0285886</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Different barriers that hinder migrants' access to healthcare may have detrimental effect on health but also contribute to health inequalities. Given the lack of evidence on unmet healthcare needs among European migrant population, the study aimed to analyse the demographic, socio-economic and health-related patterning of unmet healthcare needs among migrants in Europe. METHODS: European Health Interview Survey data from 2013-2015 covering 26 countries was used to analyse associations of individual-level factors and unmet healthcare needs among migrants (n = 12,817). Prevalences and 95% confidence intervals for unmet healthcare needs were presented for geographical regions and countries. Associations between unmet healthcare needs and demographic, socio-economic, and health indicators were analysed using Poisson regression models. RESULTS: The overall prevalence of unmet healthcare needs among migrants was 27.8% (95% CI 27.1-28.6) but the estimate varied substantially across geographical regions in Europe. Unmet healthcare needs due to cost or access were patterned by various demographic, socio-economic, and health-related indicators but higher prevalence of UHN were universally found for women, those with the lowest income, and poor health. CONCLUSIONS: While the high level of unmet healthcare needs illustrate migrants' vulnerability to health risks, the regional v</w:t>
      </w:r>
    </w:p>
    <w:p>
      <w:pPr/>
      <w:r>
        <w:rPr>
          <w:b/>
        </w:rPr>
        <w:t>POSSIBLE 2022:</w:t>
      </w:r>
      <w:r>
        <w:t xml:space="preserve"> P1034: HEALTHCARE UTILIZATION OF PATIENTS WITH HYPEREOSINOPHILIC SYNDROME IN EUROPE — https://doi.org/10.1097/01.hs9.0000847004.53726.7b</w:t>
      </w:r>
    </w:p>
    <w:p>
      <w:pPr/>
      <w:r>
        <w:rPr>
          <w:b/>
        </w:rPr>
        <w:t>Shared claim-specific concepts:</w:t>
      </w:r>
      <w:r>
        <w:t xml:space="preserve"> between, overall, healthcare, burden; EU scope visible. This is a provisional connection, not an outcome finding.</w:t>
      </w:r>
    </w:p>
    <w:p>
      <w:pPr>
        <w:pStyle w:val="SourceNote"/>
      </w:pPr>
      <w:r>
        <w:rPr>
          <w:b/>
        </w:rPr>
        <w:t>Available abstract (not full text):</w:t>
      </w:r>
      <w:r>
        <w:t xml:space="preserve"> Background: Hypereosinophilic syndrome (HES) is a rare group of blood disorders characterized by prolonged eosinophilia that can lead to tissue and organ damage. HES was previously considered to be largely idiopathic, but myeloid and lymphocytic variants are also now recognized. The disease may manifest in multiple organ systems, most commonly the heart, nervous system, gastrointestinal tract, skin, and lungs, due to eosinophilic infiltration. Treatment aims to reduce eosinophil counts, and the current standard of care consists of high-dose glucocorticosteroids, despite the risks associated with high doses or long exposure, and antineoplastic agents for those with more severe disease or who do not respond to steroids. Healthcare resource utilization (HCRU) in patients with HES is not well characterized, and data from clinical trials may not be representative of the general disease population encountered in real-world settings. Aims: To describe HES-related HCRU among a real-world cohort of patients with a confirmed diagnosis of HES in Europe. Methods: This retrospective chart review study included patients ≥6 years old with a confirmed diagnosis of HES and ≥1 year of follow-up data from index (first physician encounter: Jan 2015–Dec 2019). Chart review was conducted by physicians in 5 European countries (France, Germany, Italy, Spain, and the United Kingdom [UK]). Data from a s</w:t>
      </w:r>
    </w:p>
    <w:p>
      <w:pPr/>
      <w:r>
        <w:rPr>
          <w:b/>
        </w:rPr>
        <w:t>POSSIBLE 2022:</w:t>
      </w:r>
      <w:r>
        <w:t xml:space="preserve"> Work schedule characteristics associated with sleep disturbance among healthcare professionals in Europe and South Korea: a report from two cross-sectional surveys — https://doi.org/10.1186/s12912-022-00974-3</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Healthcare professionals worldwide are prone to sleep disturbance. Such sleep disturbance is associated with lower patient safety and quality of care. Therefore, this study aimed to identify the prevalence of sleep disturbance and determine the effect of work schedule characteristics on sleep disturbance among healthcare professionals in Europe and South Korea. METHODS: We used the sixth European Working Conditions Survey and the fifth Korean Working Conditions Survey for analyses. The study included 2285 healthcare professionals aged 18-65 years. Work schedule characteristics included shift work, night work, working hours per week, long work hours (i.e., more than 10 hours per shift), quick return to work, having to come to work on short notice, and changes in work schedules. A multiple logistic regression analysis was performed. RESULTS: The overall prevalence of sleep disturbance was 37.7%. The multivariate logistic regression model indicated that long work hours, quick return to, having to come to work on short notice, and changes in work schedules were significant factors associated with sleep disturbance among healthcare professionals. CONCLUSION: The findings revealed that several work schedule-related factors were associated with sleep disturbances in healthcare professionals in Europe and Korea. Institutions and policymakers should implement strategies and </w:t>
      </w:r>
    </w:p>
    <w:p>
      <w:pPr/>
      <w:r>
        <w:rPr>
          <w:b/>
        </w:rPr>
        <w:t>POSSIBLE 2022:</w:t>
      </w:r>
      <w:r>
        <w:t xml:space="preserve"> Sex differences in the association between social capital and healthcare use—Results from the Survey of Health, Ageing and Retirement in Europe (SHARE) — https://doi.org/10.1111/hsc.13889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Females and males frequently report substantial differences in social capital indicators and may use healthcare distinctly. Nevertheless, the potential effect of sex on the relation between social capital and healthcare use remains unclear. This study aims to quantify the association between different indicators of individuals' social capital and healthcare use, according to sex. Data were retrieved from the Sixth Wave of the Survey of Health, Ageing and Retirement in Europe (SHARE), which was conducted in 2015, and included 68,188 participants from 18 countries. Adjusted odds ratios (AOR) and 95% confidence intervals (95%CI) were computed using logistic regression. Overall, males and females with smaller social networks, those who live alone or with any other relatives besides their partners, and those whose first close confidant was a family member or a neighbour reported fewer contacts with medical doctors or nurses, as well as with dentists or dental hygienists. Amongst females, participation in educational or training courses (AOR = 1.67, 95%CI:1.40-2.00; p for interaction = 0.035) and sport, social or any other club (AOR = 1.79, 95%CI:1.58-2.02; p for interaction = 0.043) was associated with a more frequent contact with dentists or dental hygienists. Females who participated in volunteer or charity work (AOR = 0.76, 95%CI:0.64-0.91; p for interaction = 0.042) and politica</w:t>
      </w:r>
    </w:p>
    <w:p>
      <w:pPr/>
      <w:r>
        <w:rPr>
          <w:b/>
        </w:rPr>
        <w:t>POSSIBLE 2021:</w:t>
      </w:r>
      <w:r>
        <w:t xml:space="preserve"> Access to healthcare for people aged 50+ in Europe during the COVID-19 outbreak — https://doi.org/10.1007/s10433-021-00631-9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 40,919) with institutional and epidemic-related country characteristics to investigate healthcare access for Europeans aged 50+ during the outbreak of COVID-19. We use a micro-macro approach to examine whether and to what extent barriers to accessing healthcare measured by reported unmet healthcare needs vary within and between countries. We consider various aspects of barriers and distinguish among: (1) respondents who forewent medical treatment because they were afraid of becoming infected with the Coronavirus; (2) respondents who had pre-scheduled medical appointments postponed by health providers due to the outbreak; and (3) respondents who tried to arrange a medical appointment but were denied one. Limited access to healthcare during the initial outbreak was more common for the occupationally active, women, the more educated and those living in urban areas. A bad economic situation, poor overall health and higher healthcare utilisation were robust predictors of unmet healthcare. People aged 50+ in countries of 'Old' Europe, countries with higher universal health coverage and stricter containment and closure policies were more likely to have medical services postponed. Policymakers should address the healthcare needs of older people with chronic health conditions and a poor socio-economic status who were made more vulnerable by this pandemic. In the aftermath of the healt</w:t>
      </w:r>
    </w:p>
    <w:p>
      <w:pPr/>
      <w:r>
        <w:rPr>
          <w:b/>
        </w:rPr>
        <w:t>POSSIBLE 2021:</w:t>
      </w:r>
      <w:r>
        <w:t xml:space="preserve"> Venture capital healthcare investments and health care sector growth: A panel data analysis of Europe — https://doi.org/10.1016/j.bir.2021.06.008</w:t>
      </w:r>
    </w:p>
    <w:p>
      <w:pPr/>
      <w:r>
        <w:rPr>
          <w:b/>
        </w:rPr>
        <w:t>Shared claim-specific concepts:</w:t>
      </w:r>
      <w:r>
        <w:t xml:space="preserve"> between, overall, healthcare, increase, trends; EU scope visible. This is a provisional connection, not an outcome finding.</w:t>
      </w:r>
    </w:p>
    <w:p>
      <w:pPr>
        <w:pStyle w:val="SourceNote"/>
      </w:pPr>
      <w:r>
        <w:rPr>
          <w:b/>
        </w:rPr>
        <w:t>Available abstract (not full text):</w:t>
      </w:r>
      <w:r>
        <w:t xml:space="preserve"> We examine the effect of venture capital investments on health sector growth, using a macro sample data from EVCA (now Invest Europe), World Bank, OECD and Eurostat databases covering 23 EU/EEA countries between 2000 and 2019. We follow the system GLS fixed effect and random effect approach, posit and find evidence that VC healthcare investments and age of VC industry increase healthcare sector growth in Europe. Life expectancy (one of the proxy variables for health sector growth) shows increasing trends in Europe. We also find that innovation, financial sector development, macroeconomic variables and healthcare infrastructure significantly increase health sector growth. We conjecture that VC investors may enjoy returns on investments which decipher into social returns to health sector outcomes. Our study makes justification for private-public partnership to support health sector growth. We recommend more funding support and inducement policy models tailor-made to reap benefits from overall health sector growth.</w:t>
      </w:r>
    </w:p>
    <w:p>
      <w:pPr/>
      <w:r>
        <w:rPr>
          <w:b/>
        </w:rPr>
        <w:t>POSSIBLE 2021:</w:t>
      </w:r>
      <w:r>
        <w:t xml:space="preserve"> Access to Healthcare for Migrant Patients in Europe: Healthcare Discrimination and Translation Services — https://doi.org/10.3390/ijerph18157901</w:t>
      </w:r>
    </w:p>
    <w:p>
      <w:pPr/>
      <w:r>
        <w:rPr>
          <w:b/>
        </w:rPr>
        <w:t>Shared claim-specific concepts:</w:t>
      </w:r>
      <w:r>
        <w:t xml:space="preserve"> healthcare, three, based, factors; EU scope visible. This is a provisional connection, not an outcome finding.</w:t>
      </w:r>
    </w:p>
    <w:p>
      <w:pPr>
        <w:pStyle w:val="SourceNote"/>
      </w:pPr>
      <w:r>
        <w:rPr>
          <w:b/>
        </w:rPr>
        <w:t>Available abstract (not full text):</w:t>
      </w:r>
      <w:r>
        <w:t xml:space="preserve"> BACKGROUND: Discrimination based on ethnicity and the lack of translation services in healthcare have been identified as main barriers to healthcare access. However, the actual experiences of migrant patients in Europe are rarely present in the literature. OBJECTIVES: The aim of this study was to assess healthcare discrimination as perceived by migrants themselves and the availability of translation services in the healthcare systems of Europe. METHODS: A total of 1407 migrants in 10 European Union countries (consortium members of the Mig-HealthCare project) were surveyed concerning healthcare discrimination, access to healthcare services, and need of translation services using an interviewer-administered questionnaire. Migrants in three countries were excluded from the analysis, due to small sample size, and the new sample consisted of N = 1294 migrants. Descriptive statistics and multivariable regression analyses were conducted to investigate the risk factors on perceived healthcare discrimination for migrants and refugees in the EU. RESULTS: Mean age was 32 (±11) years and 816 (63.26%) participants were males. The majority came from Syria, Afghanistan, Iraq, Nigeria, and Iran. Older migrants reported better treatment experience. Migrants in Italy (0.191; 95% CI [0.029, 0.352]) and Austria (0.167; 95% CI [0.012, 0.323]) scored higher in the Discrimination Scale to Medical Set</w:t>
      </w:r>
    </w:p>
    <w:p>
      <w:pPr>
        <w:pStyle w:val="Heading2"/>
      </w:pPr>
      <w:r>
        <w:t>591.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592.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presents, three, poland;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2023:</w:t>
      </w:r>
      <w:r>
        <w:t xml:space="preserve"> EU enlargement in wartime Europe: three dimensions and scenarios — https://doi.org/10.1080/21582041.2023.2289661</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A Lexicographic Practice Map of Europe — https://doi.org/10.1093/ijl/ecad023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2022:</w:t>
      </w:r>
      <w:r>
        <w:t xml:space="preserve"> Abortion: legislation and statistics in Europe — https://doi.org/10.1080/13625187.2022.2057469</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Objective: The Parliamentary Assembly invited the member states of the Council of Europe to ‘guarantee women's effective exercise of their right of access to a safe and legal abortion’. While abortion legislation and statistics give an impression of the legislative, cultural, and religious views of the societies and the socio-economic health of the female population, only one study conducted in 2011 looked into the current legislation and trends in terminations of pregnancy in the European Union.Materials and Methods: From January 2017 to December 2018, a group of experts, the authors of the present article, liaised with colleagues practising in 32 European countries to collect data on abortion legislation and statistics using three different questionnaires.Results: The article presents the results of this initiative and compares the status quo and recent trends in abortion legislation and statistics across Europe.Conclusions: The European legislations are still very heterogenous and abortion rates vary widely between countries, confirming that laws do not correlate with abortion rates. This compilation of data, also available on a website (www.abort-report.eu), may help to change laws to better meet the needs of women who decided to have an abortion as a solution to the underlying problem of an unwanted pregnancy.</w:t>
      </w:r>
    </w:p>
    <w:p>
      <w:pPr/>
      <w:r>
        <w:rPr>
          <w:b/>
        </w:rPr>
        <w:t>POSSIBLE 2022:</w:t>
      </w:r>
      <w:r>
        <w:t xml:space="preserve"> The Current Status and Work of Three Rs Centres and Platforms in Europe* — https://doi.org/10.1177/02611929221140909</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adoption of Directive 2010/63/EU on the protection of animals used for scientific purposes has given a major push to the formation of Three Rs initiatives in the form of centres and platforms. These centres and platforms are dedicated to the so-called Three Rs, which are the Replacement, Reduction and Refinement of animal use in experiments. ATLA’s 50th Anniversary year has seen the publication of two articles on European Three Rs centres and platforms. The first of these was about the progressive rise in their numbers and about their founding history; this second part focuses on their current status and activities. This article takes a closer look at their financial and organisational structures, describes their Three Rs focus and core activities (dissemination, education, implementation, scientific quality/translatability, ethics), and presents their areas of responsibility and projects in detail. This overview of the work and diverse structures of the Three Rs centres and platforms is not only intended to bring them closer to the reader, but also to provide role models and show examples of how such Three Rs centres and platforms could be made sustainable. The Three Rs centres and platforms are very important focal points and play an immense role as facilitators of Directive 2010/63/EU ‘on the ground’ in their respective countries. They are also invaluable for the wide di</w:t>
      </w:r>
    </w:p>
    <w:p>
      <w:pPr/>
      <w:r>
        <w:rPr>
          <w:b/>
        </w:rPr>
        <w:t>POSSIBLE 2022:</w:t>
      </w:r>
      <w:r>
        <w:t xml:space="preserve"> The Regional Development Trap in Europe — https://doi.org/10.1080/00130095.2022.2080655</w:t>
      </w:r>
    </w:p>
    <w:p>
      <w:pPr/>
      <w:r>
        <w:rPr>
          <w:b/>
        </w:rPr>
        <w:t>Shared claim-specific concepts:</w:t>
      </w:r>
      <w:r>
        <w:t xml:space="preserve"> article, political;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DESIGNING SPACE IN MUSEUM FACILITIES IN EUROPE — https://doi.org/10.21005/pif.2022.49.b-03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article presents research on the conscious shaping of museum spaces in Europe. The research focused on elements of architectural composition and spatial treatments experienced on three levels: pre-narratives, protonarrations and procedural narratives of the unconscious (Dimaggio, Semerari, 2001, 14: 1-23), as based solely on past experiences. sensual user. Selected elements influencing the user were divided into three categories: causing action, focusing attention or causing a reaction, and building awareness of space.</w:t>
      </w:r>
    </w:p>
    <w:p>
      <w:pPr>
        <w:pStyle w:val="Heading2"/>
      </w:pPr>
      <w:r>
        <w:t>593.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2023:</w:t>
      </w:r>
      <w:r>
        <w:t xml:space="preserve"> A Study on Trade Damage and Trade Adjustment Assistance(TAA) — https://doi.org/10.18104/kalc.2023.38.1.31</w:t>
      </w:r>
    </w:p>
    <w:p>
      <w:pPr/>
      <w:r>
        <w:rPr>
          <w:b/>
        </w:rPr>
        <w:t>Shared claim-specific concepts:</w:t>
      </w:r>
      <w:r>
        <w:t xml:space="preserve"> damage, trade, related, but; EU scope not established. This is a provisional connection, not an outcome finding.</w:t>
      </w:r>
    </w:p>
    <w:p>
      <w:pPr>
        <w:pStyle w:val="SourceNote"/>
      </w:pPr>
      <w:r>
        <w:rPr>
          <w:b/>
        </w:rPr>
        <w:t>Available abstract (not full text):</w:t>
      </w:r>
      <w:r>
        <w:t xml:space="preserve"> Purpose: This paper tries to evaluate Korea's Trade Adjustment Assistance (TAA) system and proposes measures to more faithfully implement amendments to the TAA legislation from 2022. Research design, data, and methodology: This paper focuses on the regulations related to the TAA system, and on the problems that may arise from the regulations. Results: TAA support is allowed only when damage caused by the opening of trade is proven and confirmed. But it is very difficult for most small and medium-sized companies to prove trade damage. Conclusions: While the TAA system is designed to support trade-damaged companies, it should also include policies that focus on restructuring the business of a damaged company.</w:t>
      </w:r>
    </w:p>
    <w:p>
      <w:pPr/>
      <w:r>
        <w:rPr>
          <w:b/>
        </w:rPr>
        <w:t>POSSIBLE 2023:</w:t>
      </w:r>
      <w:r>
        <w:t xml:space="preserve"> Trade, Transport Emissions and Multimarket Collusion with Border Adjustments — https://doi.org/10.1007/s10640-023-00799-x</w:t>
      </w:r>
    </w:p>
    <w:p>
      <w:pPr/>
      <w:r>
        <w:rPr>
          <w:b/>
        </w:rPr>
        <w:t>Shared claim-specific concepts:</w:t>
      </w:r>
      <w:r>
        <w:t xml:space="preserve"> damage, trade, but; EU scope not established. This is a provisional connection, not an outcome finding.</w:t>
      </w:r>
    </w:p>
    <w:p>
      <w:pPr>
        <w:pStyle w:val="SourceNote"/>
      </w:pPr>
      <w:r>
        <w:rPr>
          <w:b/>
        </w:rPr>
        <w:t>Available abstract (not full text):</w:t>
      </w:r>
      <w:r>
        <w:t xml:space="preserve"> Abstract We analyze the impact of border adjustment policies on trade, pollution and welfare when firms, located in different countries, sell differentiated products in geographically-separated markets. Transportation of goods not only incurs a cost, but also generates emissions. We compare outcomes under competition and multimarket collusion. Cooperating governments can implement the first-best using appropriate border adjustments regardless of the market structure. When governments set policies non-cooperatively, the border adjustment tariffs exceed the marginal damage from emissions. While it is expected that colluding firms would reduce trade flows relative to competition, trade increases under collusion, resulting in higher welfare. This highlights the possibility of allowing firms to collude and taxing (part of) their profits, which can be redistributed to citizens or used to mitigate the effects of pollution.</w:t>
      </w:r>
    </w:p>
    <w:p>
      <w:pPr/>
      <w:r>
        <w:rPr>
          <w:b/>
        </w:rPr>
        <w:t>POSSIBLE 2022:</w:t>
      </w:r>
      <w:r>
        <w:t xml:space="preserve"> Damage — https://doi.org/10.1093/he/9780198869917.003.0034</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Abstract This chapter examines one element that a claimant must prove to sustain a passing off action: the requirement that they have suffered, or are likely to suffer, damage as a result of the defendant’s misrepresentation. It first considers four types of damage that have been recognized by the courts in connection with misrepresentation: loss of existing trade and profits; loss of potential trade and profits; damage to reputation; and dilution. It then discusses the notion of extended passing off and its three elements: goodwill, misrepresentation, and damage. It also looks at the principles of unfair competition.</w:t>
      </w:r>
    </w:p>
    <w:p>
      <w:pPr/>
      <w:r>
        <w:rPr>
          <w:b/>
        </w:rPr>
        <w:t>POSSIBLE 2022:</w:t>
      </w:r>
      <w:r>
        <w:t xml:space="preserve"> Conflict and Intergroup Trade: Evidence from the 2014 Russia-Ukraine Crisis — https://doi.org/10.1257/aer.20191701</w:t>
      </w:r>
    </w:p>
    <w:p>
      <w:pPr/>
      <w:r>
        <w:rPr>
          <w:b/>
        </w:rPr>
        <w:t>Shared claim-specific concepts:</w:t>
      </w:r>
      <w:r>
        <w:t xml:space="preserve"> trade, after; EU scope not established. This is a provisional connection, not an outcome finding.</w:t>
      </w:r>
    </w:p>
    <w:p>
      <w:pPr>
        <w:pStyle w:val="SourceNote"/>
      </w:pPr>
      <w:r>
        <w:rPr>
          <w:b/>
        </w:rPr>
        <w:t>Available abstract (not full text):</w:t>
      </w:r>
      <w:r>
        <w:t xml:space="preserve"> Does armed conflict reduce trade, even in noncombat areas, through the destruction of intergroup social capital? We analyze Ukrainian trade transactions before and after the 2014 Russia-Ukraine conflict. In a difference-in-differences framework, we find that Ukrainian firms from districts with fewer ethnic Russians experienced a deeper decline in trade with Russia. This decline is economically signifi-cant, persistent, and can be explained by erosion of intergroup trust. Affected Ukrainian firms suffered a decrease in performance and diverted trade to other countries. Our results suggest that, through social effects, conflict can be economically damaging even away from combat areas. (JEL D74, F14, F51, J15, P31, P33, Z13)</w:t>
      </w:r>
    </w:p>
    <w:p>
      <w:pPr/>
      <w:r>
        <w:rPr>
          <w:b/>
        </w:rPr>
        <w:t>POSSIBLE 2021:</w:t>
      </w:r>
      <w:r>
        <w:t xml:space="preserve"> Neural Network in the Forecast of Compensation for Ecological Environment Damage Caused by Trade — https://doi.org/10.25236/ijfs.2021.031313</w:t>
      </w:r>
    </w:p>
    <w:p>
      <w:pPr/>
      <w:r>
        <w:rPr>
          <w:b/>
        </w:rPr>
        <w:t>Shared claim-specific concepts:</w:t>
      </w:r>
      <w:r>
        <w:t xml:space="preserve"> damage, trade, after, but; EU scope not established. This is a provisional connection, not an outcome finding.</w:t>
      </w:r>
    </w:p>
    <w:p>
      <w:pPr>
        <w:pStyle w:val="SourceNote"/>
      </w:pPr>
      <w:r>
        <w:rPr>
          <w:b/>
        </w:rPr>
        <w:t>Available abstract (not full text):</w:t>
      </w:r>
      <w:r>
        <w:t xml:space="preserve"> With the rapid growth of China's trade, the aggravation of environmental damage, research on trade growth and environmental damage forecasting issues is of great significance for the formulation and coordination of trade policies, environmental policies, and industrial policies. This article mainly studies the application of neural network in the prediction of compensation for ecological environment damage caused by trade. In this paper, the neural network model is applied to time series forecasting and panel data forecasting respectively, and the MATLAB tool is used to simulate the model, and the environmental damage compensation caused by trade is predicted. After L = 7613 iteration training, the total error value gradually decreases, and the given total error accuracy is 0.001. At this point, training is complete. After training, the BP neural network has been able to correctly predict these training samples. The prediction accuracy of this study reached 98%. This shows that the BP neural network model established in this paper not only meets the overall classification accuracy, but also has high accuracy in predicting the compensation of the ecological environment damage of each sample data. The research results show that the model is applied to the prediction of compensation for eco-environmental damage caused by trade. It has the advantages of fewer samples, high predicti</w:t>
      </w:r>
    </w:p>
    <w:p>
      <w:pPr/>
      <w:r>
        <w:rPr>
          <w:b/>
        </w:rPr>
        <w:t>POSSIBLE 2021:</w:t>
      </w:r>
      <w:r>
        <w:t xml:space="preserve"> The choice of cap-and-trade and carbon tax regulations in a cap-dependent carbon trading price setting — https://doi.org/10.1108/k-09-2020-0610</w:t>
      </w:r>
    </w:p>
    <w:p>
      <w:pPr/>
      <w:r>
        <w:rPr>
          <w:b/>
        </w:rPr>
        <w:t>Shared claim-specific concepts:</w:t>
      </w:r>
      <w:r>
        <w:t xml:space="preserve"> damage, two, related; EU scope not established. This is a provisional connection, not an outcome finding.</w:t>
      </w:r>
    </w:p>
    <w:p>
      <w:pPr>
        <w:pStyle w:val="SourceNote"/>
      </w:pPr>
      <w:r>
        <w:rPr>
          <w:b/>
        </w:rPr>
        <w:t>Available abstract (not full text):</w:t>
      </w:r>
      <w:r>
        <w:t xml:space="preserve"> Purpose The purpose of this paper is to analyze the operational decisions of a manufacturer who produces multiple products and the government's selection of cap-and-trade and carbon tax regulations. Design/methodology/approach This paper explores the production decisions of a multi-product manufacturer under cap-and-trade and carbon tax regulations in a cap-dependent carbon trading price setting and compares carbon emission, the manufacturer's profits and social welfare under the two regulations. Game theory and extreme value theory are used to analyze our models. Findings First, the authors find that the optimal profit of the manufacturer (the optimal cap) increases and then decreases with the cap (the unit carbon emission of product). Second, if the environmental damage coefficient is moderate, the optimal cap of unit environmental damage coefficient is independent of the product carbon emission or other related product parameters. Ultimately, cap-and-trade regulation always generates more carbon emission than carbon tax regulation. And cap-and-trade regulation (carbon tax regulation) can generate more social welfare if the environmental damage coefficient is low (high), and the social welfare under the two regulations is equal to each other, or otherwise. Originality/value This paper contributes the prior literature by considering the inverse relationship of the allocated ca</w:t>
      </w:r>
    </w:p>
    <w:p>
      <w:pPr>
        <w:pStyle w:val="Heading2"/>
      </w:pPr>
      <w:r>
        <w:t>594.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2021:</w:t>
      </w:r>
      <w:r>
        <w:t xml:space="preserve"> Type 1 diabetes in 2017: global estimates of incident and prevalent cases in children and adults — https://doi.org/10.1007/s00125-021-05571-8</w:t>
      </w:r>
    </w:p>
    <w:p>
      <w:pPr/>
      <w:r>
        <w:rPr>
          <w:b/>
        </w:rPr>
        <w:t>Shared claim-specific concepts:</w:t>
      </w:r>
      <w:r>
        <w:t xml:space="preserve"> estimated, incident, prevalent, cases; EU scope visible. This is a provisional connection, not an outcome finding.</w:t>
      </w:r>
    </w:p>
    <w:p>
      <w:pPr>
        <w:pStyle w:val="SourceNote"/>
      </w:pPr>
      <w:r>
        <w:rPr>
          <w:b/>
        </w:rPr>
        <w:t>Available abstract (not full text):</w:t>
      </w:r>
      <w:r>
        <w:t xml:space="preserve"> AIMS/HYPOTHESIS: Data on type 1 diabetes incidence and prevalence are limited, particularly for adults. This study aims to estimate global numbers of incident and prevalent cases of type 1 diabetes in 2017 for all age groups, by country and areas defined by income and region. METHODS: Incidence rates of type 1 diabetes in children (available from 94 countries) from the IDF Atlas were used and extrapolated to countries without data. Age-specific incidence rates in adults (only known across full age range for fewer than ten countries) were obtained by applying scaling ratios for each adult age group relative to the incidence rate in children. Age-specific incidence rates were applied to population estimates to obtain incident case numbers. Duration of diabetes was estimated from available data and adjusted using differences in childhood mortality rate between countries from United Nations demographic data. Prevalent case numbers were derived by modelling the relationship between prevalence, incidence and disease duration. Sensitivity analyses were performed to quantify the impact of alternative assumptions and model inputs. RESULTS: Global numbers of incident and prevalent cases of type 1 diabetes were estimated to be 234,710 and 9,004,610, respectively, in 2017. High-income countries, with 17% of the global population, accounted for 49% of global incident cases and 52% of preval</w:t>
      </w:r>
    </w:p>
    <w:p>
      <w:pPr/>
      <w:r>
        <w:rPr>
          <w:b/>
        </w:rPr>
        <w:t>POSSIBLE 2021:</w:t>
      </w:r>
      <w:r>
        <w:t xml:space="preserve"> Financial losses for Dutch stakeholders during the 2013 aflatoxin incident in Maize in Europe — https://doi.org/10.1007/s12550-021-00429-9</w:t>
      </w:r>
    </w:p>
    <w:p>
      <w:pPr/>
      <w:r>
        <w:rPr>
          <w:b/>
        </w:rPr>
        <w:t>Shared claim-specific concepts:</w:t>
      </w:r>
      <w:r>
        <w:t xml:space="preserve"> estimated, incident, million; EU scope visible. This is a provisional connection, not an outcome finding.</w:t>
      </w:r>
    </w:p>
    <w:p>
      <w:pPr>
        <w:pStyle w:val="SourceNote"/>
      </w:pPr>
      <w:r>
        <w:rPr>
          <w:b/>
        </w:rPr>
        <w:t>Available abstract (not full text):</w:t>
      </w:r>
      <w:r>
        <w:t xml:space="preserve"> contaminated maize from Eastern Europe that was processed into compound feed, which was fed to dairy cows. Since the contamination was discovered in the downstream stages of the supply chain, multiple countries and parties were involved and recalls of the feed were necessary, resulting into financial losses. The aim of this study was to estimate the direct short-term financial losses related to the 2013 aflatoxin incident for the maize traders, the feed industry, and the dairy sector in the Netherlands. First, the sequence of events of the incident was retrieved. Then, a Monte Carlo simulation model was built to combine the scarce and uncertain data to estimate the direct financial losses for each stakeholder. The estimated total direct financial losses of this incident were estimated to be between 12 and 25 million euros. The largest share, about 60%, of the total losses was endured by the maize traders. About 39% of the total losses were for the feed industry, and less than 1% of the total losses were for the dairy sector. The financial losses estimated in this study should be interpreted cautiously due to limitations associated with the quality of the data used. Furthermore, this incident led to indirect long-term financial effects, identified but not estimated in this study.</w:t>
      </w:r>
    </w:p>
    <w:p>
      <w:pPr/>
      <w:r>
        <w:rPr>
          <w:b/>
        </w:rPr>
        <w:t>POSSIBLE 2021:</w:t>
      </w:r>
      <w:r>
        <w:t xml:space="preserve"> SCORE2-OP risk prediction algorithms: estimating incident cardiovascular event risk in older persons in four geographical risk regions — https://doi.org/10.1093/eurheartj/ehab312</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AIMS: The aim of this study was to derive and validate the SCORE2-Older Persons (SCORE2-OP) risk model to estimate 5- and 10-year risk of cardiovascular disease (CVD) in individuals aged over 70 years in four geographical risk regions. METHODS AND RESULTS: Sex-specific competing risk-adjusted models for estimating CVD risk (CVD mortality, myocardial infarction, or stroke) were derived in individuals aged over 65 without pre-existing atherosclerotic CVD from the Cohort of Norway (28 503 individuals, 10 089 CVD events). Models included age, smoking status, diabetes, systolic blood pressure, and total- and high-density lipoprotein cholesterol. Four geographical risk regions were defined based on country-specific CVD mortality rates. Models were recalibrated to each region using region-specific estimated CVD incidence rates and risk factor distributions. For external validation, we analysed data from 6 additional study populations {338 615 individuals, 33 219 CVD validation cohorts, C-indices ranged between 0.63 [95% confidence interval (CI) 0.61-0.65] and 0.67 (0.64-0.69)}. Regional calibration of expected-vs.-observed risks was satisfactory. For given risk factor profiles, there was substantial variation across the four risk regions in the estimated 10-year CVD event risk. CONCLUSIONS: The competing risk-adjusted SCORE2-OP model was derived, recalibrated, and externally validated</w:t>
      </w:r>
    </w:p>
    <w:p>
      <w:pPr/>
      <w:r>
        <w:rPr>
          <w:b/>
        </w:rPr>
        <w:t>POSSIBLE 2021:</w:t>
      </w:r>
      <w:r>
        <w:t xml:space="preserve"> Milk intake and incident stroke and CHD in populations of European descent: a Mendelian randomisation study — https://doi.org/10.1017/s0007114521004244</w:t>
      </w:r>
    </w:p>
    <w:p>
      <w:pPr/>
      <w:r>
        <w:rPr>
          <w:b/>
        </w:rPr>
        <w:t>Shared claim-specific concepts:</w:t>
      </w:r>
      <w:r>
        <w:t xml:space="preserve"> estimated, additional, incident, cases; EU scope visible. This is a provisional connection, not an outcome finding.</w:t>
      </w:r>
    </w:p>
    <w:p>
      <w:pPr>
        <w:pStyle w:val="SourceNote"/>
      </w:pPr>
      <w:r>
        <w:rPr>
          <w:b/>
        </w:rPr>
        <w:t>Available abstract (not full text):</w:t>
      </w:r>
      <w:r>
        <w:t xml:space="preserve"> Abstract Higher milk intake has been associated with a lower stroke risk, but not with risk of CHD. Residual confounding or reverse causation cannot be excluded. Therefore, we estimated the causal association of milk consumption with stroke and CHD risk through instrumental variable (IV) and gene-outcome analyses. IV analysis included 29 328 participants (4611 stroke; 9828 CHD) of the European Prospective Investigation into Cancer and Nutrition (EPIC)-CVD (eight European countries) and European Prospective Investigation into Cancer and Nutrition-Netherlands (EPIC-NL) case-cohort studies. rs4988235, a lactase persistence (LP) SNP which enables digestion of lactose in adulthood was used as genetic instrument. Intake of milk was first regressed on rs4988235 in a linear regression model. Next, associations of genetically predicted milk consumption with stroke and CHD were estimated using Prentice-weighted Cox regression. Gene-outcome analysis included 777 024 participants (50 804 cases) from MEGASTROKE (including EPIC-CVD), UK Biobank and EPIC-NL for stroke, and 483 966 participants (61 612 cases) from CARDIoGRAM, UK Biobank, EPIC-CVD and EPIC-NL for CHD. In IV analyses, each additional LP allele was associated with a higher intake of milk in EPIC-CVD (β = 13·7 g/d; 95 % CI 8·4, 19·1) and EPIC-NL (36·8 g/d; 95 % CI 20·0, 53·5). Genetically predicted milk intake was not associated w</w:t>
      </w:r>
    </w:p>
    <w:p>
      <w:pPr/>
      <w:r>
        <w:rPr>
          <w:b/>
        </w:rPr>
        <w:t>POSSIBLE 2021:</w:t>
      </w:r>
      <w:r>
        <w:t xml:space="preserve"> Risk of Incident Heart Failure in Individuals With Early-Onset Type 2 Diabetes — https://doi.org/10.1210/clinem/dgab620</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CONTEXT: Early-onset diabetes has been associated with unfavorable cardiovascular risk but data on heart failure (HF) in this subpopulation are scarce. OBJECTIVE: We aimed to study the risk of, and risk factors for, incident HF in individuals with early-onset type 2 diabetes. METHODS: We studied 606 individuals with type 2 diabetes diagnosed before 40 years of age (early-onset) and 1258 counterparts with diabetes diagnosed from 41 to 65 years of age (usual-onset) with no HF history, at a regional hospital, over a median follow-up period of 7.1 years. Incident HF by European Cardiology Society criteria was determined. RESULTS: A total of 62 and 108 HF events were identified in the early- and usual-onset groups (1.55 and 1.29 per 100 patient-years), respectively. Compared with usual-onset counterparts, individuals with early-onset diabetes had a 1.20-fold unadjusted (95% CI, 0.88-1.63; P = 0.26) and 1.91-fold age-adjusted (95% CI, 1.37-2.66; P &lt; 0.001) hazard ratio (HR) for incident HF. Adjustment for traditional cardiometabolic risk factors only moderately mitigated the hazards (adjusted HR 1.69; 95% CI, 1.19-2.40; P = 0.003). However, additional adjustment for estimated glomerular filtration rate and albuminuria markedly attenuated the association of early-onset age with incident HF (adjusted HR 1.24; 95% CI, 0.87-1.77; P = 0.24). Notably, a long diabetes duration was not signi</w:t>
      </w:r>
    </w:p>
    <w:p>
      <w:pPr/>
      <w:r>
        <w:rPr>
          <w:b/>
        </w:rPr>
        <w:t>POSSIBLE 2021:</w:t>
      </w:r>
      <w:r>
        <w:t xml:space="preserve"> Risk of incident atrial fibrillation with low-to-moderate alcohol consumption is associated with gender, region, alcohol category: a systematic review and meta-analysis — https://doi.org/10.1093/europace/euab266</w:t>
      </w:r>
    </w:p>
    <w:p>
      <w:pPr/>
      <w:r>
        <w:rPr>
          <w:b/>
        </w:rPr>
        <w:t>Shared claim-specific concepts:</w:t>
      </w:r>
      <w:r>
        <w:t xml:space="preserve"> estimated, additional, incident; EU scope not established. This is a provisional connection, not an outcome finding.</w:t>
      </w:r>
    </w:p>
    <w:p>
      <w:pPr>
        <w:pStyle w:val="SourceNote"/>
      </w:pPr>
      <w:r>
        <w:rPr>
          <w:b/>
        </w:rPr>
        <w:t>Available abstract (not full text):</w:t>
      </w:r>
      <w:r>
        <w:t xml:space="preserve"> AIMS: The association between low-to-moderate alcohol consumption and atrial fibrillation (AF) has yet to be fully elucidated. The main purpose of this meta-analysis was to estimate the risk of incident AF related to low-to-moderate alcohol consumption. METHODS AND RESULTS: A meta-analysis was performed on 13 publications discussing the estimated risk for AF with habitual low-to-moderate alcohol intake in 10 266 315 participants. Graphical augmentations to the funnel plots were used to illustrate the potential impact of additional evidence on the current meta-analysis. Thirteen eligible studies were included in this meta-analysis. We found that moderate alcohol consumption was associated with an increased risk of incident AF in males [hazard ratio (HR) 1.09, 95% confidence interval (CI): 1.07-1.11, P &lt; 0.00001], Europeans (HR 1.32, 95% CI: 1.23-1.42, P &lt; 0.00001), and Asians (HR 1.09, 95% CI: 1.07-1.11, P &lt; 0.00001). Moderate beer consumption was associated with an increased risk of developing AF (HR 1.11, 95% CI: 1.02-1.21, P = 0.01). Low alcohol consumption conferred an increased risk of AF in males (HR 1.14, 95% CI: 1.01-1.28, P = 0.04) and Europeans (HR 1.12, 95% CI: 1.07-1.17, P &lt; 0.00001). CONCLUSIONS: This analysis represents the increased risk of incident AF in males, Europeans, and Asians at moderate alcohol consumption levels and in males and Europeans at low alcohol </w:t>
      </w:r>
    </w:p>
    <w:p>
      <w:pPr/>
      <w:r>
        <w:rPr>
          <w:b/>
        </w:rPr>
        <w:t>POSSIBLE 2021:</w:t>
      </w:r>
      <w:r>
        <w:t xml:space="preserve"> Epigenetic Age and the Risk of Incident Atrial Fibrillation — https://doi.org/10.1161/circulationaha.121.056456</w:t>
      </w:r>
    </w:p>
    <w:p>
      <w:pPr/>
      <w:r>
        <w:rPr>
          <w:b/>
        </w:rPr>
        <w:t>Shared claim-specific concepts:</w:t>
      </w:r>
      <w:r>
        <w:t xml:space="preserve"> additional, incident, cases; EU scope not established. This is a provisional connection, not an outcome finding.</w:t>
      </w:r>
    </w:p>
    <w:p>
      <w:pPr>
        <w:pStyle w:val="SourceNote"/>
      </w:pPr>
      <w:r>
        <w:rPr>
          <w:b/>
        </w:rPr>
        <w:t>Available abstract (not full text):</w:t>
      </w:r>
      <w:r>
        <w:t xml:space="preserve"> Background: The most prominent risk factor for atrial fibrillation (AF) is chronological age; however, underlying mechanisms are unexplained. Algorithms using epigenetic modifications to the human genome effectively predict chronological age. Chronological and epigenetic predicted ages may diverge in a phenomenon referred to as epigenetic age acceleration (EAA), which may reflect accelerated biological aging. We sought to evaluate for associations between epigenetic age measures and incident AF. Methods: Measures for 4 epigenetic clocks (Horvath, Hannum, DNA methylation [DNAm] PhenoAge, and DNAm GrimAge) and an epigenetic predictor of PAI-1 (plasminogen activator inhibitor-1) levels (ie, DNAm PAI-1) were determined for study participants from 3 population-based cohort studies. Cox models evaluated for associations with incident AF and results were combined via random-effects meta-analyses. Two-sample summary-level Mendelian randomization analyses evaluated for associations between genetic instruments of the EAA measures and AF. Results: Among 5600 participants (mean age, 65.5 years; female, 60.1%; Black, 50.7%), there were 905 incident AF cases during a mean follow-up of 12.9 years. Unadjusted analyses revealed all 4 epigenetic clocks and the DNAm PAI-1 predictor were associated with statistically significant higher hazards of incident AF, though the magnitudes of their point e</w:t>
      </w:r>
    </w:p>
    <w:p>
      <w:pPr>
        <w:pStyle w:val="Heading2"/>
      </w:pPr>
      <w:r>
        <w:t>595.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2021:</w:t>
      </w:r>
      <w:r>
        <w:t xml:space="preserve"> The European Nucleotide Archive in 2021 — https://doi.org/10.1093/nar/gkab1051</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Here, we outline the major updates to ENA's services and infrastructure that have been delivered over the past year.</w:t>
      </w:r>
    </w:p>
    <w:p>
      <w:pPr>
        <w:pStyle w:val="Heading2"/>
      </w:pPr>
      <w:r>
        <w:t>596.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2023:</w:t>
      </w:r>
      <w:r>
        <w:t xml:space="preserve"> The suspension of the Democratic Governance Facility in Uganda: the illusion of “politically smart aid” — https://doi.org/10.1080/09614524.2023.2238915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2021, the President of Uganda suspended the “Democratic Governance Facility” (DGF), which is a European basket fund aimed at providing financial support in areas such as democracy, human rights, and rule of law. Paradoxically, the DGF had explicitly adopted a new “politically smart framework”, which is a development approach that promises to deliver aid more effectively and sustainably in contentious environments. This raises the question: what went wrong? Informed by post-development theoretical arguments and through a discursive analysis of the DGF’s implementation of this new aid framework, this paper argues that this framework itself does not allow proper understanding of what makes aid “political”; in casu that it does not allow appreciation of local viewpoints of democracy, representation, and ownership. Then, rather than improving the status quo, this paper argues in favour of making aid “political” through a fundamental reconsideration of the very substance and infrastructure of aid itself.</w:t>
      </w:r>
    </w:p>
    <w:p>
      <w:pPr/>
      <w:r>
        <w:rPr>
          <w:b/>
        </w:rPr>
        <w:t>POSSIBLE 2022:</w:t>
      </w:r>
      <w:r>
        <w:t xml:space="preserve"> China’s Evolving Approach to Foreign Aid — https://doi.org/10.55163/wtnj4163</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China’s role in foreign aid and, more broadly, in development cooperation on the global stage has grown significantly since it began seven decades ago. Particularly in recent years, through such platforms as the Belt and Road Initiative (BRI), China’s profile and engagement in global governance in foreign aid and related areas has been further enhanced. China’s ambition is taking a more proactive approach in foreign aid and moving towards a model of international development cooperation by linking with the United Nations 2030 Agenda for Sustainable Development and by including the BRI as a major platform to achieve key development goals. This paper provides a timely analysis of the evolution of China’s foreign aid policy in the past seven decades with a particular focus on the developments since 2000. It discusses China’s development finance to Africa and the major sectors receiving Chinese aid. It also analyses recent trends of Chinese foreign aid and identifies some of the challenges that China faces as it becomes a major player in international development financing.</w:t>
      </w:r>
    </w:p>
    <w:p>
      <w:pPr/>
      <w:r>
        <w:rPr>
          <w:b/>
        </w:rPr>
        <w:t>POSSIBLE 2022:</w:t>
      </w:r>
      <w:r>
        <w:t xml:space="preserve"> The European Union's migration management aid: Developing democracies or supporting authoritarianism? — https://doi.org/10.1111/imig.13075</w:t>
      </w:r>
    </w:p>
    <w:p>
      <w:pPr/>
      <w:r>
        <w:rPr>
          <w:b/>
        </w:rPr>
        <w:t>Shared claim-specific concepts:</w:t>
      </w:r>
      <w:r>
        <w:t xml:space="preserve"> argue, aid; EU scope visible. This is a provisional connection, not an outcome finding.</w:t>
      </w:r>
    </w:p>
    <w:p>
      <w:pPr>
        <w:pStyle w:val="SourceNote"/>
      </w:pPr>
      <w:r>
        <w:rPr>
          <w:b/>
        </w:rPr>
        <w:t>Available abstract (not full text):</w:t>
      </w:r>
      <w:r>
        <w:t xml:space="preserve"> Abstract The European Union and its member states have invested billions of euros in migration management programs that purport to promote “good migration governance” around the world. But what is the impact of migration management aid on governance outside of the EU? In this article, we theorise the impact of migration management aid on governance in recipient countries by analysing the key policy areas of intervention. To do so, we focus on the effects of the European Union Emergency Trust Fund for Africa and draw on data collected from policy and government documents, in addition to secondary literature, to understand how migration management aid negatively impacts institutions of governance in recipient countries. While migration management aid may build the capacity of states to monitor borders and prevent irregular migration, we argue that this fails to account for negative externalities including human rights abuses and increased surveillance for migrants and citizens alike.</w:t>
      </w:r>
    </w:p>
    <w:p>
      <w:pPr/>
      <w:r>
        <w:rPr>
          <w:b/>
        </w:rPr>
        <w:t>POSSIBLE 2022:</w:t>
      </w:r>
      <w:r>
        <w:t xml:space="preserve"> The European Commission and the COVID-19 pandemic: a pluri-institutional approach — https://doi.org/10.1080/13501763.2022.2140821</w:t>
      </w:r>
    </w:p>
    <w:p>
      <w:pPr/>
      <w:r>
        <w:rPr>
          <w:b/>
        </w:rPr>
        <w:t>Shared claim-specific concepts:</w:t>
      </w:r>
      <w:r>
        <w:t xml:space="preserve"> argue, approach, support; EU scope visible. This is a provisional connection, not an outcome finding.</w:t>
      </w:r>
    </w:p>
    <w:p>
      <w:pPr>
        <w:pStyle w:val="SourceNote"/>
      </w:pPr>
      <w:r>
        <w:rPr>
          <w:b/>
        </w:rPr>
        <w:t>Available abstract (not full text):</w:t>
      </w:r>
      <w:r>
        <w:t xml:space="preserve"> According to a widely held view, the European Council decides how the EU should respond in times of crisis, since the European Council alone has the authority to lead. Other institutions, meanwhile, adopt at best a secondary role. An alternative perspective has emerged, however, which contends, first, that the European Council’s influence on the EU's crisis response is variable and, second, that other EU institutions, in particular the European Commission, are able to shape EU action, including through interventions made independently of the European Council. This article builds on this alternative view to argue that the respective role played by the European Council and the European Commisson is contingent, first, on the policy area where a crisis strikes and second, on leadership or agency on the part of the Presidents of the two institutions. The dynamics of the EU’s response to the COVID-19 pandemic support this view. Acting on its powers in public health and other affected areas, and with Commission President Ursula von der Leyen taking a highly pro-active approach to outbreak of the virus, the Commission intervened early, framed the pandemic as a crisis, and set and then expanded the EU’s agenda. Although its decision-making role was important, the European Council largely followed the Commission's lead.</w:t>
      </w:r>
    </w:p>
    <w:p>
      <w:pPr/>
      <w:r>
        <w:rPr>
          <w:b/>
        </w:rPr>
        <w:t>POSSIBLE 2021:</w:t>
      </w:r>
      <w:r>
        <w:t xml:space="preserve"> Replication Data for: "A Sectoral Approach to the Politics of State Aid in the European Union: an Analysis of the European Automotive Industry" — https://doi.org/10.7910/dvn/ejijkf</w:t>
      </w:r>
    </w:p>
    <w:p>
      <w:pPr/>
      <w:r>
        <w:rPr>
          <w:b/>
        </w:rPr>
        <w:t>Shared claim-specific concepts:</w:t>
      </w:r>
      <w:r>
        <w:t xml:space="preserve"> approach, aid, help; EU scope visible. This is a provisional connection, not an outcome finding.</w:t>
      </w:r>
    </w:p>
    <w:p>
      <w:pPr>
        <w:pStyle w:val="SourceNote"/>
      </w:pPr>
      <w:r>
        <w:rPr>
          <w:b/>
        </w:rPr>
        <w:t>Available abstract (not full text):</w:t>
      </w:r>
      <w:r>
        <w:t xml:space="preserve"> A growing body of scholarship has been focusing on the determinants of subsidy spending. Yet, this literature has mostly overlooked sectoral approaches to explain variation in aid allocations, which can provide useful insights about state-business relations that macroanalyses cannot. The article explores the political determinants of state aid in a key sector of the European economy, the automotive industry, which represents a crucial test case to analyse the relationship between big firms and the state. The article argues that there are two mechanisms through which governments may choose to allocate aid: achievement of policy goals and electoral competition. The resulting hypotheses are tested on an original dataset of over 120 state aid measures in 16 member states of the European Union (EU) where an automotive industry is present between 1992 and 2011. The results show that aid allocations are seldom found to be determined by a government’s preferences over its policy objectives. Instead, electoral rules such as the cultivation of a personal reputation by distribution of targeted benefits to a constituency may help legislators in their chances of being re-elected. The article concludes with limitations of the present study and suggestions for future research.</w:t>
      </w:r>
    </w:p>
    <w:p>
      <w:pPr/>
      <w:r>
        <w:rPr>
          <w:b/>
        </w:rPr>
        <w:t>POSSIBLE 2021:</w:t>
      </w:r>
      <w:r>
        <w:t xml:space="preserve"> Poland towards a new approach to state aid policy after accession to the European Union — https://doi.org/10.33119/978-83-8030-468-0_2021_37_56</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Taking into consideration all changes in the EU law after Poland’s accession, one can assume, that directions and scope of public interventions should be similar among the EU Member States. At the same time, it is obvious, that they should take account of financial constraints, starting points and national/government preferences. Therefore, the primary goal of the chapter is to present Poland’s performance in the EU in terms of state aid granted after the EU accession. To this end we introduced two indices, which are based on works on trade by distinguished authors: Relative State Aid Intensity Index and State Aid Similarity Index. Our research allows us to formulate two observations: first, that state aid in Poland is subordinated to EU multiannual financial programmes in terms of available/offered financial sources, and second, the structure of state aid offered in Poland does not match the structure of public financial assistance observed in most other EU Member States. Poland still grants mailny regional investment aid, which does not require any sophisticated criteria, and only a small percentage of aid for environmental protection and energy, which would support innovation and, at the same time, is desirable in the face of climate change.</w:t>
      </w:r>
    </w:p>
    <w:p>
      <w:pPr/>
      <w:r>
        <w:rPr>
          <w:b/>
        </w:rPr>
        <w:t>POSSIBLE 2021:</w:t>
      </w:r>
      <w:r>
        <w:t xml:space="preserve"> Research Handbook on European State Aid Law — https://doi.org/10.4337/9781789909258</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chapter reviews the political science research on European Union (EU) State aid policy. The literature focuses primarily on the evolution of State aid control and on the institutions and actors who play a role in the policy. Resting on Treaty provisions that were little used in the first decades of the European Community, the Commission’s incremental soft law approach, supportive jurisprudence from the Court of Justice of the European Union (CJEU), and the involvement private complainants have helped bring together Commission and Member State interests in support of State aid control. The Commission’s handling of the financial crisis, a test for the more mature regime, has been largely judged a success. Over time policy initiatives have helped to reduce and target national subsidies, and the enforcement of and compliance with the Treaty provisions have improved dramatically since the late 1980s. The political dimension of the policy seems to have less resonance these days, as there are fewer high-profile controversial cases than in the past, but there are still interesting questions to be addressed about the way in which competition, regional, environmental, cultural and industrial policies are balanced against each other in the design and application of the EU-level policy and decision-making, and what the implications of UK’s departure from the EU and the emergence of po</w:t>
      </w:r>
    </w:p>
    <w:p>
      <w:pPr>
        <w:pStyle w:val="Heading2"/>
      </w:pPr>
      <w:r>
        <w:t>597.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2021:</w:t>
      </w:r>
      <w:r>
        <w:t xml:space="preserve"> The unfinished business of Church history — https://doi.org/10.4102/ve.v42i1.2329</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The Church will presumably have unfinished business until the day when Christ returns. And Church history will, in gruesome details, bear witness to the missed opportunities, the failures and wrongdoings and all the mistakes made. This is especially true in South Africa where racial tensions, violence, crimes and numerous other evils prevail, while the bride of Christ, in hiding from the realities of life, is awaiting death. The first part of the article explains why this is the case and the second part proposes some rectifications towards how adjudication and reconciliation can be attained through new life in a novel way of being Church to the world. Intradisciplinary and/or interdisciplinary implications: Christians, theologians and Church historians must openly and honestly expose the use and abuse of (Church) history, and the role that collective memory played in constructing misleading perceptions of the past through the implementation of motivated reasoning. A comprehensive, amended rewriting of Church history that includes all sources that fed Christianity in South Africa during the past nearly 370 years must reconceptualise our religious past towards a healing future. This can promote unity and bring closure to at least some issues while providing a renewed focus on the ongoing need for constant reformation, a renewed comprehension of spirituality, and inspiring Missiol</w:t>
      </w:r>
    </w:p>
    <w:p>
      <w:pPr>
        <w:pStyle w:val="Heading2"/>
      </w:pPr>
      <w:r>
        <w:t>598.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2025:</w:t>
      </w:r>
      <w:r>
        <w:t xml:space="preserve"> Spatiotemporal characteristics of meteorological and hydrological droughts across Europe — https://doi.org/10.1080/19475705.2025.2567413</w:t>
      </w:r>
    </w:p>
    <w:p>
      <w:pPr/>
      <w:r>
        <w:rPr>
          <w:b/>
        </w:rPr>
        <w:t>Shared claim-specific concepts:</w:t>
      </w:r>
      <w:r>
        <w:t xml:space="preserve"> hydrological, droughts, across, warming, water; EU scope visible. This is a provisional connection, not an outcome finding.</w:t>
      </w:r>
    </w:p>
    <w:p>
      <w:pPr>
        <w:pStyle w:val="SourceNote"/>
      </w:pPr>
      <w:r>
        <w:rPr>
          <w:b/>
        </w:rPr>
        <w:t>Available abstract (not full text):</w:t>
      </w:r>
      <w:r>
        <w:t xml:space="preserve"> Amid ongoing global warming and growing water resource pressures, droughts have intensified in frequency and severity across Europe. Using ERA5 reanalysis data (1970–2024), we assessed four drought indices—meteorological (SPI, SPEI) and hydrological (SRI, RZI)—at 3-, 6-, and 12-month scales. Spatiotemporal dynamics were evaluated through trend analysis (Mann–Kendall), persistence assessment (Hurst exponent), abrupt change detection (mutation test), spatial pattern metrics (Fragstats), and inter-index correlation. Results show that hydrological droughts exhibited stronger trends and persistence than meteorological droughts. Significant intensification emerged in Western, Eastern, and Southern Europe, with SRI and RZI affecting nearly 700 × 10⁴ km². Breakpoints were detected in 1974 for meteorological and 1993–1994 for hydrological indices. Landscape analysis indicated increased patch numbers, higher spatial complexity, and aggregation, particularly for hydrological indices. Inter-index correlations were high at the 12-month scale (|R| &gt; 0.6) but declined (~0.3) at the 3-month scale, revealing divergence between meteorological and hydrological droughts. These findings advance understanding of drought evolution and underlying climate mechanisms, providing scientific support for monitoring, early warning, and adaptive water management strategies in Europe.</w:t>
      </w:r>
    </w:p>
    <w:p>
      <w:pPr/>
      <w:r>
        <w:rPr>
          <w:b/>
        </w:rPr>
        <w:t>POSSIBLE 2025:</w:t>
      </w:r>
      <w:r>
        <w:t xml:space="preserve"> Intergenerational inequity from hydrological drought in a warming world — https://doi.org/10.1016/j.jenvman.2025.125988</w:t>
      </w:r>
    </w:p>
    <w:p>
      <w:pPr/>
      <w:r>
        <w:rPr>
          <w:b/>
        </w:rPr>
        <w:t>Shared claim-specific concepts:</w:t>
      </w:r>
      <w:r>
        <w:t xml:space="preserve"> shows, hydrological, droughts, across, warming, river; EU scope visible. This is a provisional connection, not an outcome finding.</w:t>
      </w:r>
    </w:p>
    <w:p>
      <w:pPr>
        <w:pStyle w:val="SourceNote"/>
      </w:pPr>
      <w:r>
        <w:rPr>
          <w:b/>
        </w:rPr>
        <w:t>Available abstract (not full text):</w:t>
      </w:r>
      <w:r>
        <w:t xml:space="preserve"> As warmer temperatures enhance atmospheric moisture, hydrological droughts tend to intensify in most regions of the globe. Consequently, younger generations are expected to face a more severe risk of hydrological drought during their lifetimes, emphasizing the critical issue of intergenerational inequity due to climate change. To quantify exposure to hydrological drought across generations, we constructed a cascade model chain for drought simulation using hybrid terrestrial models, based on 5 GCM outputs under SSP5-85, five hydrological models and a deep learning model. We then projected future univariate and bivariate hydrological drought evolution in 4091 river basins, and quantified lifetime exposure to drought for the age groups born in 2020 and 1960. Drought severity and duration are projected to increase substantially in the Eastern America, Southern Brazil and Western Europe, over 79 % of basins. Extreme droughts far beyond historical records are expected to become more frequent and impact Western Europe in particular. Of note, the exposure of the different age groups to hydrological drought shows a notable disequilibrium. Exposure of people born in 2020 to hydrological drought hazards is projected to increase by 12 % over the late 21st century compared to those born in 1960, indicating that the acceleration of climate change is expected to increase the lifetime risk of </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hydrological, droughts, warming, river, simulations,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Hydrological Drought Generation Processes and Severity Are Changing in the Alps — https://doi.org/10.1029/2022gl101776</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Abstract Streamflow droughts are governed by different hydro‐meteorological processes, whose relative importance may change over time, with potential impacts on drought severity. Here, we assess changes in the importance of different hydrological drought generation processes in the European Alps by applying a standardized drought type classification scheme to two time periods—one in the distant (1970–1993) and one in the recent past (1994–2017). Our findings show that changes in the relative importance of different drought generation processes are stronger in high‐elevation catchments, where we detect clear changes in drought seasonality, than in low‐elevation catchments. Furthermore, they suggest that changes in drought severity and generation processes are related because increasingly frequent snowmelt‐deficit droughts in high‐elevation catchments have larger deficits than droughts caused by decreasingly frequent cold temperatures. These changes might persist into the future, because of continuing decreases in snow cover and increases in evapotranspiration, with potential implications for water management.</w:t>
      </w:r>
    </w:p>
    <w:p>
      <w:pPr/>
      <w:r>
        <w:rPr>
          <w:b/>
        </w:rPr>
        <w:t>POSSIBLE 2023:</w:t>
      </w:r>
      <w:r>
        <w:t xml:space="preserve"> A pan-European analysis of drought events and impacts — https://doi.org/10.5194/egusphere-egu23-12961</w:t>
      </w:r>
    </w:p>
    <w:p>
      <w:pPr/>
      <w:r>
        <w:rPr>
          <w:b/>
        </w:rPr>
        <w:t>Shared claim-specific concepts:</w:t>
      </w:r>
      <w:r>
        <w:t xml:space="preserve"> hydrological, droughts, across, index, river, simulations; EU scope visible. This is a provisional connection, not an outcome finding.</w:t>
      </w:r>
    </w:p>
    <w:p>
      <w:pPr>
        <w:pStyle w:val="SourceNote"/>
      </w:pPr>
      <w:r>
        <w:rPr>
          <w:b/>
        </w:rPr>
        <w:t>Available abstract (not full text):</w:t>
      </w:r>
      <w:r>
        <w:t xml:space="preserve"> A drought is a slowly developing natural phenomenon that can occur in all climatic zones, and propagates through the entire hydrological cycle with long-term economic and environmental impacts. Climate change has made drought one of the greatest natural hazards in Europe, affecting large areas and populations. Different definitions of drought exist, i.e. meteorological, hydrological, and agricultural droughts, which vary according to the time horizon considered and differ in the variable used to define them. Just as there is no single definition of drought, there is no single index that accounts for all the types of droughts. As a consequence, capturing the evolution of drought dynamics and associated impacts across different temporal and spatial scales remains a critical challenge.In this work, we analyze existing standardized drought indexes in terms of their ability in detecting drought events at the pan-European scale using data from HydroGFD2.0 reanalysis and E-HYPE hydrological model simulations over the time period 1993-2018. We firstly compare the frequency and mean duration of drought events detected by different indexes to identify the river basins mostly affected by droughts and to assess similarities and differences in the information provided by different indexes. We then compare them with the drought impacts recorded in the Geocoded Disasters (GDIS) dataset to exa</w:t>
      </w:r>
    </w:p>
    <w:p>
      <w:pPr/>
      <w:r>
        <w:rPr>
          <w:b/>
        </w:rPr>
        <w:t>POSSIBLE 2023:</w:t>
      </w:r>
      <w:r>
        <w:t xml:space="preserve"> The Development of a Hydrological Drought Index for Lithuania — https://doi.org/10.3390/w15081512</w:t>
      </w:r>
    </w:p>
    <w:p>
      <w:pPr/>
      <w:r>
        <w:rPr>
          <w:b/>
        </w:rPr>
        <w:t>Shared claim-specific concepts:</w:t>
      </w:r>
      <w:r>
        <w:t xml:space="preserve"> hydrological, droughts, increasing, levels, index, river; EU scope visible. This is a provisional connection, not an outcome finding.</w:t>
      </w:r>
    </w:p>
    <w:p>
      <w:pPr>
        <w:pStyle w:val="SourceNote"/>
      </w:pPr>
      <w:r>
        <w:rPr>
          <w:b/>
        </w:rPr>
        <w:t>Available abstract (not full text):</w:t>
      </w:r>
      <w:r>
        <w:t xml:space="preserve"> Recently, the number and intensity of hydrological droughts have been increasing; thus, it is necessary to identify and respond to them quickly. Since the primary hydrological data in Lithuania are water levels, and converting these data into discharge takes additional time, there is a need to develop a methodology or adapt these data to analyze and detect hydrological droughts. This paper examines the concept of the standardized water level index (SWLI) calculation, which is based on the standardized precipitation index (SPI) and streamflow drought index (SDI) methods. SDI and SWLI data were compared; SWLI was used to analyze the situation in the past and future. A total of 15 main sub-basins were considered, and the future discharge of three rivers was estimated; SWLI showed good compatibility with SDI. To better analyze droughts, the use of severe drought threshold values (SDTV) was suggested as some river data (especially those for small rivers) needed to be corrected due to dense riverine flora. The dry years and trends identified by SWLI are consistent with previous studies.</w:t>
      </w:r>
    </w:p>
    <w:p>
      <w:pPr/>
      <w:r>
        <w:rPr>
          <w:b/>
        </w:rPr>
        <w:t>POSSIBLE 2022:</w:t>
      </w:r>
      <w:r>
        <w:t xml:space="preserve"> The Complex and Spatially Diverse Patterns of Hydrological Droughts Across Europe — https://doi.org/10.1029/2022wr031976</w:t>
      </w:r>
    </w:p>
    <w:p>
      <w:pPr/>
      <w:r>
        <w:rPr>
          <w:b/>
        </w:rPr>
        <w:t>Shared claim-specific concepts:</w:t>
      </w:r>
      <w:r>
        <w:t xml:space="preserve"> hydrological, droughts, across; EU scope visible. This is a provisional connection, not an outcome finding.</w:t>
      </w:r>
    </w:p>
    <w:p>
      <w:pPr>
        <w:pStyle w:val="SourceNote"/>
      </w:pPr>
      <w:r>
        <w:rPr>
          <w:b/>
        </w:rPr>
        <w:t>Available abstract (not full text):</w:t>
      </w:r>
      <w:r>
        <w:t xml:space="preserve">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pPr/>
      <w:r>
        <w:rPr>
          <w:b/>
        </w:rPr>
        <w:t>POSSIBLE 2022:</w:t>
      </w:r>
      <w:r>
        <w:t xml:space="preserve"> The timing of unprecedented hydrological drought under climate change — https://doi.org/10.1038/s41467-022-30729-2</w:t>
      </w:r>
    </w:p>
    <w:p>
      <w:pPr/>
      <w:r>
        <w:rPr>
          <w:b/>
        </w:rPr>
        <w:t>Shared claim-specific concepts:</w:t>
      </w:r>
      <w:r>
        <w:t xml:space="preserve"> hydrological, droughts, low-flow, river, discharge, simulations; EU scope visible. This is a provisional connection, not an outcome finding.</w:t>
      </w:r>
    </w:p>
    <w:p>
      <w:pPr>
        <w:pStyle w:val="SourceNote"/>
      </w:pPr>
      <w:r>
        <w:rPr>
          <w:b/>
        </w:rPr>
        <w:t>Available abstract (not full text):</w:t>
      </w:r>
      <w:r>
        <w:t xml:space="preserve"> Droughts that exceed the magnitudes of historical variation ranges could occur increasingly frequently under future climate conditions. However, the time of the emergence of unprecedented drought conditions under climate change has rarely been examined. Here, using multimodel hydrological simulations, we investigate the changes in the frequency of hydrological drought (defined as abnormally low river discharge) under high and low greenhouse gas concentration scenarios and existing water resource management measures and estimate the time of the first emergence of unprecedented regional drought conditions centered on the low-flow season. The times are detected for several subcontinental-scale regions, and three regions, namely, Southwestern South America, Mediterranean Europe, and Northern Africa, exhibit particularly robust results under the high-emission scenario. These three regions are expected to confront unprecedented conditions within the next 30 years with a high likelihood regardless of the emission scenarios. In addition, the results obtained herein demonstrate the benefits of the lower-emission pathway in reducing the likelihood of emergence. The Paris Agreement goals are shown to be effective in reducing the likelihood to the unlikely level in most regions. However, appropriate and prior adaptation measures are considered indispensable when facing unprecedented drough</w:t>
      </w:r>
    </w:p>
    <w:p>
      <w:pPr/>
      <w:r>
        <w:rPr>
          <w:b/>
        </w:rPr>
        <w:t>POSSIBLE 2022:</w:t>
      </w:r>
      <w:r>
        <w:t xml:space="preserve"> Hydrological Retrospective and Historical Drought Analysis in a Brazilian Savanna Basin — https://doi.org/10.3390/w14142178</w:t>
      </w:r>
    </w:p>
    <w:p>
      <w:pPr/>
      <w:r>
        <w:rPr>
          <w:b/>
        </w:rPr>
        <w:t>Shared claim-specific concepts:</w:t>
      </w:r>
      <w:r>
        <w:t xml:space="preserve"> hydrological, droughts, index, water; EU scope visible. This is a provisional connection, not an outcome finding.</w:t>
      </w:r>
    </w:p>
    <w:p>
      <w:pPr>
        <w:pStyle w:val="SourceNote"/>
      </w:pPr>
      <w:r>
        <w:rPr>
          <w:b/>
        </w:rPr>
        <w:t>Available abstract (not full text):</w:t>
      </w:r>
      <w:r>
        <w:t xml:space="preserve"> Analyzing historical droughts is essential to improve the assessment of future hydrological risks and to understand the effects of climate variability on streamflow. However, prolonged and consistent hydrological time series are scarce in the Brazilian savanna region. This study aimed to analyze the performance of climate reanalysis products in precipitation estimation, hydrological modeling, and historical drought analysis in a Brazilian savanna basin. For this purpose, precipitation data from the twentieth-century atmospheric model ensemble (ERA-20CM) and the land component of the fifth generation of European ReAnalysis (ERA5-Land) with bias correction were used. The weather variables were obtained from the Climatic Research Unit (CRU) and the hydrological modeling was performed using the Soil and Water Assessment Tool (SWAT). The Standardized Streamflow Index (SSI) was used to calculate hydrological drought in the basin. Overall, ERA5-Land performed satisfactorily in precipitation estimation, mainly on the monthly time scale, hydrological modeling, and drought prediction. Since ERA-20CM showed unsatisfactory values for the performance statistics in all analyses, the hydrologic drought (1950 to 2018) was performed with ERA5-Land. The results showed both an increase in the number of dry months and a decrease in wet months in recent decades.</w:t>
      </w:r>
    </w:p>
    <w:p>
      <w:pPr>
        <w:pStyle w:val="Heading2"/>
      </w:pPr>
      <w:r>
        <w:t>599.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Ranking of Alzheimer's disease and related dementia among the leading causes of death in the US varies depending on NCHS or WHO definitions — https://doi.org/10.1002/dad2.12442</w:t>
      </w:r>
    </w:p>
    <w:p>
      <w:pPr/>
      <w:r>
        <w:rPr>
          <w:b/>
        </w:rPr>
        <w:t>Shared claim-specific concepts:</w:t>
      </w:r>
      <w:r>
        <w:t xml:space="preserve"> dementia, leading, disease, health; EU scope not established. This is a provisional connection, not an outcome finding.</w:t>
      </w:r>
    </w:p>
    <w:p>
      <w:pPr>
        <w:pStyle w:val="SourceNote"/>
      </w:pPr>
      <w:r>
        <w:rPr>
          <w:b/>
        </w:rPr>
        <w:t>Available abstract (not full text):</w:t>
      </w:r>
      <w:r>
        <w:t xml:space="preserve"> INTRODUCTION: We compared the ranking of Alzheimer's disease and related dementia (ADRD) among the leading causes of death (LCODs) between those according to the National Center for Health Statistics (NCHS) and the World Health Organization (WHO) lists by sex. METHOD: The number of deaths in each LCOD category was obtained from CDC WONDER. RESULTS: According to the WHO list, ADRD was the second LCOD from 2005 to 2013, the first from 2014 to 2020, and the third in 2021, respectively, for women and was the second in 2018 and 2019, the third in 2020, and the fourth in 2021, respectively, for men. According to the NCHS list, Alzheimer's disease was the fourth in 2019 and 2020 for women and was the seventh from 2016 to 2019 for men. DISCUSSION: The ranking of ADRD among the LCODs according to the WHO list was higher than those according to the NCHS list.</w:t>
      </w:r>
    </w:p>
    <w:p>
      <w:pPr/>
      <w:r>
        <w:rPr>
          <w:b/>
        </w:rPr>
        <w:t>POSSIBLE 2023:</w:t>
      </w:r>
      <w:r>
        <w:t xml:space="preserve"> The worldwide costs of dementia in 2019 — https://doi.org/10.1002/alz.12901</w:t>
      </w:r>
    </w:p>
    <w:p>
      <w:pPr/>
      <w:r>
        <w:rPr>
          <w:b/>
        </w:rPr>
        <w:t>Shared claim-specific concepts:</w:t>
      </w:r>
      <w:r>
        <w:t xml:space="preserve"> dementia, leading, cause, care; EU scope not established. This is a provisional connection, not an outcome finding.</w:t>
      </w:r>
    </w:p>
    <w:p>
      <w:pPr>
        <w:pStyle w:val="SourceNote"/>
      </w:pPr>
      <w:r>
        <w:rPr>
          <w:b/>
        </w:rPr>
        <w:t>Available abstract (not full text):</w:t>
      </w:r>
      <w:r>
        <w:t xml:space="preserve"> INTRODUCTION: Dementia is a leading cause of death and disability globally. Estimating total societal costs demonstrates the wide impact of dementia and its main direct and indirect economic components. METHODS: We constructed a global cost model for dementia, presenting costs as cumulated global and regional costs. RESULTS: In 2019, the annual global societal costs of dementia were estimated at US $1313.4 billion for 55.2 million people with dementia, corresponding to US $23,796 per person with dementia. Of the total, US $213.2 billion (16%) were direct medical costs, US $448.7 billion (34%) direct social sector costs (including long-term care), and US $651.4 billion (50%) costs of informal care. DISCUSSION: The huge costs of dementia worldwide place enormous strains on care systems and families alike. Although most people with dementia live in low- and middle-income countries, highest total and per-person costs are seen in high-income countries. HIGHLIGHTS: Global economic costs of dementia were estimated to reach US $1313.4 in 2019. Sixty-one percent of people with dementia live in low-and middle-income countries, whereas 74% of the costs occur in high-income countries. The impact of informal care accounts for about 50% of the global costs. The development of a long-term care infrastructure is a great challenge for low-and middle-income countries. There is a great need for m</w:t>
      </w:r>
    </w:p>
    <w:p>
      <w:pPr/>
      <w:r>
        <w:rPr>
          <w:b/>
        </w:rPr>
        <w:t>POSSIBLE 2023:</w:t>
      </w:r>
      <w:r>
        <w:t xml:space="preserve"> Dementia: Dementia Types. — https://openalex.org/W4388801546</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Dementia, also called major neurocognitive disorder, is characterized by a chronic progressive loss of cognitive function in the absence of fluctuating consciousness. It represents a primarily geriatric syndrome that may be caused by one of several underlying conditions. There is insufficient evidence to support universal screening for cognitive impairment in older adults; however, clinicians should be alert to patient and caregiver concerns about cognitive changes and investigate such concerns with validated cognitive assessment tools. Alzheimer disease is the leading cause and prototypical form of dementia, presenting insidiously and causing progressive cognitive impairment with increasing severity over a period of years. Vascular dementia is the second most common form of dementia and often co-occurs with other progressive cognitive disorders. Lewy body dementias encompass Parkinson disease dementia and dementia with Lewy bodies, which have similar features and are differentiated primarily by the order of motor and cognitive symptom onset. Frontotemporal dementias occur earlier than other forms of dementia, progress rapidly, and often have a genetic component. An understanding of the conditions that cause dementia will assist clinicians in making an accurate diagnosis and providing appropriate treatment recommendations and counseling regarding the diagnosis and prognosis.</w:t>
      </w:r>
    </w:p>
    <w:p>
      <w:pPr/>
      <w:r>
        <w:rPr>
          <w:b/>
        </w:rPr>
        <w:t>POSSIBLE 2023:</w:t>
      </w:r>
      <w:r>
        <w:t xml:space="preserve"> The use of neuroimaging techniques in the early and differential diagnosis of dementia — https://doi.org/10.1038/s41380-023-02215-8</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Abstract Dementia is a leading cause of disability and death worldwide. At present there is no disease modifying treatment for any of the most common types of dementia such as Alzheimer’s disease (AD), Vascular dementia, Lewy Body Dementia (LBD) and Frontotemporal dementia (FTD). Early and accurate diagnosis of dementia subtype is critical to improving clinical care and developing better treatments. Structural and molecular imaging has contributed to a better understanding of the pathophysiology of neurodegenerative dementias and is increasingly being adopted into clinical practice for early and accurate diagnosis. In this review we summarise the contribution imaging has made with particular focus on multimodal magnetic resonance imaging (MRI) and positron emission tomography imaging (PET). Structural MRI is widely used in clinical practice and can help exclude reversible causes of memory problems but has relatively low sensitivity for the early and differential diagnosis of dementia subtypes. 18 F-fluorodeoxyglucose PET has high sensitivity and specificity for AD and FTD, while PET with ligands for amyloid and tau can improve the differential diagnosis of AD and non-AD dementias, including recognition at prodromal stages. Dopaminergic imaging can assist with the diagnosis of LBD. The lack of a validated tracer for α-synuclein or TAR DNA-binding protein 43 (TDP-43) imaging rema</w:t>
      </w:r>
    </w:p>
    <w:p>
      <w:pPr/>
      <w:r>
        <w:rPr>
          <w:b/>
        </w:rPr>
        <w:t>POSSIBLE 2023:</w:t>
      </w:r>
      <w:r>
        <w:t xml:space="preserve"> Dementia Related Deaths: A Multiple Cause Coding Study — https://doi.org/10.52403/ijhsr.20231034</w:t>
      </w:r>
    </w:p>
    <w:p>
      <w:pPr/>
      <w:r>
        <w:rPr>
          <w:b/>
        </w:rPr>
        <w:t>Shared claim-specific concepts:</w:t>
      </w:r>
      <w:r>
        <w:t xml:space="preserve"> dementia, leading, cause, mortality, disease, all; EU scope not established. This is a provisional connection, not an outcome finding.</w:t>
      </w:r>
    </w:p>
    <w:p>
      <w:pPr>
        <w:pStyle w:val="SourceNote"/>
      </w:pPr>
      <w:r>
        <w:rPr>
          <w:b/>
        </w:rPr>
        <w:t>Available abstract (not full text):</w:t>
      </w:r>
      <w:r>
        <w:t xml:space="preserve"> Background: A multiple cause coding of death certificates is a new way of looking at mortality statistics. Death is attributed to a network of interacting pathological conditions, not just to one disease. For dementia - the leading cause of death in many countries today - this implies a revaluation on its role as cause of death. Methods: All records mentioning dementia in the 2014-2017 Dutch cause-of-death registry were selected (n = 98 718, 18% of all records). Two internationals agreed on measures for multiple cause coding were calculated: the standardized rate of dementia begin mentioned versus dementia being underlying cause of death (SRMU) and the cause of death association index (CDAI) for relationships between dementia and other diseases or disorders mentioned on the same death certificate. Results: Dementia was the underlying cause of death in 59% of the death certificates mentioning dementia. The SRMU was 1.68 for all forms of dementia and decreased with an increase of diagnostic specification. For men the SRMU was higher than for women. With regard to all causes being mentioned on a death certificate, several clusters causing death could be identified: 1. Dementia associated with cachexia and dehydration, 2. Dementia associated with infections (pneumonia, urinary tract), 3. Dementia associated with falls, 4. Dementia associated with cardiovascular disorders. Conclusio</w:t>
      </w:r>
    </w:p>
    <w:p>
      <w:pPr/>
      <w:r>
        <w:rPr>
          <w:b/>
        </w:rPr>
        <w:t>POSSIBLE 2023:</w:t>
      </w:r>
      <w:r>
        <w:t xml:space="preserve"> Dementia in Diabetes: The Role of Hypoglycemia — https://doi.org/10.3390/ijms24129846</w:t>
      </w:r>
    </w:p>
    <w:p>
      <w:pPr/>
      <w:r>
        <w:rPr>
          <w:b/>
        </w:rPr>
        <w:t>Shared claim-specific concepts:</w:t>
      </w:r>
      <w:r>
        <w:t xml:space="preserve"> dementia, leading, cause, mortality; EU scope not established. This is a provisional connection, not an outcome finding.</w:t>
      </w:r>
    </w:p>
    <w:p>
      <w:pPr>
        <w:pStyle w:val="SourceNote"/>
      </w:pPr>
      <w:r>
        <w:rPr>
          <w:b/>
        </w:rPr>
        <w:t>Available abstract (not full text):</w:t>
      </w:r>
      <w:r>
        <w:t xml:space="preserve"> Hypoglycemia, a common consequence of diabetes treatment, is associated with severe morbidity and mortality and has become a major barrier to intensifying antidiabetic therapy. Severe hypoglycemia, defined as abnormally low blood glucose requiring the assistance of another person, is associated with seizures and comas, but even mild hypoglycemia can cause troubling symptoms such as anxiety, palpitations, and confusion. Dementia generally refers to the loss of memory, language, problem-solving, and other cognitive functions, which can interfere with daily life, and there is growing evidence that diabetes is associated with an increased risk of both vascular and non-vascular dementia. Neuroglycopenia resulting from a hypoglycemic episode in diabetic patients can lead to the degeneration of brain cells, with a resultant cognitive decline, leading to dementia. In light of new evidence, a deeper understating of the relationship between hypoglycemia and dementia can help to inform and guide preventative strategies. In this review, we discuss the epidemiology of dementia among patients with diabetes, and the emerging mechanisms thought to underlie the association between hypoglycemia and dementia. Furthermore, we discuss the risks of various pharmacological therapies, emerging therapies to combat hypoglycemia-induced dementia, as well as risk minimization strategies.</w:t>
      </w:r>
    </w:p>
    <w:p>
      <w:pPr/>
      <w:r>
        <w:rPr>
          <w:b/>
        </w:rPr>
        <w:t>POSSIBLE 2022:</w:t>
      </w:r>
      <w:r>
        <w:t xml:space="preserve"> Occupational Therapy Utilization in Veterans With Dementia: A Retrospective Review of Root Cause Analyses of Falls Leading to Adverse Events. — https://doi.org/10.1097/pts.0000000000000860</w:t>
      </w:r>
    </w:p>
    <w:p>
      <w:pPr/>
      <w:r>
        <w:rPr>
          <w:b/>
        </w:rPr>
        <w:t>Shared claim-specific concepts:</w:t>
      </w:r>
      <w:r>
        <w:t xml:space="preserve"> dementia, leading, cause, mortality, health, all; EU scope not established. This is a provisional connection, not an outcome finding.</w:t>
      </w:r>
    </w:p>
    <w:p>
      <w:pPr>
        <w:pStyle w:val="SourceNote"/>
      </w:pPr>
      <w:r>
        <w:rPr>
          <w:b/>
        </w:rPr>
        <w:t>Available abstract (not full text):</w:t>
      </w:r>
      <w:r>
        <w:t xml:space="preserve"> INTRODUCTION: Falls in persons with dementia are associated with increased mortality. Occupational therapy (OT) is a rehabilitation discipline, which has, among its goals, the promotion of safety and fall prevention in older adults and those with dementia. The purpose of this study was to evaluate root cause analysis (RCA) data to identify causes of falls with adverse events in patients with dementia who were referred to or receiving OT services within the Veterans Health Administration (VHA). METHODS: This study used retrospective review of RCAs within the National Center for Patient Safety database for the VHA. The RCA database was searched using these terms: falls with adverse events, dementia, and OT. Descriptive statistical analysis of demographic information, location, occurrence of orthopedic fracture, and mortality was used. All root causes were qualitatively categorized using thematic analysis of determined causes. RESULTS: Eighty RCAs were included in analysis. Mean age of veterans included was 80 years; 96% were male; 76% resulted in hip fracture; and 20% died as a result of the fall. Occupational therapy evaluations occurred within 7 days of admission to VHA and falls most frequently occurred within 4 days of OT evaluation. Most common causes included inappropriate or lack of equipment (21%), need for falls/rehabilitation assessment (20%), compliance/training to fal</w:t>
      </w:r>
    </w:p>
    <w:p>
      <w:pPr>
        <w:pStyle w:val="Heading2"/>
      </w:pPr>
      <w:r>
        <w:t>600.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2022:</w:t>
      </w:r>
      <w:r>
        <w:t xml:space="preserve"> Change in Global Environmental Politics — https://doi.org/10.1017/9781009165877</w:t>
      </w:r>
    </w:p>
    <w:p>
      <w:pPr/>
      <w:r>
        <w:rPr>
          <w:b/>
        </w:rPr>
        <w:t>Shared claim-specific concepts:</w:t>
      </w:r>
      <w:r>
        <w:t xml:space="preserve"> political, world; EU scope not established. This is a provisional connection, not an outcome finding.</w:t>
      </w:r>
    </w:p>
    <w:p>
      <w:pPr>
        <w:pStyle w:val="SourceNote"/>
      </w:pPr>
      <w:r>
        <w:rPr>
          <w:b/>
        </w:rPr>
        <w:t>Available abstract (not full text):</w:t>
      </w:r>
      <w:r>
        <w:t xml:space="preserve"> As wildfires rage, pollution thickens, and species disappear, the world confronts environmental crisis with a set of global institutions in urgent need of reform. Yet, these institutions have proved frustratingly resistant to change. Introducing the concept of Temporal Focal Points, Manulak shows how change occurs in world politics. By re-envisioning the role of timing and temporality in social relations, his analysis presents a new approach to understanding transformative phases in international cooperation. We may now be entering such a phase, he argues, and global actors must be ready to realize the opportunities presented. Charting the often colorful and intensely political history of change in global environmental politics, this book sheds new light on the actors and institutions that shape humanity's response to planetary decline. It will be of interest to scholars and advanced students of international relations, international organization and environmental politics and history.</w:t>
      </w:r>
    </w:p>
    <w:p>
      <w:pPr/>
      <w:r>
        <w:rPr>
          <w:b/>
        </w:rPr>
        <w:t>POSSIBLE 2022:</w:t>
      </w:r>
      <w:r>
        <w:t xml:space="preserve"> Livestock, methane, and climate change: The politics of global assessments — https://doi.org/10.1002/wcc.790</w:t>
      </w:r>
    </w:p>
    <w:p>
      <w:pPr/>
      <w:r>
        <w:rPr>
          <w:b/>
        </w:rPr>
        <w:t>Shared claim-specific concepts:</w:t>
      </w:r>
      <w:r>
        <w:t xml:space="preserve"> political, scientific; EU scope not established. This is a provisional connection, not an outcome finding.</w:t>
      </w:r>
    </w:p>
    <w:p>
      <w:pPr>
        <w:pStyle w:val="SourceNote"/>
      </w:pPr>
      <w:r>
        <w:rPr>
          <w:b/>
        </w:rPr>
        <w:t>Available abstract (not full text):</w:t>
      </w:r>
      <w:r>
        <w:t xml:space="preserve"> The relationship between livestock production and climate change is the subject of hot debate, with arguments for major shifts in diets and a reduction in livestock production. This Perspective examines how global assessments of livestock-derived methane emissions are framed, identifying assumptions and data gaps that influence standard life-cycle analysis approaches. These include inadequate data due to a focus on industrial not extensive systems; errors arising due to inappropriate emission factors being applied; questions of how global warming potentials are derived for different greenhouse gases and debates about what baselines are appropriate. The article argues for a holistic systems approach that takes account of diverse livestock systems-both intensive and extensive-including both positive and negative impacts. In particular, the potential benefits of extensive livestock systems are highlighted, including supporting livelihoods, providing high-quality nutrition, enhancing biodiversity, protecting landscapes, and sequestering carbon. By failing to differentiate between livestock systems, global assessments may mislead. Inappropriate measurement, verification and reporting processes linked to global climate change policy may in turn result in interventions that can undermine the livelihoods of extensive livestock-keepers in marginal areas, including mobile pastoralists. I</w:t>
      </w:r>
    </w:p>
    <w:p>
      <w:pPr/>
      <w:r>
        <w:rPr>
          <w:b/>
        </w:rPr>
        <w:t>POSSIBLE 2021:</w:t>
      </w:r>
      <w:r>
        <w:t xml:space="preserve"> Generic, growing, green?: The changing political economy of the global pesticide complex — https://doi.org/10.1080/03066150.2020.1839053</w:t>
      </w:r>
    </w:p>
    <w:p>
      <w:pPr/>
      <w:r>
        <w:rPr>
          <w:b/>
        </w:rPr>
        <w:t>Shared claim-specific concepts:</w:t>
      </w:r>
      <w:r>
        <w:t xml:space="preserve"> political, complex; EU scope not established. This is a provisional connection, not an outcome finding.</w:t>
      </w:r>
    </w:p>
    <w:p>
      <w:pPr>
        <w:pStyle w:val="SourceNote"/>
      </w:pPr>
      <w:r>
        <w:rPr>
          <w:b/>
        </w:rPr>
        <w:t>Available abstract (not full text):</w:t>
      </w:r>
      <w:r>
        <w:t xml:space="preserve"> Agriculture is now more dependent on pesticides than ever. The value of global pesticide imports increased 3x faster in the 2000s than in the 1990s. Structural transformations in the industry – including reduced innovation, increased regulatory costs, consolidation, and a dramatic shift to generic pesticides largely produced in China – have shifted prices, supply chains and formulations. The ‘supermarket revolution’, migration, and rising labor costs are driving an increase in demand. The result is a pesticide complex that is multipolar, where commodity chains and environmental impacts are less legible, requiring a hard look at the chemical nature of agrarian capitalism.</w:t>
      </w:r>
    </w:p>
    <w:p>
      <w:pPr/>
      <w:r>
        <w:rPr>
          <w:b/>
        </w:rPr>
        <w:t>POSSIBLE 2021:</w:t>
      </w:r>
      <w:r>
        <w:t xml:space="preserve"> The Climate Crisis, Renewable Energy, and the Changing Landscape of Global Energy Politics — https://doi.org/10.1177/03043754211040698</w:t>
      </w:r>
    </w:p>
    <w:p>
      <w:pPr/>
      <w:r>
        <w:rPr>
          <w:b/>
        </w:rPr>
        <w:t>Shared claim-specific concepts:</w:t>
      </w:r>
      <w:r>
        <w:t xml:space="preserve"> political, world, era, collapse, energy; EU scope not established. This is a provisional connection, not an outcome finding.</w:t>
      </w:r>
    </w:p>
    <w:p>
      <w:pPr>
        <w:pStyle w:val="SourceNote"/>
      </w:pPr>
      <w:r>
        <w:rPr>
          <w:b/>
        </w:rPr>
        <w:t>Available abstract (not full text):</w:t>
      </w:r>
      <w:r>
        <w:t xml:space="preserve"> Abstract This essay reviews three recent books on the changing landscape of global energy politics in the era of climate change. Key questions that the authors investigate include: how will the renewable energy transition reshape the global balance of power? How will political-economic interdependencies and geopolitical alignments shift? Will contemporary petro-states adapt or collapse? And what new patterns of peace and conflict may emerge in a decarbonized world order? The authors provide different perspectives on the likely speed of the energy transition and its geopolitical implications. However, they occlude deeper questions about the depth of the transformations needed to prevent climate catastrophe—particularly in the nature of capitalism and military power—and the potential for more radical perspectives on energy futures. In contrast, I will argue that we should advance a critical research agenda on the global energy transition that accounts for the possibility of more far-reaching transformations in the political-economic, military, and ideological bases of world politics and highlights diverse movements fighting for their realization. These possible transformations include (1) transitions to post-growth political economies; (2) a radical shrinkage of emissions-intensive military–industrial complexes; and (3) decolonizing ideologies of “progress.” If struggles for alte</w:t>
      </w:r>
    </w:p>
    <w:p>
      <w:pPr>
        <w:pStyle w:val="Heading2"/>
      </w:pPr>
      <w:r>
        <w:t>601.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demonstrate, climate, mitigation;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Natural Hazards in a Changing World: Methods for Analyzing Trends and Non‐Linear Changes — https://doi.org/10.1029/2023ef003553</w:t>
      </w:r>
    </w:p>
    <w:p>
      <w:pPr/>
      <w:r>
        <w:rPr>
          <w:b/>
        </w:rPr>
        <w:t>Shared claim-specific concepts:</w:t>
      </w:r>
      <w:r>
        <w:t xml:space="preserve"> types, dynamics, assess; EU scope visible. This is a provisional connection, not an outcome finding.</w:t>
      </w:r>
    </w:p>
    <w:p>
      <w:pPr>
        <w:pStyle w:val="SourceNote"/>
      </w:pPr>
      <w:r>
        <w:rPr>
          <w:b/>
        </w:rPr>
        <w:t>Available abstract (not full text):</w:t>
      </w:r>
      <w:r>
        <w:t xml:space="preserve"> Abstract Estimating the frequency and magnitude of natural hazards largely hinges on stationary models, which do not account for changes in the climatological, hydrological, and geophysical baseline conditions. Using five diverse case studies encompassing various natural hazard types, we present advanced statistical and machine learning methods to analyze and model transient states from long‐term inventory data. A novel storminess metric reveals increasing European winter windstorm severity from 1950 to 2010. Non‐stationary extreme value models quantify trends, seasonal shifts, and regional differences in extreme precipitation for Germany between 1941 and 2021. Utilizing quantile sampling and empirical mode decomposition on 148 years of daily weather and discharge data in the European Alps, we assess the impacts of changing snow cover, precipitation, and anthropogenic river network modifications on river runoff. Moreover, a probabilistic framework estimates return periods of glacier lake outburst floods in the Himalayas, demonstrating large differences in 100‐year flood levels. Utilizing a Bayesian change point algorithm, we track the onset of increased seismicity in the southern central United States and find correlation with wastewater injections into deep wells. In conclusion, data science reveals transient states for very different natural hazard types, characterized by div</w:t>
      </w:r>
    </w:p>
    <w:p>
      <w:pPr/>
      <w:r>
        <w:rPr>
          <w:b/>
        </w:rPr>
        <w:t>POSSIBLE 2023:</w:t>
      </w:r>
      <w:r>
        <w:t xml:space="preserve"> Reduced grazing and changes in the area of agroforestry in Europe — https://doi.org/10.3389/fenvs.2023.1258697</w:t>
      </w:r>
    </w:p>
    <w:p>
      <w:pPr/>
      <w:r>
        <w:rPr>
          <w:b/>
        </w:rPr>
        <w:t>Shared claim-specific concepts:</w:t>
      </w:r>
      <w:r>
        <w:t xml:space="preserve"> types, food, system;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Deep learning-based classification of atmospheric circulation types over Europe in a CMIP6 Large Ensemble — https://doi.org/10.5194/ems2023-327</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historical data, only very few studies examine future trends in the frequency distribution of these circulation types using climate models. Potential reasons for this, are the lack of an open-source classification method of the “Großwetterlagen” and their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classifying the “Großwetterlagen” using deep learning. We apply this method to the SMHI-LE, an initial-condition single-model large ensemble of the CMIP6 gener</w:t>
      </w:r>
    </w:p>
    <w:p>
      <w:pPr/>
      <w:r>
        <w:rPr>
          <w:b/>
        </w:rPr>
        <w:t>POSSIBLE 2022:</w:t>
      </w:r>
      <w:r>
        <w:t xml:space="preserve"> COSMOS-Europe: a European network of cosmic-ray neutron soil moisture sensors — https://doi.org/10.5194/essd-14-1125-2022</w:t>
      </w:r>
    </w:p>
    <w:p>
      <w:pPr/>
      <w:r>
        <w:rPr>
          <w:b/>
        </w:rPr>
        <w:t>Shared claim-specific concepts:</w:t>
      </w:r>
      <w:r>
        <w:t xml:space="preserve"> demonstrate, types, climate, presents; EU scope visible. This is a provisional connection, not an outcome finding.</w:t>
      </w:r>
    </w:p>
    <w:p>
      <w:pPr>
        <w:pStyle w:val="SourceNote"/>
      </w:pPr>
      <w:r>
        <w:rPr>
          <w:b/>
        </w:rPr>
        <w:t>Available abstract (not full text):</w:t>
      </w:r>
      <w:r>
        <w:t xml:space="preserve"> Abstract. Climate change increases the occurrence and severity of droughts due to increasing temperatures, altered circulation patterns, and reduced snow occurrence. While Europe has suffered from drought events in the last decade unlike ever seen since the beginning of weather recordings, harmonized long-term datasets across the continent are needed to monitor change and support predictions. Here we present soil moisture data from 66 cosmic-ray neutron sensors (CRNSs) in Europe (COSMOS-Europe for short) covering recent drought events. The CRNS sites are distributed across Europe and cover all major land use types and climate zones in Europe. The raw neutron count data from the CRNS stations were provided by 24 research institutions and processed using state-of-the-art methods. The harmonized processing included correction of the raw neutron counts and a harmonized methodology for the conversion into soil moisture based on available in situ information. In addition, the uncertainty estimate is provided with the dataset, information that is particularly useful for remote sensing and modeling applications. This paper presents the current spatiotemporal coverage of CRNS stations in Europe and describes the protocols for data processing from raw measurements to consistent soil moisture products. The data of the presented COSMOS-Europe network open up a manifold of potential applica</w:t>
      </w:r>
    </w:p>
    <w:p>
      <w:pPr/>
      <w:r>
        <w:rPr>
          <w:b/>
        </w:rPr>
        <w:t>POSSIBLE 2022:</w:t>
      </w:r>
      <w:r>
        <w:t xml:space="preserve"> Classification of atmospheric circulation types over Europe in a CMIP6 Large Ensemble using Deep Learning — https://doi.org/10.5194/egusphere-egu22-10421</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patterns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 data, only very few studies examine future trends in the frequency distribution of these circulation types using climate models. Among the potential limitations for the application of “Großwetterlagen” to climate models are the lack of an open-source classification method and the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the classification of the “Großwetterlagen” using deep learning and we apply this method to the SMHI-LENS, an initia</w:t>
      </w:r>
    </w:p>
    <w:p>
      <w:pPr/>
      <w:r>
        <w:rPr>
          <w:b/>
        </w:rPr>
        <w:t>POSSIBLE 2022:</w:t>
      </w:r>
      <w:r>
        <w:t xml:space="preserve"> Ellenberg‐type indicator values for European vascular plant species — https://doi.org/10.1111/jvs.13168</w:t>
      </w:r>
    </w:p>
    <w:p>
      <w:pPr/>
      <w:r>
        <w:rPr>
          <w:b/>
        </w:rPr>
        <w:t>Shared claim-specific concepts:</w:t>
      </w:r>
      <w:r>
        <w:t xml:space="preserve"> original, system, aims;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2021:</w:t>
      </w:r>
      <w:r>
        <w:t xml:space="preserve"> Scaling up nature-based solutions for climate-change adaptation: Potential and benefits in three European cities — https://doi.org/10.1016/j.ufug.2021.127450</w:t>
      </w:r>
    </w:p>
    <w:p>
      <w:pPr/>
      <w:r>
        <w:rPr>
          <w:b/>
        </w:rPr>
        <w:t>Shared claim-specific concepts:</w:t>
      </w:r>
      <w:r>
        <w:t xml:space="preserve"> types, quantities, along, climate, mitigation, aims; EU scope visible. This is a provisional connection, not an outcome finding.</w:t>
      </w:r>
    </w:p>
    <w:p>
      <w:pPr>
        <w:pStyle w:val="SourceNote"/>
      </w:pPr>
      <w:r>
        <w:rPr>
          <w:b/>
        </w:rPr>
        <w:t>Available abstract (not full text):</w:t>
      </w:r>
      <w:r>
        <w:t xml:space="preserve"> Many exemplary projects have demonstrated that Nature-based Solutions (NBS) can contribute to climate change adaptation, but now the challenge is to scale up their use. Setting realistic policy goals requires knowing the amount of different NBS types that can fit in the urban space and the benefits that can be expected. This research aims to assess the potential for a full-scale implementation of NBS for climate-change adaptation in European cities, the expected benefits and co-benefits, and how these quantities relate to the urban structure of the cities. We selected three case studies: Barcelona (Spain), Malmö (Sweden), and Utrecht (the Netherlands), and developed six scenarios that simulate the current condition, the full-scale implementation of different NBS strategies (i.e., installing green roofs, de-sealing parking areas, enhancing vegetation in urban parks, and planting street trees), and a combination of them. Then we applied spatially-explicit methods to assess, for each scenario, two climate change-related benefits, i.e. heat mitigation and stormwater regulation, and three co-benefits, namely carbon storage, biodiversity potential, and overall greenness. Finally, by breaking down the results per land use class, we investigated how the potential and benefits vary depending on the urban form. Most scenarios provide multiple benefits, but each one is characterized by a </w:t>
      </w:r>
    </w:p>
    <w:p>
      <w:pPr>
        <w:pStyle w:val="Heading2"/>
      </w:pPr>
      <w:r>
        <w:t>602.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2024:</w:t>
      </w:r>
      <w:r>
        <w:t xml:space="preserve"> Critical diameter for a single-tank molten salt storage – Parametric study on structural tank design — https://doi.org/10.1016/j.est.2024.113870</w:t>
      </w:r>
    </w:p>
    <w:p>
      <w:pPr/>
      <w:r>
        <w:rPr>
          <w:b/>
        </w:rPr>
        <w:t>Shared claim-specific concepts:</w:t>
      </w:r>
      <w:r>
        <w:t xml:space="preserve"> show, tank, best; EU scope not established. This is a provisional connection, not an outcome finding.</w:t>
      </w:r>
    </w:p>
    <w:p>
      <w:pPr>
        <w:pStyle w:val="SourceNote"/>
      </w:pPr>
      <w:r>
        <w:rPr>
          <w:b/>
        </w:rPr>
        <w:t>Available abstract (not full text):</w:t>
      </w:r>
      <w:r>
        <w:t xml:space="preserve"> Molten salt thermal energy storage (TES) is a cost-effective option for grid-connected storage in both concentrating solar power (CSP) plants and retrofitted thermal power plants in a multimegawatt scale. Current systems use two tanks (hot and cold), but future systems may use a single tank with a transient temperature profile (hot in the top and cold in the bottom) to reduce costs and space. However, the structural and mechanical design of large-scale molten salt single-tank storages at 560 °C has not been fully explored, and the impact of increasing the operating temperature to 620 °C is still uncertain. The challenge presented by a single tank is the existence of a temperature profile that results in a varying thermal expansion of the tank shell along its height. In the case of larger tanks, this discrepancy can reach a magnitude of centimeters, which in turn gives rise to bending moments. To the best of our knowledge, this study addresses the issue of bending stresses in large-sized high-temperature tanks with thermal stratification for the first time. The modelling approach is applied to single-tank CSP TES systems as a case study to evaluate the constraints imposed by tank size and wall thickness. With the help of experimentally validated numerical methods, it is revealed that a low thermocline thickness can be a limiting factor for large tank diameters. It is shown that </w:t>
      </w:r>
    </w:p>
    <w:p>
      <w:pPr/>
      <w:r>
        <w:rPr>
          <w:b/>
        </w:rPr>
        <w:t>POSSIBLE 2023:</w:t>
      </w:r>
      <w:r>
        <w:t xml:space="preserve"> Design and optimization of a type-C tank for liquid hydrogen marine transport — https://doi.org/10.1016/j.ijhydene.2023.05.102</w:t>
      </w:r>
    </w:p>
    <w:p>
      <w:pPr/>
      <w:r>
        <w:rPr>
          <w:b/>
        </w:rPr>
        <w:t>Shared claim-specific concepts:</w:t>
      </w:r>
      <w:r>
        <w:t xml:space="preserve"> outcomes, tank, transport; EU scope not established. This is a provisional connection, not an outcome finding.</w:t>
      </w:r>
    </w:p>
    <w:p>
      <w:pPr>
        <w:pStyle w:val="SourceNote"/>
      </w:pPr>
      <w:r>
        <w:rPr>
          <w:b/>
        </w:rPr>
        <w:t>Available abstract (not full text):</w:t>
      </w:r>
      <w:r>
        <w:t xml:space="preserve"> As one of the most promising renewable energy sources, hydrogen has the excellent environmental benefit of producing zero emissions. A key technical challenge in using hydrogen across sectors is placed on its storage technology. The storage temperature of liquid hydrogen (20 K, or −253 °C) is close to absolute zero so the storage materials and the insulation layers are subjected to extremely stringent requirements against the cryogenic behaviour of the medium. In this context, this research proposed to design a large liquid hydrogen type-C tank with AISI (American Iron and Steel Institution) type 316 L stainless steel as the metal barrier, using Vapor-Cooled Shield (VCS) and Rigid Polyurethane Foams (RPF) as the insulation layer. A parametric study on the design of the insulation layer was carried out by establishing a thermodynamic model. The effects of VCS location on heat ingress to the liquid hydrogen transport tank and insulation temperature distribution were investigated, and the optimal location of the VCS in the insulation was identified. Research outcomes finally suggest two optimal design schemes: (1) when the thickness of the insulation layer is determined, Self-evaporation Vapor-Cooled Shield (SVCS) and Forced-evaporation Vapor-Cooled Shield (FVCS) can reduce heat transfer by 47.84% and 85.86% respectively; (2) when the liquid hydrogen evaporation capacity is determ</w:t>
      </w:r>
    </w:p>
    <w:p>
      <w:pPr/>
      <w:r>
        <w:rPr>
          <w:b/>
        </w:rPr>
        <w:t>POSSIBLE 2022:</w:t>
      </w:r>
      <w:r>
        <w:t xml:space="preserve"> Teaching Acoustics at the EELISA THINK TANK on SUSTAINABLE BUILDINGS — https://doi.org/10.61782/fa.2023.1301</w:t>
      </w:r>
    </w:p>
    <w:p>
      <w:pPr/>
      <w:r>
        <w:rPr>
          <w:b/>
        </w:rPr>
        <w:t>Shared claim-specific concepts:</w:t>
      </w:r>
      <w:r>
        <w:t xml:space="preserve"> outcomes, tank, all; EU scope visible. This is a provisional connection, not an outcome finding.</w:t>
      </w:r>
    </w:p>
    <w:p>
      <w:pPr>
        <w:pStyle w:val="SourceNote"/>
      </w:pPr>
      <w:r>
        <w:rPr>
          <w:b/>
        </w:rPr>
        <w:t>Available abstract (not full text):</w:t>
      </w:r>
      <w:r>
        <w:t xml:space="preserve"> Building acoustics should be seen as a transversal discussion with all the disciplines involved in construction and introducing acoustics to non-acousticians in the construction industry is often challenging.This paper aims at describing the outcomes and methodology of teaching acoustics used during the THINK TANK on SUSTAINABLE BUILDINGS, an activity organized by EELISA, an alliance of Higher Education Institutions from different countries in Europe meant to define and implement a common model of European engineer rooted in society.The EELISA Community "SUSBCC.Technical and Social Challenges for Sustainable Buildings, Cities and Communities" together with the European Space Agency (ESA) planned and coordinated more than 30 workshops in Madrid ESA Headquarters, which were held between students, industry and scientific communities as well as wrap up and integrating sessions.</w:t>
      </w:r>
    </w:p>
    <w:p>
      <w:pPr/>
      <w:r>
        <w:rPr>
          <w:b/>
        </w:rPr>
        <w:t>POSSIBLE 2021:</w:t>
      </w:r>
      <w:r>
        <w:t xml:space="preserve"> The media and think tanks in China: The construction and propagation of a think tank — https://doi.org/10.1080/01296612.2021.1899785</w:t>
      </w:r>
    </w:p>
    <w:p>
      <w:pPr/>
      <w:r>
        <w:rPr>
          <w:b/>
        </w:rPr>
        <w:t>Shared claim-specific concepts:</w:t>
      </w:r>
      <w:r>
        <w:t xml:space="preserve"> show, tank, policies; EU scope not established. This is a provisional connection, not an outcome finding.</w:t>
      </w:r>
    </w:p>
    <w:p>
      <w:pPr>
        <w:pStyle w:val="SourceNote"/>
      </w:pPr>
      <w:r>
        <w:rPr>
          <w:b/>
        </w:rPr>
        <w:t>Available abstract (not full text):</w:t>
      </w:r>
      <w:r>
        <w:t xml:space="preserve"> With China's rapid growth as a regional and global power, think tanks in China have received increasing attention from politicians and academics, mostly due to the achievements of academic and processing policies. Recently, collaborations between the media and think tanks have become increasingly tight. This article aims to explore China's think tank industry and their relationship with the media by interviewing two members of staff from one of China’s most prominent think tanks and observing the Institute for six months. This study has found that China’s think tanks have a close relationship with the government and the media. The traditional Chinese Confucian culture and the "bureaucracy-oriented tradition" have a significant role in the think tanks' political behavior. This leads the think tanks to play the role of being an advocate of the government. Although social media, to some extent, liberalizes the work style of China's think tanks, the think tanks' use of social media still follows the traditional media logic to facilitate the government's interests. Overall, the study argues that Chinese think tanks show features of being a “Government-lead non-governmental organization" with a semi-official identity to complement the official authorities.</w:t>
      </w:r>
    </w:p>
    <w:p>
      <w:pPr>
        <w:pStyle w:val="Heading2"/>
      </w:pPr>
      <w:r>
        <w:t>603.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r>
        <w:rPr>
          <w:b/>
        </w:rPr>
        <w:t>POSSIBLE 2022:</w:t>
      </w:r>
      <w:r>
        <w:t xml:space="preserve"> Large-scale circulation patterns and their influence on European winter windstorm predictions — https://doi.org/10.1007/s00382-022-06455-2</w:t>
      </w:r>
    </w:p>
    <w:p>
      <w:pPr/>
      <w:r>
        <w:rPr>
          <w:b/>
        </w:rPr>
        <w:t>Shared claim-specific concepts:</w:t>
      </w:r>
      <w:r>
        <w:t xml:space="preserve"> prediction, events, weather; EU scope visible. This is a provisional connection, not an outcome finding.</w:t>
      </w:r>
    </w:p>
    <w:p>
      <w:pPr>
        <w:pStyle w:val="SourceNote"/>
      </w:pPr>
      <w:r>
        <w:rPr>
          <w:b/>
        </w:rPr>
        <w:t>Available abstract (not full text):</w:t>
      </w:r>
      <w:r>
        <w:t xml:space="preserve"> Abstract Severe winter windstorms are amongst the most damaging weather events for Europe and show significant interannual variability. While surface variables (temperature, precipitation) have been successfully predicted for some time now, predictability of severe windstorms caused by extra-tropical cyclones remains less well explored. This study investigates windstorm prediction skill of the UK Met Office Global Seasonal Forecast System Version 5 (GloSea5) for the Northeast-Atlantic and European region. Based on an objective Lagrangian tracking of severe, damage relevant windstorms, three storm parameters are analysed: windstorm frequency and two intensity measures. Firstly, skill based on direct tracking of simulated windstorms is diagnosed. Significant positive skill for storm frequency and intensity is found over an extended area at the downstream end of the storm track, i.e., from the UK to southern Scandinavia. The skill for frequency agrees well with previous studies for older model versions, while the results of event-based intensity are novel. Receiver Operating Characteristic Curves for three smaller regions reveal significant skill for high and low storm activity seasons. Second, skill of windstorm characteristics based on their multi-linear regressions to three dominant large-scale circulation patterns [i.e., the North Atlantic Oscillation (NAO), the Scandinavian P</w:t>
      </w:r>
    </w:p>
    <w:p>
      <w:pPr/>
      <w:r>
        <w:rPr>
          <w:b/>
        </w:rPr>
        <w:t>POSSIBLE 2022:</w:t>
      </w:r>
      <w:r>
        <w:t xml:space="preserve"> On the Intersection of Explainable and Reliable AI for Physical Fatigue Prediction — https://doi.org/10.1109/access.2022.3191907</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In the era of Industry 4.0, the use of Artificial Intelligence (AI) is widespread in occupational settings. Since dealing with human safety, explainability and trustworthiness of AI are even more important than achieving high accuracy. eXplainable AI (XAI) is investigated in this paper to detect physical fatigue during manual material handling task simulation. Besides comparing global rule-based XAI models (LLM and DT) to black-box models (NN, SVM, XGBoost) in terms of performance, we also compare global models with local ones (LIME over XGBoost). Surprisingly, global and local approaches achieve similar conclusions, in terms of feature importance. Moreover, an expansion from local rules to global rules is designed for Anchors, by posing an appropriate optimization method (Anchors coverage is enlarged from an original low value, 11%, up to 43%). As far as trustworthiness is concerned, rule sensitivity analysis drives the identification of optimized regions in the feature space, where physical fatigue is predicted with zero statistical error. The discovery of such “non-fatigue regions” helps certifying the organizational and clinical decision making.</w:t>
      </w:r>
    </w:p>
    <w:p>
      <w:pPr/>
      <w:r>
        <w:rPr>
          <w:b/>
        </w:rPr>
        <w:t>POSSIBLE 2022:</w:t>
      </w:r>
      <w:r>
        <w:t xml:space="preserve"> Data-Driven Prediction for Reliable Mission-Critical Communications — https://doi.org/10.54337/aau473636365</w:t>
      </w:r>
    </w:p>
    <w:p>
      <w:pPr/>
      <w:r>
        <w:rPr>
          <w:b/>
        </w:rPr>
        <w:t>Shared claim-specific concepts:</w:t>
      </w:r>
      <w:r>
        <w:t xml:space="preserve"> reliable, prediction, tool, power; EU scope visible. This is a provisional connection, not an outcome finding.</w:t>
      </w:r>
    </w:p>
    <w:p>
      <w:pPr>
        <w:pStyle w:val="SourceNote"/>
      </w:pPr>
      <w:r>
        <w:rPr>
          <w:b/>
        </w:rPr>
        <w:t>Available abstract (not full text):</w:t>
      </w:r>
      <w:r>
        <w:t xml:space="preserve"> 5G New Radio (NR) technology is expected to provide connectivity to a wide variety of services with different Quality of Service (QoS) requirements.For some applications, Key Performance Indicators (KPIs) such as reliability, latency, or data rate may have stringent targets, which will be challenging to meet with the existing Radio Resource Management (RRM), QoS, and mobility management procedures.These procedures are mostly reactive, i.e., a service degradation is only mitigated once it has already occurred.Having some prior knowledge of the network conditions that the User Equipment (UE) will experience can help avoid a situation that may be critical for the service.Specifically, the service could benefit from a more proactive QoS management in the so-called mission-critical communications, such as Vehicle-To-Everything (V2X) or Unmanned Aerial Vehicles (UAV) using cellular networks.The need for this approach is stated by associations and groups such as the 5G Automotive Association (5GAA) or the Aerial Connectivity Joint Activity (ACJA).Both consider a context where the network can predict changes in the QoS.A relevant parameter involved in the RRM decisions, as well as for QoS prediction, is the signal level experienced by a UE, typically expressed using the Reference Signal Received Power (RSRP).RSRP is a key metric, as it is used for several procedures such as cell select</w:t>
      </w:r>
    </w:p>
    <w:p>
      <w:pPr/>
      <w:r>
        <w:rPr>
          <w:b/>
        </w:rPr>
        <w:t>POSSIBLE 2022:</w:t>
      </w:r>
      <w:r>
        <w:t xml:space="preserve"> Omen: discovering sequential patterns with reliable prediction delays — https://doi.org/10.1007/s10115-022-01660-1</w:t>
      </w:r>
    </w:p>
    <w:p>
      <w:pPr/>
      <w:r>
        <w:rPr>
          <w:b/>
        </w:rPr>
        <w:t>Shared claim-specific concepts:</w:t>
      </w:r>
      <w:r>
        <w:t xml:space="preserve"> reliable, prediction, events; EU scope not established. This is a provisional connection, not an outcome finding.</w:t>
      </w:r>
    </w:p>
    <w:p>
      <w:pPr>
        <w:pStyle w:val="SourceNote"/>
      </w:pPr>
      <w:r>
        <w:rPr>
          <w:b/>
        </w:rPr>
        <w:t>Available abstract (not full text):</w:t>
      </w:r>
      <w:r>
        <w:t xml:space="preserve"> Abstract Suppose we are given a discrete-valued time series $$X $$ X of observed events and an equally long binary sequence $$Y $$ Y that indicates whether something of interest happened at that particular point in time. We consider the problem of mining serial episodes, sequential patterns allowing for gaps, from $$X $$ X that reliably predict those interesting events. Withreliablewe mean patterns that not only predictthatan interesting event is likely to follow, but in particular that we can also accurately tell howhow longuntil that event will happen. In other words, we are specifically interested in patterns with a highly skewed distribution of delays between pattern occurrences and predicted events. As it is unlikely that a single pattern can explain a complex real-world progress, we are after the smallest, least redundant set of such patterns that together explain the interesting events well. We formally define this problem in terms of the Minimum Description Length principle, by which we identify the best patterns as those that describe the occurrences of interesting events $$Y $$ Y most succinctly given the data over $$X $$ X . As neither discovering the optimal explanation of $$Y $$ Y given a set of patterns, nor the discovery of optimal pattern set are problems that allow for straightforward optimization, we break the problem in two and propose effective heuristics fo</w:t>
      </w:r>
    </w:p>
    <w:p>
      <w:pPr/>
      <w:r>
        <w:rPr>
          <w:b/>
        </w:rPr>
        <w:t>POSSIBLE 2021:</w:t>
      </w:r>
      <w:r>
        <w:t xml:space="preserve"> Seasonal prediction of European summer heatwaves — https://doi.org/10.1007/s00382-021-05828-3</w:t>
      </w:r>
    </w:p>
    <w:p>
      <w:pPr/>
      <w:r>
        <w:rPr>
          <w:b/>
        </w:rPr>
        <w:t>Shared claim-specific concepts:</w:t>
      </w:r>
      <w:r>
        <w:t xml:space="preserve"> prediction, tool, affecting; EU scope visible. This is a provisional connection, not an outcome finding.</w:t>
      </w:r>
    </w:p>
    <w:p>
      <w:pPr>
        <w:pStyle w:val="SourceNote"/>
      </w:pPr>
      <w:r>
        <w:rPr>
          <w:b/>
        </w:rPr>
        <w:t>Available abstract (not full text):</w:t>
      </w:r>
      <w:r>
        <w:t xml:space="preserve"> Abstract Under the influence of global warming, heatwaves are becoming a major threat in many parts of the world, affecting human health and mortality, food security, forest fires, biodiversity, energy consumption, as well as the production and transportation networks. Seasonal forecasting is a promising tool to help mitigate these impacts on society. Previous studies have highlighted some predictive capacity of seasonal forecast systems for specific strong heatwaves such as those of 2003 and 2010. To our knowledge, this study is thus the first of its kind to systematically assess the prediction skill of heatwaves over Europe in a state-of-the-art seasonal forecast system. One major prerequisite to do so is to appropriately define heatwaves. Existing heatwave indices, built to measure heatwave duration and severity, are often designed for specific impacts and thus have limited robustness for an analysis of heatwave variability. In this study, we investigate the seasonal prediction skill of European summer heatwaves in the ECMWF System 5 operational forecast system by means of several dedicated metrics, as well as its added-value compared to a simple statistical model based on the linear trend. We are able to show, for the first time, that seasonal forecasts initialized in early May can provide potentially useful information of summer heatwave propensity, which is the tendency o</w:t>
      </w:r>
    </w:p>
    <w:p>
      <w:pPr/>
      <w:r>
        <w:rPr>
          <w:b/>
        </w:rPr>
        <w:t>POSSIBLE 2021:</w:t>
      </w:r>
      <w:r>
        <w:t xml:space="preserve"> Reliable Evapotranspiration Predictions with a Probabilistic Machine Learning Framework — https://doi.org/10.3390/w13040557</w:t>
      </w:r>
    </w:p>
    <w:p>
      <w:pPr/>
      <w:r>
        <w:rPr>
          <w:b/>
        </w:rPr>
        <w:t>Shared claim-specific concepts:</w:t>
      </w:r>
      <w:r>
        <w:t xml:space="preserve"> reliable, prediction, tool, radiation; EU scope not established. This is a provisional connection, not an outcome finding.</w:t>
      </w:r>
    </w:p>
    <w:p>
      <w:pPr>
        <w:pStyle w:val="SourceNote"/>
      </w:pPr>
      <w:r>
        <w:rPr>
          <w:b/>
        </w:rPr>
        <w:t>Available abstract (not full text):</w:t>
      </w:r>
      <w:r>
        <w:t xml:space="preserve"> Evapotranspiration is often expressed in terms of reference crop evapotranspiration (ETo), actual evapotranspiration (ETa), or surface water evaporation (Esw), and their reliable predictions are critical for groundwater, irrigation, and aquatic ecosystem management in semi-arid regions. We demonstrated that a newly developed probabilistic machine learning (ML) model, using a hybridized “boosting” framework, can simultaneously predict the daily ETo, Esw, &amp; ETa from local hydroclimate data with high accuracy. The probabilistic approach exhibited great potential to overcome data uncertainties, in which 100% of the ETo, 89.9% of the Esw, and 93% of the ETa test data at three watersheds were within the models’ 95% prediction intervals. The modeling results revealed that the hybrid boosting framework can be used as a reliable computational tool to predict ETo while bypassing net solar radiation calculations, estimate Esw while overcoming uncertainties associated with pan evaporation &amp; pan coefficients, and predict ETa while offsetting high capital &amp; operational costs of EC towers. In addition, using the Shapley analysis built on a coalition game theory, we identified the order of importance and interactions between the hydroclimatic variables to enhance the models’ transparency and trustworthiness.</w:t>
      </w:r>
    </w:p>
    <w:p>
      <w:pPr>
        <w:pStyle w:val="Heading2"/>
      </w:pPr>
      <w:r>
        <w:t>604.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2023:</w:t>
      </w:r>
      <w:r>
        <w:t xml:space="preserve"> The Compliance of Lithuanian Environmental NGO’s Objectives with European Green Deal — https://doi.org/10.5755/j01.eis.1.17.34002</w:t>
      </w:r>
    </w:p>
    <w:p>
      <w:pPr/>
      <w:r>
        <w:rPr>
          <w:b/>
        </w:rPr>
        <w:t>Shared claim-specific concepts:</w:t>
      </w:r>
      <w:r>
        <w:t xml:space="preserve"> one, key, objectives, economy; EU scope visible. This is a provisional connection, not an outcome finding.</w:t>
      </w:r>
    </w:p>
    <w:p>
      <w:pPr>
        <w:pStyle w:val="SourceNote"/>
      </w:pPr>
      <w:r>
        <w:rPr>
          <w:b/>
        </w:rPr>
        <w:t>Available abstract (not full text):</w:t>
      </w:r>
      <w:r>
        <w:t xml:space="preserve"> European Commission in 2019 has developed an ambitious strategy for sustainable economic growth - the European Green Deal. It sets out two key objectives: to make Europe the first climate-neutral continent, with zero net greenhouse gas emissions by 2050 and to decouple economic growth from resource use. While the responsible authorities will be taking the relevant decisions, citizens must also do their part by changing their habits, protecting the environment and conserving natural resources. The Green Deal implementation’s success requires the participation and commitment of the public. There are eight main Green Deal initiatives / policy areas, which need to be transferred to Lithuanian law (Increasing the EU’s climate ambition for 2030 and 2050; Building and renovating in an energy and recourse efficient way; From “Farm to Fork”: a fair, healthy and environmentally friendly food system; Accelerating the shift for sustainable and smart mobility; Supplying clean, affordable and sustainable energy; Mobilizing industry for a clean and circular economy; Preserving and restoring ecosystems and biodiversity; A zero pollution ambition for a toxic free environment). The main tasks of this article were to identify the main goals and initiatives of the European Green Deal, to perform a content analysis of Lithuanian environmental NGOs and their activity goals and present conclusions. P</w:t>
      </w:r>
    </w:p>
    <w:p>
      <w:pPr/>
      <w:r>
        <w:rPr>
          <w:b/>
        </w:rPr>
        <w:t>POSSIBLE 2023:</w:t>
      </w:r>
      <w:r>
        <w:t xml:space="preserve"> The European Union One Health 2022 Zoonoses Report — https://doi.org/10.2903/j.efsa.2023.8442</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Multi-objective optimization of an energy community: an integrated and dynamic approach for full decarbonisation in the European Alps — https://doi.org/10.54337/ijsepm.7607</w:t>
      </w:r>
    </w:p>
    <w:p>
      <w:pPr/>
      <w:r>
        <w:rPr>
          <w:b/>
        </w:rPr>
        <w:t>Shared claim-specific concepts:</w:t>
      </w:r>
      <w:r>
        <w:t xml:space="preserve"> one, key, total; EU scope visible. This is a provisional connection, not an outcome finding.</w:t>
      </w:r>
    </w:p>
    <w:p>
      <w:pPr>
        <w:pStyle w:val="SourceNote"/>
      </w:pPr>
      <w:r>
        <w:rPr>
          <w:b/>
        </w:rPr>
        <w:t>Available abstract (not full text):</w:t>
      </w:r>
      <w:r>
        <w:t xml:space="preserve"> At the local level, energy communities are at the forefront of the European Green Deal strategy offering new opportunities for citizens to get actively involved in energy markets. The scope of this study is to propose a multi-objective optimization framework to minimize both carbon dioxide emissions and total annual costs in an energy community, considering, within different constraints, a wide availability of decision variables including local renewable energy sources, sector coupling, storage and hydrogen. The methodology involves the coupling of the software EnergyPLAN with a multi-objective evolutionary algorithm, considering 2030 and 2050 as target years and modelling a set of eight types of scenarios, each consisting of 100 optimal systems out of 10,000. The case study is an energy community in the European Alps. The results show, on the one hand, the key role of sector coupling technologies such as cogeneration, heat pumps and electric vehicles in exploiting local renewable energy sources and, on the other hand, the higher costs in introducing both electricity storage to achieve a complete decarbonisation and hydrogen as an alternative strategy in the electricity, thermal and transport sectors.</w:t>
      </w:r>
    </w:p>
    <w:p>
      <w:pPr/>
      <w:r>
        <w:rPr>
          <w:b/>
        </w:rPr>
        <w:t>POSSIBLE 2022:</w:t>
      </w:r>
      <w:r>
        <w:t xml:space="preserve"> Supporting access to key pan-European research infrastructures and international cooperation — https://doi.org/10.1051/epjn/2022032</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Large research infrastructures, especially nuclear ones, are extremely expensive to build and operate. Therefore, to develop expertise and competences in nuclear research is more efficient to have a limited number of complementary specialized large nuclear research infrastructures, shared by European researchers from different countries. This paper describes three different actions to improve the European collaboration in the experimental nuclear research, namely open access to the nuclear research infrastructure of the JRC, the optimization of the use of research reactors in Europe and operation planning of the Jules Horowitz reactor currently under construction. Supporting access to key pan-European research infrastructures strengthens research and innovation, avoiding duplication and optimising resources. It contributes to the European Research Area (ERA) and the European Strategy Forum on Research Infrastructures (ESFRI), as well as to maintaining competence in the EU, which is one of the objectives of the Euratom research and training programme.</w:t>
      </w:r>
    </w:p>
    <w:p>
      <w:pPr/>
      <w:r>
        <w:rPr>
          <w:b/>
        </w:rPr>
        <w:t>POSSIBLE 2022:</w:t>
      </w:r>
      <w:r>
        <w:t xml:space="preserve"> The novelties of the regulation on health technology assessment, a key achievement for the European union health policies — https://doi.org/10.1515/cclm-2022-0228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Abstract Health technology assessment is a key tool for ensuring healthcare quality, accessibility, and sustainability. The novel European Union (EU) Health Technology Assessment (HTA) regulation of 15 December 2021, in harmonizing the laws of the Member States about the procedures and criteria for the evaluation of health technologies (i.e., medical devices and in vitro diagnostic tools), constitutes a significant achievement in the definition of EU health policies. On the one hand, for the European Union, it constitutes an essential driving force for the development of a competitive market for health technologies and, on the other, for European citizens, it guarantees the application of superordinate safety and quality standards with an impact positive on access to health technologies, including expressly also in vitro diagnostic medical devices classified in class D by art. 47 of Reg. (EU) 2017/746. As pointed out by the European Commissioner for Healthcare, the regulation identifies a new way for the Member States to cooperate on healthcare matters in the Union. The clinical efficacy and safety of drugs and devices are legal assets that today find their protection in a binding and directly applicable regulatory instrument, superordinate in the hierarchy of sources. Implementing the regulation will also be essential to achieve the objectives of the Union’s pharmaceutical str</w:t>
      </w:r>
    </w:p>
    <w:p>
      <w:pPr/>
      <w:r>
        <w:rPr>
          <w:b/>
        </w:rPr>
        <w:t>POSSIBLE 2022:</w:t>
      </w:r>
      <w:r>
        <w:t xml:space="preserve"> The Development of Renewable Energy Sources in the European Union in the Light of the European Green Deal — https://doi.org/10.3390/en15155576</w:t>
      </w:r>
    </w:p>
    <w:p>
      <w:pPr/>
      <w:r>
        <w:rPr>
          <w:b/>
        </w:rPr>
        <w:t>Shared claim-specific concepts:</w:t>
      </w:r>
      <w:r>
        <w:t xml:space="preserve"> one, key, union, transition; EU scope visible. This is a provisional connection, not an outcome finding.</w:t>
      </w:r>
    </w:p>
    <w:p>
      <w:pPr>
        <w:pStyle w:val="SourceNote"/>
      </w:pPr>
      <w:r>
        <w:rPr>
          <w:b/>
        </w:rPr>
        <w:t>Available abstract (not full text):</w:t>
      </w:r>
      <w:r>
        <w:t xml:space="preserve">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pPr/>
      <w:r>
        <w:rPr>
          <w:b/>
        </w:rPr>
        <w:t>POSSIBLE 2021:</w:t>
      </w:r>
      <w:r>
        <w:t xml:space="preserve"> FERTILIZER MANAGEMENT IN POLAND IN LIGHT OF EUROPEAN GREEN DEAL OBJECTIVES — https://doi.org/10.5604/01.3001.0015.2696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aim of the paper is to outline the problem areas of fertilizer management in Poland, taking the need to achieve European Green Deal (EGD) objectives into account. Fertilizer management is one of the key elements of future agricultural policy, to which the European Green Deal refers, and is closer to the Farm to Fork strategy. The emphasis on the need to promote rational fertilizer management in European documents stemmed from the pressures of this economic activity on the natural environment. The paper focuses on the main determinants of fertilizer management, including the costs and quantities of mineral fertilizers used and the results of the NPK fertilizer balance, using the gross balance and indicator method. The study used Statistics Poland data 2007 and 2016 from the Farm Structure Survey and agricultural accountancy FADN 2014-2019. It was found that, at the level of the agricultural sector, the results of fertilizer balances do not create surpluses and problematic issues concern a significant share of farms with an understated balance of main NPK macroelements. The expected reduction in the level of fertilization under the EGD may result in a reduction in production and economic performance from a farm and negatively affect the state of the natural environment. The fertilizer balance and nutrient efficiency level should be used as measurable indicators for setting re</w:t>
      </w:r>
    </w:p>
    <w:p>
      <w:pPr>
        <w:pStyle w:val="Heading2"/>
      </w:pPr>
      <w:r>
        <w:t>605.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2025:</w:t>
      </w:r>
      <w:r>
        <w:t xml:space="preserve"> The ‘Date’ on Two Dated Palmyran Funerary Reliefs — https://doi.org/10.34780/3j1vr152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Palmyran funerary reliefs – the bust of Ḥalīfat in the Freer Gallery of Art in Washington, D.C., and a now rejoined doublebust combining halves in the Ny Carlsberg Glyptotek, Copenhagen and at Stanford University – focusing on the discrepancy between the date of the deceased’s death, as provided by the accompanying inscription, and the actual date of carving.</w:t>
      </w:r>
    </w:p>
    <w:p>
      <w:pPr/>
      <w:r>
        <w:rPr>
          <w:b/>
        </w:rPr>
        <w:t>POSSIBLE 2025:</w:t>
      </w:r>
      <w:r>
        <w:t xml:space="preserve"> The Use of Articles in Toponymic Phrases in English and Albanian — https://doi.org/10.51558/2490-3647.2025.10.1.213</w:t>
      </w:r>
    </w:p>
    <w:p>
      <w:pPr/>
      <w:r>
        <w:rPr>
          <w:b/>
        </w:rPr>
        <w:t>Shared claim-specific concepts:</w:t>
      </w:r>
      <w:r>
        <w:t xml:space="preserve"> article, examines, two, also; EU scope not established. This is a provisional connection, not an outcome finding.</w:t>
      </w:r>
    </w:p>
    <w:p>
      <w:pPr>
        <w:pStyle w:val="SourceNote"/>
      </w:pPr>
      <w:r>
        <w:rPr>
          <w:b/>
        </w:rPr>
        <w:t>Available abstract (not full text):</w:t>
      </w:r>
      <w:r>
        <w:t xml:space="preserve"> This paper examines noun phrases functioning as toponyms in English and Albanian, with a particular focus on their degree of definiteness. By exploring the role of articles in achieving definiteness, the study conducts a contrastive analysis of article usage in these two languages. Given that the article is a complex grammatical category, acquired progressively across different linguistic levels, the paper aims to analyze and compare its role, grammatical function, and form, as well as the rules governing its use in toponymic phrases. Starting from the premise that English and Albanian belong to distinct language families, the study utilizes a corpus of sentence sets to investigate which linguistic factors influence the use of articles with geographical names. The findings reveal that, in Albanian, syntactic norms ‒ the function of toponymic phrases within sentences ‒ and pragmatic considerations play a significant role in determining article usage. In contrast, article application in English is shaped by the interplay of multiple linguistic disciplines, with semantics exerting the greatest influence. However, syntax also can play a role in dictating usage rules, while pragmatics and historical linguistics provide insights into exceptions and irregularities. This comparative study highlights the differing linguistic mechanisms that govern definiteness in English and Albanian to</w:t>
      </w:r>
    </w:p>
    <w:p>
      <w:pPr/>
      <w:r>
        <w:rPr>
          <w:b/>
        </w:rPr>
        <w:t>POSSIBLE 2024:</w:t>
      </w:r>
      <w:r>
        <w:t xml:space="preserve"> Use of AI Language Engine ChatGPT 4.0 to Write a Scientific Review Article Examining the Intersection of Alzheimer’s Disease and Bone — https://doi.org/10.1007/s11914-023-00853-z</w:t>
      </w:r>
    </w:p>
    <w:p>
      <w:pPr/>
      <w:r>
        <w:rPr>
          <w:b/>
        </w:rPr>
        <w:t>Shared claim-specific concepts:</w:t>
      </w:r>
      <w:r>
        <w:t xml:space="preserve"> article, two, but; EU scope not established. This is a provisional connection, not an outcome finding.</w:t>
      </w:r>
    </w:p>
    <w:p>
      <w:pPr>
        <w:pStyle w:val="SourceNote"/>
      </w:pPr>
      <w:r>
        <w:rPr>
          <w:b/>
        </w:rPr>
        <w:t>Available abstract (not full text):</w:t>
      </w:r>
      <w:r>
        <w:t xml:space="preserve"> PURPOSE OF REVIEW: This Comment represents three review articles on the relationship between Alzheimer's disease, osteoporosis, and fracture in an exploration of the benefits that AI can provide in scientific writing. The first drafts of the articles were written (1) entirely by humans; (2) entirely by ChatGPT 4.0 (AI-only or AIO); and (3) by humans and ChatGPT 4.0 whereby humans selected literature references, but ChatGPT 4.0 completed the writing (AI-assisted or AIA). Importantly, each review article was edited and carefully checked for accuracy by all co-authors resulting in a final manuscript which was significantly different from the original draft. RECENT FINDINGS: The human-written article took the most time from start to finish, the AI-only article took the least time, and the AI-assisted article fell between the two. When comparing first drafts to final drafts, the AI-only and AI-assisted articles had higher percentages of different text than the human article. The AI-only paper had a higher percentage of incorrect references in the first draft than the AI-assisted paper. The first draft of the AI-assisted article had a higher similarity score than the other two articles when examined by plagiarism identification software. This writing experiment used time tracking, human editing, and comparison software to examine the benefits and risks of using AI to assist in scient</w:t>
      </w:r>
    </w:p>
    <w:p>
      <w:pPr/>
      <w:r>
        <w:rPr>
          <w:b/>
        </w:rPr>
        <w:t>POSSIBLE 2024:</w:t>
      </w:r>
      <w:r>
        <w:t xml:space="preserve"> Determinante e doppio determinante nel code-switching arabo-italiano — https://doi.org/10.36253/qulso-2421-7220-16575</w:t>
      </w:r>
    </w:p>
    <w:p>
      <w:pPr/>
      <w:r>
        <w:rPr>
          <w:b/>
        </w:rPr>
        <w:t>Shared claim-specific concepts:</w:t>
      </w:r>
      <w:r>
        <w:t xml:space="preserve"> article, two, also; EU scope not established. This is a provisional connection, not an outcome finding.</w:t>
      </w:r>
    </w:p>
    <w:p>
      <w:pPr>
        <w:pStyle w:val="SourceNote"/>
      </w:pPr>
      <w:r>
        <w:rPr>
          <w:b/>
        </w:rPr>
        <w:t>Available abstract (not full text):</w:t>
      </w:r>
      <w:r>
        <w:t xml:space="preserve"> This article explores the phenomenon of code-switching, specifically focusing on bilingual Arabic-Italian determiner phrases which consist of a determiner, such as an article or a demonstrative, followed by a noun phrase as a complement. The data examined were selected from a corpus of Arabic-Italian spontaneous speech with the aim of (1) comparing and describing the characteristics and differences of the determiner systems of the two languages; (2) illustrating the features of code-switching in determiner phrases and the various types found in the collected data; and (3) studying the mutual influence of the two languages in contact contexts. The data analysis revealed two types of code-switching: switching at the beginning of a determiner phrase, where both the determiner and its complement are in the same language, and switching within a determiner phrase, where the determiner and the head noun are from different languages. This latter category also includes determiner phrases with double determiners, which will be analyzed in detail in this article to discuss the features of this linguistic structure in Arabic-Italian bilingual phrases.</w:t>
      </w:r>
    </w:p>
    <w:p>
      <w:pPr/>
      <w:r>
        <w:rPr>
          <w:b/>
        </w:rPr>
        <w:t>POSSIBLE 2023:</w:t>
      </w:r>
      <w:r>
        <w:t xml:space="preserve"> Two Approaches to Aesthetic Experience — https://doi.org/10.5406/15437809.57.4.01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Abstract This article examines two approaches to aesthetic experience, especially with respect to the practice of art criticism. The two approaches are (1) aesthetic experience construed as experience necessarily valued for its own sake and (2) aesthetic experience characterized in terms of its content. In this article, the content approach is defended as the one most suitable to the practice of art criticism.</w:t>
      </w:r>
    </w:p>
    <w:p>
      <w:pPr/>
      <w:r>
        <w:rPr>
          <w:b/>
        </w:rPr>
        <w:t>POSSIBLE 2023:</w:t>
      </w:r>
      <w:r>
        <w:t xml:space="preserve"> A Tale of Two Spice Towers — https://doi.org/10.3828/arsjudaica.2023.19.4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two spice towers in the collection of London’s Victoria and Albert Museum. The first of these (Inv. number 2090-1855) has been published as the earliest surviving example and the only one extant from Sepharad – an attribution that will be questioned. The second (Inv. number M.40&amp;:1-1951) is now exhibited as an Italian fifteenth-century spice tower which was later converted into a reliquary. This study will present the pair’s shifting identities as a cautionary tale for those seeking an accurate picture of Jewish material culture, in particular the Sephardi legacy.</w:t>
      </w:r>
    </w:p>
    <w:p>
      <w:pPr/>
      <w:r>
        <w:rPr>
          <w:b/>
        </w:rPr>
        <w:t>POSSIBLE 2021:</w:t>
      </w:r>
      <w:r>
        <w:t xml:space="preserve"> Comparing Learners’ Interactions in Conventional and Virtual Classes of Distance Education University: Examining Two Approaches of Teaching Grammar (Research Article) — https://doi.org/10.22034/elt.2021.44749.2352</w:t>
      </w:r>
    </w:p>
    <w:p>
      <w:pPr/>
      <w:r>
        <w:rPr>
          <w:b/>
        </w:rPr>
        <w:t>Shared claim-specific concepts:</w:t>
      </w:r>
      <w:r>
        <w:t xml:space="preserve"> article, two, education, also; EU scope not established. This is a provisional connection, not an outcome finding.</w:t>
      </w:r>
    </w:p>
    <w:p>
      <w:pPr>
        <w:pStyle w:val="SourceNote"/>
      </w:pPr>
      <w:r>
        <w:rPr>
          <w:b/>
        </w:rPr>
        <w:t>Available abstract (not full text):</w:t>
      </w:r>
      <w:r>
        <w:t xml:space="preserve"> Collaborative technologies provide opportunities for English foreign language learners (EFL) to have interactive learning and access to online interactive environments. Interactions that take place between teachers and their students in a classroom context affect learners’ language learning. As such, this research compared interactions between the instructor and her students and between students themselves that took place in conventional and Learning Management Systems (LMS) classes. Second, two different approaches of teaching grammar (implicit and explicit) in conventional and LMS classes were examined. The participants of this study were selected from 94 students of EFL freshmen at two groups of different teaching classes namely, virtual and conventional classes. Having administered a test of homogeneity, the researcher selected 60 learners. They were assigned into four groups, two experimental and two comparative groups. After the treatment, the results of the pre-and post-tests confirmed the positive effect of teaching grammar both explicitly and implicitly in LMS classes. In addition, examination of interaction patterns revealed that teaching through LMS was student-centered and dynamic in contradiction with the comparative groups. The study can help instructors understand the prospective benefits of teaching on LMS and also improve social interactions among uncommunicati</w:t>
      </w:r>
    </w:p>
    <w:p>
      <w:pPr>
        <w:pStyle w:val="Heading2"/>
      </w:pPr>
      <w:r>
        <w:t>606.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2025:</w:t>
      </w:r>
      <w:r>
        <w:t xml:space="preserve"> Application of the Analytical Hierarchy Process in the management of private ambulance care systems in three selected European countries: a strategic decision-making framework — https://doi.org/10.3389/fpubh.2025.1526586</w:t>
      </w:r>
    </w:p>
    <w:p>
      <w:pPr/>
      <w:r>
        <w:rPr>
          <w:b/>
        </w:rPr>
        <w:t>Shared claim-specific concepts:</w:t>
      </w:r>
      <w:r>
        <w:t xml:space="preserve"> three, strategic, integration, practices; EU scope visible. This is a provisional connection, not an outcome finding.</w:t>
      </w:r>
    </w:p>
    <w:p>
      <w:pPr>
        <w:pStyle w:val="SourceNote"/>
      </w:pPr>
      <w:r>
        <w:rPr>
          <w:b/>
        </w:rPr>
        <w:t>Available abstract (not full text):</w:t>
      </w:r>
      <w:r>
        <w:t xml:space="preserve"> Private ambulance services play a vital role in healthcare systems across Europe, supplementing public emergency services and providing essential medical transportation. However, managing these services presents significant challenges, including resource allocation, regulatory compliance, service quality, technological integration, workforce management, and financial sustainability. This study employs the Analytical Hierarchy Process (AHP) as a strategic decision-making tool to optimize the management of private ambulance services in Germany, Spain, and the United Kingdom. To achieve this, data were collected from 20 participants across the three countries (Germany: 7, Spain: 6, United Kingdom: 7), comprising ambulance service administrators, emergency medical personnel, and regulatory experts. A purposive sampling method was used to ensure the inclusion of key stakeholders with direct experience in the sector. Participants completed structured questionnaires involving pairwise comparisons of key decision criteria. Results reveal that Regulatory Compliance is the highest priority across all countries (Germany: 0.25, Spain: 0.22, UK: 0.20), followed by Service Quality, which is particularly emphasized in the UK (0.22) and Germany (0.20). Technological Integration is important in Spain (0.20), reflecting the need for advancements in underserved areas. While Workforce Management a</w:t>
      </w:r>
    </w:p>
    <w:p>
      <w:pPr/>
      <w:r>
        <w:rPr>
          <w:b/>
        </w:rPr>
        <w:t>POSSIBLE 2025:</w:t>
      </w:r>
      <w:r>
        <w:t xml:space="preserve"> Steering the Green Transition in the European Union? Analysis of the European Commission's Strategic Communication — https://doi.org/10.1111/rego.70107</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ABSTRACT This paper examines the strategic communication of the European Commission about developing a regulatory approach and financial instruments to foster the greening of the European economy over a period of 14 years (2009–2023). We investigate in‐depth the strategic communication of three European Commission Colleges led by Barroso, Juncker, and von der Leyen, respectively. We analyze an original dataset of 57 Commission Communications using qualitative content analysis. The paper demonstrates that, over the past 14 years, the EU's strategic agenda‐setting has moved away from a predominantly neoliberal approach of limited state involvement in the economy to one foreseeing more active state intervention, especially in the provision of financial resources and the design of integrated policies to guide the green transition. The findings highlight the crucial role of the Commission in steering the EU's climate action policies, as shown by the adoption of the European Green Deal in 2019.</w:t>
      </w:r>
    </w:p>
    <w:p>
      <w:pPr/>
      <w:r>
        <w:rPr>
          <w:b/>
        </w:rPr>
        <w:t>POSSIBLE 2023:</w:t>
      </w:r>
      <w:r>
        <w:t xml:space="preserve"> In Search of Digital Sovereignty and Strategic Autonomy: Normative Power Europe to the Test of Its Geopolitical Ambitions — https://doi.org/10.1111/jcms.13462</w:t>
      </w:r>
    </w:p>
    <w:p>
      <w:pPr/>
      <w:r>
        <w:rPr>
          <w:b/>
        </w:rPr>
        <w:t>Shared claim-specific concepts:</w:t>
      </w:r>
      <w:r>
        <w:t xml:space="preserve"> three, strategic, article; EU scope visible. This is a provisional connection, not an outcome finding.</w:t>
      </w:r>
    </w:p>
    <w:p>
      <w:pPr>
        <w:pStyle w:val="SourceNote"/>
      </w:pPr>
      <w:r>
        <w:rPr>
          <w:b/>
        </w:rPr>
        <w:t>Available abstract (not full text):</w:t>
      </w:r>
      <w:r>
        <w:t xml:space="preserve"> This article analyses the recent use of European Union (EU) terminology of digital sovereignty and strategic autonomy, aiming to identify tensions between policy considerations of fundamental rights, free market principles and geopolitical concerns. These tensions are rooted in the disparity between the EU's considerable economic and regulatory power in digital matters and its limited mandate and capabilities in foreign policy. The article also explores the translation of the notions of digital sovereignty and strategic autonomy into EU policy. It identifies three important trends in the geopoliticisation of the EU agenda on digital technologies: (1) the instrumental use of ‘classic’ internal market policies to exert geopolitical influence; (2) the imposition of foreign policy imperatives on national markets; and (3) new ‘hybrid’ digital policies that combine internal market concerns, fundamental rights and geopolitical concerns. Ultimately, digital sovereignty has inherent tensions with the EU's normative power in digital issues and may also result in a strategic cacophony.</w:t>
      </w:r>
    </w:p>
    <w:p>
      <w:pPr/>
      <w:r>
        <w:rPr>
          <w:b/>
        </w:rPr>
        <w:t>POSSIBLE 2022:</w:t>
      </w:r>
      <w:r>
        <w:t xml:space="preserve"> Cyber conflict short of war: a European strategic vacuum — https://doi.org/10.1080/09662839.2022.2031991</w:t>
      </w:r>
    </w:p>
    <w:p>
      <w:pPr/>
      <w:r>
        <w:rPr>
          <w:b/>
        </w:rPr>
        <w:t>Shared claim-specific concepts:</w:t>
      </w:r>
      <w:r>
        <w:t xml:space="preserve"> three, strategic, article, concludes; EU scope visible. This is a provisional connection, not an outcome finding.</w:t>
      </w:r>
    </w:p>
    <w:p>
      <w:pPr>
        <w:pStyle w:val="SourceNote"/>
      </w:pPr>
      <w:r>
        <w:rPr>
          <w:b/>
        </w:rPr>
        <w:t>Available abstract (not full text):</w:t>
      </w:r>
      <w:r>
        <w:t xml:space="preserve"> Cyber conflict short of war plays an increasingly important role in contemporary security politics. Dedicated to a study of three European NATO members – the Netherlands, France and Norway, this article expands the existing focus of the study of cyber conflict short of war beyond its dominating US context. It compares and assesses how the countries perceive and respond to a changing strategic environment characterised by increasing cyber conflict short of war. The analysis demonstrates that all three countries acknowledge that cyber operations short of war alter the strategic environment and challenge the idea of deploying offensive cyber capabilities as purely a warfare matter. However, it also identifies a strategic vacuum, as none of them have formulated strategies that describe in detail how military and intelligence entities are supposed to approach and manage the new strategic environment. The article asserts that the current lack of strategic guidance is a fundamental challenge that puts European societies at risk and undermines democratic governance as navigating the new space of strategic cyber competition is a significant challenge to contemporary European statecraft. It concludes by noting three avenues for how to ameliorate this situation and fill the vacuum.</w:t>
      </w:r>
    </w:p>
    <w:p>
      <w:pPr/>
      <w:r>
        <w:rPr>
          <w:b/>
        </w:rPr>
        <w:t>POSSIBLE 2022:</w:t>
      </w:r>
      <w:r>
        <w:t xml:space="preserve"> Strategic European counterterrorism? An empirical analysis — https://doi.org/10.1080/09662839.2022.2029847</w:t>
      </w:r>
    </w:p>
    <w:p>
      <w:pPr/>
      <w:r>
        <w:rPr>
          <w:b/>
        </w:rPr>
        <w:t>Shared claim-specific concepts:</w:t>
      </w:r>
      <w:r>
        <w:t xml:space="preserve"> three, strategic, strategy, article;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2022:</w:t>
      </w:r>
      <w:r>
        <w:t xml:space="preserve"> Between Europe and Asia: Narrow Spaces for Strategic Hedging in New Europe — https://doi.org/10.1080/19448953.2022.2129324</w:t>
      </w:r>
    </w:p>
    <w:p>
      <w:pPr/>
      <w:r>
        <w:rPr>
          <w:b/>
        </w:rPr>
        <w:t>Shared claim-specific concepts:</w:t>
      </w:r>
      <w:r>
        <w:t xml:space="preserve"> three, strategic, strategy, developing; EU scope visible. This is a provisional connection, not an outcome finding.</w:t>
      </w:r>
    </w:p>
    <w:p>
      <w:pPr>
        <w:pStyle w:val="SourceNote"/>
      </w:pPr>
      <w:r>
        <w:rPr>
          <w:b/>
        </w:rPr>
        <w:t>Available abstract (not full text):</w:t>
      </w:r>
      <w:r>
        <w:t xml:space="preserve"> Since the end of the Cold War, the former Soviet states of Europe, located at the crossroads of Europe and Asia, have been the site of a political game between the great powers, gradually developing a left-right strategy. This paper constructs the explanatory theory of hedging strategy and argues that post-socialist European countries, collectively referred to as ‘New Europe’, have navigated a middle way between balance and followup strategies called compound hedging. Starting at the regional scale, this paper discusses three issues, i.e., whether the new Europe has adopted a hedging strategy, why they adopt a hedging strategy, and the policy performance and effectiveness of hedging in the security and economic fields. Specifically, New Europe has implemented diversified fuzzy strategies amidst the transatlantic alliances and Eurasian powers, avoided security risks from Russia through cooperation with NATO, and balanced interest risks caused by European Union pressure through contacts with the United States, Russia, China and other countries. Although New Europe has realized certain practical strategic effects, it still faces difficulties (e.g., structural pressure changes, divergences between old and New Europe, and a lack of hedging capacities and motivations), and its policy space remains narrow and uncertain.</w:t>
      </w:r>
    </w:p>
    <w:p>
      <w:pPr/>
      <w:r>
        <w:rPr>
          <w:b/>
        </w:rPr>
        <w:t>POSSIBLE 2021:</w:t>
      </w:r>
      <w:r>
        <w:t xml:space="preserve"> 9 Developing Strategic Autonomy for European Sovereignty — https://doi.org/10.5771/9781538161777-173</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Will the increased economic connectivity across the Eurasian supercontinent transform Europe into the western peninsula of Greater Eurasia? The unipolar era entailed the US organising the two other major economic regions of the world, Europe and Asia, under US leadership. The rise of “the rest”, primarily Asia with China at the centre, has ended the unipolar era and even 500-years of Western dominance. China and Russia are leading efforts to integrate Europe and Asia into one large region. The Greater Eurasian region is constructed with three categories of economic connectivity – strategic industries built on new and disruptive technologies; physical connectivity with bimodal transportation corridors; and financial connectivity with new development banks, trading currencies and payments systems. China strives for geoeconomic leadership by replacing the US leadership position, while Russia endeavours to reposition itself from the dual periphery of Europe and Asia to the centre of a grand Eurasian geoeconomic constellation. Europe, positioned between the trans-Atlantic region and Greater Eurasia, has to adapt to the new international distribution of power to preserve its strategic autonomy.</w:t>
      </w:r>
    </w:p>
    <w:p>
      <w:pPr>
        <w:pStyle w:val="Heading2"/>
      </w:pPr>
      <w:r>
        <w:t>607.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2024:</w:t>
      </w:r>
      <w:r>
        <w:t xml:space="preserve"> Exploring the Nexus between Greenhouse Emissions, Environmental Degradation and Green Energy in Europe: A Critique of the Environmental Kuznets Curve — https://doi.org/10.3390/en17205109</w:t>
      </w:r>
    </w:p>
    <w:p>
      <w:pPr/>
      <w:r>
        <w:rPr>
          <w:b/>
        </w:rPr>
        <w:t>Shared claim-specific concepts:</w:t>
      </w:r>
      <w:r>
        <w:t xml:space="preserve"> degradation, energy, not; EU scope visible. This is a provisional connection, not an outcome finding.</w:t>
      </w:r>
    </w:p>
    <w:p>
      <w:pPr>
        <w:pStyle w:val="SourceNote"/>
      </w:pPr>
      <w:r>
        <w:rPr>
          <w:b/>
        </w:rPr>
        <w:t>Available abstract (not full text):</w:t>
      </w:r>
      <w:r>
        <w:t xml:space="preserve"> This study examines the intricate relationship between economic growth and European environmental degradation via the Environmental Kuznets Curve (EKC). Our results contest the traditional inverted U-shape model of the Environmental Kuznets Curve, indicating that the theory may not be consistently applicable across European countries. Utilizing CS-ARDL and MMQR modelling, we reveal substantial regional disparities. Western European nations demonstrate a typical Environmental Kuznets Curve (EKC) pattern in the short term, characterized by an initial increase in emissions alongside GDP development, followed by a subsequent fall. Conversely, Eastern and Balkan nations exhibit a U-shaped connection, described by an early decline in emissions followed by a subsequent increase as their development levels increase. The influence of renewable energy differs, as it decreases emissions in the short term in Western Europe. However, its long-term impacts are variable, especially when contrasted with its more pronounced effect on emissions in Eastern and Balkan countries. Furthermore, trade openness intensifies environmental degradation in the short-term across all regions, although its long-term impact diminishes, particularly concerning greenhouse gases (GHG). The relationship between renewable energy and trade openness is substantial for the short-term reduction of carbon dioxide emissio</w:t>
      </w:r>
    </w:p>
    <w:p>
      <w:pPr/>
      <w:r>
        <w:rPr>
          <w:b/>
        </w:rPr>
        <w:t>POSSIBLE 2024:</w:t>
      </w:r>
      <w:r>
        <w:t xml:space="preserve"> A screening method for plastic-degrading fungi — https://doi.org/10.1016/j.heliyon.2024.e31130</w:t>
      </w:r>
    </w:p>
    <w:p>
      <w:pPr/>
      <w:r>
        <w:rPr>
          <w:b/>
        </w:rPr>
        <w:t>Shared claim-specific concepts:</w:t>
      </w:r>
      <w:r>
        <w:t xml:space="preserve"> degradation, environment, water, not; EU scope not established. This is a provisional connection, not an outcome finding.</w:t>
      </w:r>
    </w:p>
    <w:p>
      <w:pPr>
        <w:pStyle w:val="SourceNote"/>
      </w:pPr>
      <w:r>
        <w:rPr>
          <w:b/>
        </w:rPr>
        <w:t>Available abstract (not full text):</w:t>
      </w:r>
      <w:r>
        <w:t xml:space="preserve"> The growing amount of plastic waste requires new ways of disposal or recycling. Research into the biodegradation of recalcitrant plastic polymers is gathering pace. Despite some progress, these efforts have not yet led to technologically and economically viable applications. In this study, we show that respirometric screening of environmental fungal isolates in combination with scanning electron microscopy (SEM), Fourier transform infrared spectroscopy (FTIR) and Raman spectroscopy can be used to identify new strains with the potential for the degradation of plastic polymers. We screened 146 fungal strains, 71 isolated from car repair shops, an environment rich in long-chain hydrocarbons, and 75 isolated from hypersaline water capable of growing at high concentrations of NaCl. When grown in a minimal medium with no carbon source, some strains produced significantly more CO 2 when a pure plastic polymer was added to the medium, some only at high salinity. A selection of these strains was shown by FTIR and Raman spectroscopy to alter the properties of plastic polymers: Cladosporium sp. EXF-13502 on polyamide, Rhodotorula dairenensis EXF-13500 on polypropylene, Rhodotorula sp. EXF-10630 on low-density polyethylene and Wickerhamomyces anomalus EXF-6848 on polyethylene terephthalate. Respirometry in combination with specific spectroscopic methods is an efficient method for screening</w:t>
      </w:r>
    </w:p>
    <w:p>
      <w:pPr/>
      <w:r>
        <w:rPr>
          <w:b/>
        </w:rPr>
        <w:t>POSSIBLE 2023:</w:t>
      </w:r>
      <w:r>
        <w:t xml:space="preserve"> Remote sensing of soil degradation: Progress and perspective — https://doi.org/10.1016/j.iswcr.2023.03.002</w:t>
      </w:r>
    </w:p>
    <w:p>
      <w:pPr/>
      <w:r>
        <w:rPr>
          <w:b/>
        </w:rPr>
        <w:t>Shared claim-specific concepts:</w:t>
      </w:r>
      <w:r>
        <w:t xml:space="preserve"> degradation, environment, security, health, food, not; EU scope not established. This is a provisional connection, not an outcome finding.</w:t>
      </w:r>
    </w:p>
    <w:p>
      <w:pPr>
        <w:pStyle w:val="SourceNote"/>
      </w:pPr>
      <w:r>
        <w:rPr>
          <w:b/>
        </w:rPr>
        <w:t>Available abstract (not full text):</w:t>
      </w:r>
      <w:r>
        <w:t xml:space="preserve"> Soils constitute one of the most critical natural resources and maintaining their health is vital for agricultural development and ecological sustainability, providing many essential ecosystem services. Driven by climatic variations and anthropogenic activities, soil degradation has become a global issue that seriously threatens the ecological environment and food security. Remote sensing (RS) technologies have been widely used to investigate soil degradation as it is highly efficient, time-saving, and broad-scope. This review encompasses recent advances and the state-of-the-art of ground, proximal, and novel RS techniques in soil degradation-related studies. We reviewed the RS-related indicators that could be used for monitoring soil degradation-related properties. The direct indicators (mineral composition, organic matter, surface roughness, and moisture content of soil) and indirect proxies (vegetation condition and land use/land cover change) for evaluating soil degradation were comprehensively summarized. The results suggest that these above indicators are effective for monitoring soil degradation, however, no indicators system has been established for soil degradation monitoring to date. We also discussed the RS's mechanisms, data, and methods for identifying specific soil degradation-related phenomena (e.g., soil erosion, salinization, desertification, and contamination)</w:t>
      </w:r>
    </w:p>
    <w:p>
      <w:pPr/>
      <w:r>
        <w:rPr>
          <w:b/>
        </w:rPr>
        <w:t>POSSIBLE 2023:</w:t>
      </w:r>
      <w:r>
        <w:t xml:space="preserve"> Vulnerability of microplastics on marine environment: A review — https://doi.org/10.1016/j.ecolind.2023.111058</w:t>
      </w:r>
    </w:p>
    <w:p>
      <w:pPr/>
      <w:r>
        <w:rPr>
          <w:b/>
        </w:rPr>
        <w:t>Shared claim-specific concepts:</w:t>
      </w:r>
      <w:r>
        <w:t xml:space="preserve"> environment, water; EU scope not established. This is a provisional connection, not an outcome finding.</w:t>
      </w:r>
    </w:p>
    <w:p>
      <w:pPr>
        <w:pStyle w:val="SourceNote"/>
      </w:pPr>
      <w:r>
        <w:rPr>
          <w:b/>
        </w:rPr>
        <w:t>Available abstract (not full text):</w:t>
      </w:r>
      <w:r>
        <w:t xml:space="preserve"> Microplastics (MPs), which are small plastic particles measuring less than 5 mm in size, have emerged as a significant environmental concern in marine ecosystems worldwide. The presence of MPs in aquatic environments has increased due to the contributions from anthropogenic and terrestrial sources, raising concerns about their abundance in aquatic organisms. MPs primarily originate from the photo-degradation of larger plastic debris (macroplastics), with their release into the environment often occurring through the breakdown of additive compounds. The ingestion of MPs poses eco-toxicological risks to marine organisms, causing damage to the gastrointestinal (GI) tracts and stomachs of affected organisms. Approximately 80 % of MPs originate from terrestrial sources, which can be classified as either primary sources, such as those generated during the production of skincare products, tires, and the use of MPs as carriers for pharmaceutical products, or secondary sources resulting from the improper disposal of plastics near coastal areas and water bodies. The issue of MPs and their potential effects on the marine ecosystem demands significant attention. In conclusion, this review provides a comprehensive overview of the vulnerability of microplastics in marine environments, consolidating the current understanding of their sources, distribution, fate, and ecological impacts. It emp</w:t>
      </w:r>
    </w:p>
    <w:p>
      <w:pPr/>
      <w:r>
        <w:rPr>
          <w:b/>
        </w:rPr>
        <w:t>POSSIBLE 2021:</w:t>
      </w:r>
      <w:r>
        <w:t xml:space="preserve"> Editorial: Plastics in the Environment: Understanding Impacts and Identifying Solutions — https://doi.org/10.3389/fenvs.2021.699971</w:t>
      </w:r>
    </w:p>
    <w:p>
      <w:pPr/>
      <w:r>
        <w:rPr>
          <w:b/>
        </w:rPr>
        <w:t>Shared claim-specific concepts:</w:t>
      </w:r>
      <w:r>
        <w:t xml:space="preserve"> degradation, environment, health; EU scope visible. This is a provisional connection, not an outcome finding.</w:t>
      </w:r>
    </w:p>
    <w:p>
      <w:pPr>
        <w:pStyle w:val="SourceNote"/>
      </w:pPr>
      <w:r>
        <w:rPr>
          <w:b/>
        </w:rPr>
        <w:t>Available abstract (not full text):</w:t>
      </w:r>
      <w:r>
        <w:t xml:space="preserve"> Understanding Impacts and Identifying SolutionsPlastics are one of the most widely used materials in the world which society will always be dependent on.This dependency has been clearly highlighted by the requirements for hygiene and protection during the recent global COVID pandemic (Adyel, 2020;Prata et al., 2020).Plastics are broadly integrated into today's lifestyle and are present in almost all consumer and industrial sectors and their production continues to increase (Geyer et al., 2017).Unfortunately, one of the characteristics of plastics that make them so useful-their durability-also ensures that they persist in the environment for very long periods of time.Additionally, and because of their low cost, many plastic objects have long been perceived as disposable.The consequence of this, coupled with the difficulty in developing effective waste management strategies, has been the ubiquitous contamination of the entire planet by plastic debris.Even if proposed global actions to recycle more plastic or prevent the export of plastic waste to countries with poorly developed waste infrastructure through the Basel Convention are implemented, plastic emissions are expected to increase for the foreseeable future unless significant breakthroughs in plastic design or waste management are realized (Lau et al., 2020).Increasing emissions also imply that exposure to plastic pollution </w:t>
      </w:r>
    </w:p>
    <w:p>
      <w:pPr>
        <w:pStyle w:val="Heading2"/>
      </w:pPr>
      <w:r>
        <w:t>608.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2021:</w:t>
      </w:r>
      <w:r>
        <w:t xml:space="preserve"> Barriers to ecological restoration in Europe: expert perspectives — https://doi.org/10.1111/rec.13346</w:t>
      </w:r>
    </w:p>
    <w:p>
      <w:pPr/>
      <w:r>
        <w:rPr>
          <w:b/>
        </w:rPr>
        <w:t>Shared claim-specific concepts:</w:t>
      </w:r>
      <w:r>
        <w:t xml:space="preserve"> number, level, all, different;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609.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2021:</w:t>
      </w:r>
      <w:r>
        <w:t xml:space="preserve"> Foresight Capacity Building — https://doi.org/10.5281/zenodo.6630549</w:t>
      </w:r>
    </w:p>
    <w:p>
      <w:pPr/>
      <w:r>
        <w:rPr>
          <w:b/>
        </w:rPr>
        <w:t>Shared claim-specific concepts:</w:t>
      </w:r>
      <w:r>
        <w:t xml:space="preserve"> foresight, project, covered, time;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Becoming a forerunner in foresight : Key elements of success in organizational foresight — https://openalex.org/W3175285991</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As previous foresight studies show, successful foresight activities are the key to organization’s long-term survival and increased performance. But what are the elements that constitute successful foresight? And furthermore, how organizations understand “foresight success”? This thesis approaches the issue of successful foresight in organizations by building an overview of factors that promote or hinder organizational foresight. The aim is to improve organizational foresight practices by increasing the understanding of foresight success elements. An organization that cultivates these elements can eventually transform into a forerunner in foresight. Foresight success and success factors are first examined through previous foresight studies and further considered through empirical material. The selected approach is qualitative inquiry: by interviewing 12 Finnish organizations of which six can be considered as forerunners in foresight, a deeper understanding of organizational foresight success is constructed. Empirical findings are further supported by theoretical framework of foresight maturity models, in which elements of foresight are depicted as organizational capabilities that develop over time. As a result, this study confirms the importance of factors identified in previous foresight research that promote, or conversely hinder, foresight successfulness in organizations. The</w:t>
      </w:r>
    </w:p>
    <w:p>
      <w:pPr/>
      <w:r>
        <w:rPr>
          <w:b/>
        </w:rPr>
        <w:t>POSSIBLE 2021:</w:t>
      </w:r>
      <w:r>
        <w:t xml:space="preserve"> Creativity, proactivity, and foresight — https://doi.org/10.1016/j.techfore.2021.121215</w:t>
      </w:r>
    </w:p>
    <w:p>
      <w:pPr/>
      <w:r>
        <w:rPr>
          <w:b/>
        </w:rPr>
        <w:t>Shared claim-specific concepts:</w:t>
      </w:r>
      <w:r>
        <w:t xml:space="preserve"> foresight, two, namely; EU scope not established. This is a provisional connection, not an outcome finding.</w:t>
      </w:r>
    </w:p>
    <w:p>
      <w:pPr>
        <w:pStyle w:val="SourceNote"/>
      </w:pPr>
      <w:r>
        <w:rPr>
          <w:b/>
        </w:rPr>
        <w:t>Available abstract (not full text):</w:t>
      </w:r>
      <w:r>
        <w:t xml:space="preserve"> This study addresses how foresight interventions can translate creativity into proactive behavior and, in this sense, foster anticipatory strategic management. We develop a theoretical model, linking creativity and proactivity with known discrete individual foresight cognitive styles, namely “Reactor”, “Tester”, “Adapter”, and “Framer”, but also add a new “Actor” dimension. The theoretical model is tested by analyzing quantitative data from 172 students attending two scenario-building workshops. Our SEM model allows us to formulate three conclusions. First, creativity is not directly linked to proactivity without considering individual foresight cognitive styles. Second, we confirm the presence of four components of foresight as discrete foresight cognitive styles but also demonstrate the importance of a fifth component, the “Actor”. Third, it is only through the “Tester”, “Adapter”, and “Actor” components that creative energy most significantly aids proactivity. This means that creativity most significantly aids proactivity when individuals are either able to experiment with alternative courses of action or change the conditions for how their respective futures may unfold. We contribute to the foresight literature by demonstrating how foresight, as a process of intervention, can foster discrete foresight cognitive styles at the individual level and moderate relationships betwe</w:t>
      </w:r>
    </w:p>
    <w:p>
      <w:pPr>
        <w:pStyle w:val="Heading2"/>
      </w:pPr>
      <w:r>
        <w:t>610.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r>
        <w:rPr>
          <w:b/>
        </w:rPr>
        <w:t>POSSIBLE 2023:</w:t>
      </w:r>
      <w:r>
        <w:t xml:space="preserve"> FEATURES OF THE RESPONSIBILITY FOR VIOLATIONS OF TAX LEGISLATION IN UKRAINE AND THE COUNTRIES OF THE EUROPEAN UNION: THE QUESTION OF GUILT — https://doi.org/10.32782/2524-0374/2023-1/78</w:t>
      </w:r>
    </w:p>
    <w:p>
      <w:pPr/>
      <w:r>
        <w:rPr>
          <w:b/>
        </w:rPr>
        <w:t>Shared claim-specific concepts:</w:t>
      </w:r>
      <w:r>
        <w:t xml:space="preserve"> accordingly, questions, arise, ukrainian; EU scope visible. This is a provisional connection, not an outcome finding.</w:t>
      </w:r>
    </w:p>
    <w:p>
      <w:pPr>
        <w:pStyle w:val="SourceNote"/>
      </w:pPr>
      <w:r>
        <w:rPr>
          <w:b/>
        </w:rPr>
        <w:t>Available abstract (not full text):</w:t>
      </w:r>
      <w:r>
        <w:t xml:space="preserve"> A particularly difficult issue in the study of the institution of responsibility in tax law is the question of the guilt of business entities -taxpayers.Since taxes are one of the financial instruments used to build relationships between economic entities and the state, the study of the issue of taxpayers' guilt is particularly relevant.Taxpayers are slowly adapting to changes in tax legislation that came into effect on January 1, 2021.One of the most discussed and radical novelties is the official legalization of the institution of guilt as a mandatory element of certain tax offenses and, accordingly, a necessary condition for holding taxpayers to financial responsibility.The Supreme Court has repeatedly emphasized that taxpayers exercise reasonable care, although the risks of choosing an unscrupulous counterparty lie with them.However, in practice, a situation often arises when regulatory authorities hold business entities -taxpayers to account for violations of tax legislation, without paying attention to the presence of guilt in the latter's actions or inactions.Thus, the introduction of the legal construction of guilt into the tax legislation of Ukraine significantly increased the quality of the legislative construction of the composition of the tax offense.However, the legal construction of the guilt of each of the mandatory elements of the composition of a tax offense mu</w:t>
      </w:r>
    </w:p>
    <w:p>
      <w:pPr/>
      <w:r>
        <w:rPr>
          <w:b/>
        </w:rPr>
        <w:t>POSSIBLE 2023:</w:t>
      </w:r>
      <w:r>
        <w:t xml:space="preserve"> To the question of political ideologies and their significance for the state — https://doi.org/10.52340/isj.2022.26.03</w:t>
      </w:r>
    </w:p>
    <w:p>
      <w:pPr/>
      <w:r>
        <w:rPr>
          <w:b/>
        </w:rPr>
        <w:t>Shared claim-specific concepts:</w:t>
      </w:r>
      <w:r>
        <w:t xml:space="preserve"> accordingly, questions, arise, about, based, first; EU scope visible. This is a provisional connection, not an outcome finding.</w:t>
      </w:r>
    </w:p>
    <w:p>
      <w:pPr>
        <w:pStyle w:val="SourceNote"/>
      </w:pPr>
      <w:r>
        <w:rPr>
          <w:b/>
        </w:rPr>
        <w:t>Available abstract (not full text):</w:t>
      </w:r>
      <w:r>
        <w:t xml:space="preserve"> The term "ideology" suggested the French thinker of the XVIII century. Destin de Tracy, named the new science of ideas. At the forefront of this concept was put forward in the XIX century. turbulent political life of Europe. Expand the concept of ideology gave Karl Marx and Friedrich Engels in his work "The German Ideology", where the term is used in a double meaning: first, idealistic world view, in which the idea of the world plays the role of a substance, and secondly, the type of socio-professional political thinking, when the subject is not aware of its conditionality economic class interests, but in reality it defends them. Such thinking creates a particular reality, substitute in the eyes of the people the true social reality, and thus prevents the realization of their real interests. However, Marx and his followers made an exception for the ideology of the proletariat, considering that the class consciousness of the proletariat coincides with the objective vision of reality, and the proletarian revolution has done away with all class consciousness and ideology in general. If we follow the logic of Marxism, it turns out that the proletarian ideology has the truth. In general, Marx recognized the possibility of relative truth of specific ideologies in specific historical conditions. Thus, the bourgeois ideology was true when it was historically progressive (in the era of </w:t>
      </w:r>
    </w:p>
    <w:p>
      <w:pPr/>
      <w:r>
        <w:rPr>
          <w:b/>
        </w:rPr>
        <w:t>POSSIBLE 2022:</w:t>
      </w:r>
      <w:r>
        <w:t xml:space="preserve"> English non-manner how-clauses as answers to deficient questions — https://doi.org/10.3765/salt.v31i0.5114</w:t>
      </w:r>
    </w:p>
    <w:p>
      <w:pPr/>
      <w:r>
        <w:rPr>
          <w:b/>
        </w:rPr>
        <w:t>Shared claim-specific concepts:</w:t>
      </w:r>
      <w:r>
        <w:t xml:space="preserve"> accordingly, questions, arise; EU scope not established. This is a provisional connection, not an outcome finding.</w:t>
      </w:r>
    </w:p>
    <w:p>
      <w:pPr>
        <w:pStyle w:val="SourceNote"/>
      </w:pPr>
      <w:r>
        <w:rPr>
          <w:b/>
        </w:rPr>
        <w:t>Available abstract (not full text):</w:t>
      </w:r>
      <w:r>
        <w:t xml:space="preserve"> English exhibits a variety of embedded how-clause that, while introduced by a canonically interrogative item, lacks an intuitive sense of interrogativity. This paper offers an analysis of the semantics of these clauses that is grounded interrogative semantics. On this view, how in these clauses introduces a degenerate, necessarily-singleton question set. Further, the paper observes that how here introduces a factive presupposition that cannot be reduced to the matrix predicate’s entailments. Accordingly, this paper supports a view on which factivity can arise from multiple sources. A diachronic-based account is also offered to explain the reccurence of how in non-manner embedded clauses cross-linguistically.</w:t>
      </w:r>
    </w:p>
    <w:p>
      <w:pPr/>
      <w:r>
        <w:rPr>
          <w:b/>
        </w:rPr>
        <w:t>POSSIBLE 2022:</w:t>
      </w:r>
      <w:r>
        <w:t xml:space="preserve"> Million dollar questions: why deliberation is more than information pooling — https://doi.org/10.1007/s00355-022-01392-9</w:t>
      </w:r>
    </w:p>
    <w:p>
      <w:pPr/>
      <w:r>
        <w:rPr>
          <w:b/>
        </w:rPr>
        <w:t>Shared claim-specific concepts:</w:t>
      </w:r>
      <w:r>
        <w:t xml:space="preserve"> questions, about, various; EU scope not established. This is a provisional connection, not an outcome finding.</w:t>
      </w:r>
    </w:p>
    <w:p>
      <w:pPr>
        <w:pStyle w:val="SourceNote"/>
      </w:pPr>
      <w:r>
        <w:rPr>
          <w:b/>
        </w:rPr>
        <w:t>Available abstract (not full text):</w:t>
      </w:r>
      <w:r>
        <w:t xml:space="preserve"> Abstract Models of collective deliberation often assume that the chief aim of a deliberative exchange is the sharing of information. In this paper, we argue that an equally important role of deliberation is to draw participants’ attention to pertinent questions, which can aid the assembly and processing of distributed information by drawing deliberators’ attention to new issues. The assumption of logical omniscience renders classical models of agents' informational states unsuitable for modelling this role of deliberation. Building on recent insights from psychology, linguistics and philosophy about the role of questions in speech and thought, we propose a different model in which beliefs are treated as answers directed at specific questions. Here, questions are formally represented as partitions of the space of possibilities and individuals’ information states as sets of questions and corresponding partial answers to them. The state of conversation is then characterised by individuals’ information together with the questions under discussion, which can be steered by various deliberative inputs. Using this model, deliberation is then shown to shape collective decisions in ways that classical models cannot capture, allowing for novel explanations of how group consensus is achieved.</w:t>
      </w:r>
    </w:p>
    <w:p>
      <w:pPr/>
      <w:r>
        <w:rPr>
          <w:b/>
        </w:rPr>
        <w:t>POSSIBLE 2022:</w:t>
      </w:r>
      <w:r>
        <w:t xml:space="preserve"> APPROACHES TO UNDERSTANDING NATIONAL MARTYRDOM: THEORETICAL AND EMPIRICAL ESSAY — https://doi.org/10.5281/zenodo.7472109</w:t>
      </w:r>
    </w:p>
    <w:p>
      <w:pPr/>
      <w:r>
        <w:rPr>
          <w:b/>
        </w:rPr>
        <w:t>Shared claim-specific concepts:</w:t>
      </w:r>
      <w:r>
        <w:t xml:space="preserve"> accordingly, questions, arise; EU scope visible. This is a provisional connection, not an outcome finding.</w:t>
      </w:r>
    </w:p>
    <w:p>
      <w:pPr>
        <w:pStyle w:val="SourceNote"/>
      </w:pPr>
      <w:r>
        <w:rPr>
          <w:b/>
        </w:rPr>
        <w:t>Available abstract (not full text):</w:t>
      </w:r>
      <w:r>
        <w:t xml:space="preserve"> Political martyrdom is a bright, but extremely little–researched phenomenon of world political, social and religious culture, which originates in the European New Age and is actively developing to this day. Since the XVIII century . it arose in a huge range of historical contexts: These are the "martyrs of freedom" in the era of the French Revolution, martyred presidents in the USA, heroes of the Easter Uprising of 1916 in Dublin, martyrdom in the fascist movements of Spain, Romania, Germany of the XX century, the civil religions of the USSR and China, as well as sacrificial ideologies in the context of decolonization and postcolonialism. Over time, the number of political cults of martyrs not only did not decrease, but also increased: Today, a civil holiday called "Martyrs' Day" is celebrated in more than 30 countries around the world, and related ideas continue to fuel many national liberation and separatist movements around the world - for example, Kurds, Tamils, Welsh, Catalans or Indian Maoists (Naxalites). Accordingly, questions arise – why do all these numerous nationalisms, established states and activist movements need martyrs, practices and ideologies associated with them? What is the nature of this new and newest martyrdom – religious, secular or otherwise? Finally, is the veneration of martyrs an expression of affect or a mobilization strategy that has some function</w:t>
      </w:r>
    </w:p>
    <w:p>
      <w:pPr/>
      <w:r>
        <w:rPr>
          <w:b/>
        </w:rPr>
        <w:t>POSSIBLE 2021:</w:t>
      </w:r>
      <w:r>
        <w:t xml:space="preserve"> Avian Coloration Genetics: Recent Advances and Emerging Questions — https://doi.org/10.1093/jhered/esab015</w:t>
      </w:r>
    </w:p>
    <w:p>
      <w:pPr/>
      <w:r>
        <w:rPr>
          <w:b/>
        </w:rPr>
        <w:t>Shared claim-specific concepts:</w:t>
      </w:r>
      <w:r>
        <w:t xml:space="preserve"> accordingly, questions, arise, among; EU scope not established. This is a provisional connection, not an outcome finding.</w:t>
      </w:r>
    </w:p>
    <w:p>
      <w:pPr>
        <w:pStyle w:val="SourceNote"/>
      </w:pPr>
      <w:r>
        <w:rPr>
          <w:b/>
        </w:rPr>
        <w:t>Available abstract (not full text):</w:t>
      </w:r>
      <w:r>
        <w:t xml:space="preserve"> The colorful phenotypes of birds have long provided rich source material for evolutionary biologists. Avian plumage, beaks, skin, and eggs-which exhibit a stunning range of cryptic and conspicuous forms-inspired early work on adaptive coloration. More recently, avian color has fueled discoveries on the physiological, developmental, and-increasingly-genetic mechanisms responsible for phenotypic variation. The relative ease with which avian color traits can be quantified has made birds an attractive system for uncovering links between phenotype and genotype. Accordingly, the field of avian coloration genetics is burgeoning. In this review, we highlight recent advances and emerging questions associated with the genetic underpinnings of bird color. We start by describing breakthroughs related to 2 pigment classes: carotenoids that produce red, yellow, and orange in most birds and psittacofulvins that produce similar colors in parrots. We then discuss structural colors, which are produced by the interaction of light with nanoscale materials and greatly extend the plumage palette. Structural color genetics remain understudied-but this paradigm is changing. We next explore how colors that arise from interactions among pigmentary and structural mechanisms may be controlled by genes that are co-expressed or co-regulated. We also identify opportunities to investigate genes mediating with</w:t>
      </w:r>
    </w:p>
    <w:p>
      <w:pPr>
        <w:pStyle w:val="Heading2"/>
      </w:pPr>
      <w:r>
        <w:t>611.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there, sustainable, well, carbon, not;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sustainable, carbon, only, but;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2023:</w:t>
      </w:r>
      <w:r>
        <w:t xml:space="preserve"> Circularity in Europe strengthens the sustainability of the global food system — https://doi.org/10.1038/s43016-023-00734-9</w:t>
      </w:r>
    </w:p>
    <w:p>
      <w:pPr/>
      <w:r>
        <w:rPr>
          <w:b/>
        </w:rPr>
        <w:t>Shared claim-specific concepts:</w:t>
      </w:r>
      <w:r>
        <w:t xml:space="preserve"> enough, all, bring, but; EU scope visible. This is a provisional connection, not an outcome finding.</w:t>
      </w:r>
    </w:p>
    <w:p>
      <w:pPr>
        <w:pStyle w:val="SourceNote"/>
      </w:pPr>
      <w:r>
        <w:rPr>
          <w:b/>
        </w:rPr>
        <w:t>Available abstract (not full text):</w:t>
      </w:r>
      <w:r>
        <w:t xml:space="preserve"> Redesigning the European food system on the basis of circularity principles could bring environmental benefits for Europe and the world. Here we deploy a biophysical optimization model to explore the effects of adopting three circularity scenarios in the European Union (EU)27 + UK. We calculate a potential reduction of 71% in agricultural land use and 29% per capita in agricultural greenhouse gas emissions, while producing enough healthy food within a self-sufficient European food system. Under global food shortages, savings in agricultural land could be used to feed an additional 767 million people outside the EU (+149%), while reducing per capita greenhouse gas emissions by 38% but increasing overall emissions by 55% due to the increased population served. Transitioning the EU's food system towards circularity implies sequential changes among all its components and has great potential to safeguard human and planetary health.</w:t>
      </w:r>
    </w:p>
    <w:p>
      <w:pPr/>
      <w:r>
        <w:rPr>
          <w:b/>
        </w:rPr>
        <w:t>POSSIBLE 2022:</w:t>
      </w:r>
      <w:r>
        <w:t xml:space="preserve"> Events and sustainability: why making events more sustainable is not enough — https://doi.org/10.4324/9781003314295-1</w:t>
      </w:r>
    </w:p>
    <w:p>
      <w:pPr/>
      <w:r>
        <w:rPr>
          <w:b/>
        </w:rPr>
        <w:t>Shared claim-specific concepts:</w:t>
      </w:r>
      <w:r>
        <w:t xml:space="preserve"> there, enough, sustainable, contribute, not; EU scope not established. This is a provisional connection, not an outcome finding.</w:t>
      </w:r>
    </w:p>
    <w:p>
      <w:pPr>
        <w:pStyle w:val="SourceNote"/>
      </w:pPr>
      <w:r>
        <w:rPr>
          <w:b/>
        </w:rPr>
        <w:t>Available abstract (not full text):</w:t>
      </w:r>
      <w:r>
        <w:t xml:space="preserve"> The special issue dedicated to events and sustainability is introduced here. We provide synopses of the papers, preceded by an introductory essay that examines how event studies has approached the relationship between events and sustainable development. Existing work too often assumes that sustainability means reducing negative environmental impacts with other aspects of the sustainability paradigm neglected. And whilst social issues have risen to prominence in events research generally, this work is usually considered outwith sustainability debates, and without considering environmental and economic interrelationships. We argue that event scholars should examine how events might contribute to sustainable development, rather than merely exploring how individual events could be made more sustainable. Accordingly, there needs to be further work addressing how events might change attitudes and behaviours by promoting sustainable lifestyles, communities and technologies. Following this discussion, we justify the focus on social sustainability in the special issue, clarify what this actually means, and question whether this is always the most appropriate way of framing research on the social impacts of events. Given the timing of the special issue, there is also a short review of how the coronavirus crisis affected the events sector, and what the implications might be for sustainabi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sustainable, sectors, not, relevant, but;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Enough? The role of sufficiency in European energy and climate plans — https://doi.org/10.1016/j.enpol.2021.112483</w:t>
      </w:r>
    </w:p>
    <w:p>
      <w:pPr/>
      <w:r>
        <w:rPr>
          <w:b/>
        </w:rPr>
        <w:t>Shared claim-specific concepts:</w:t>
      </w:r>
      <w:r>
        <w:t xml:space="preserve"> enough, all, not; EU scope visible. This is a provisional connection, not an outcome finding.</w:t>
      </w:r>
    </w:p>
    <w:p>
      <w:pPr>
        <w:pStyle w:val="SourceNote"/>
      </w:pPr>
      <w:r>
        <w:rPr>
          <w:b/>
        </w:rPr>
        <w:t>Available abstract (not full text):</w:t>
      </w:r>
      <w:r>
        <w:t xml:space="preserve"> Energy sufficiency is one of the three energy sustainability strategies, next to energy efficiency and renewable energies. We analyse to what extent European governments follow this strategy, by conducting a systematic document analysis of all available European National Energy and Climate Plans (NECPs) and Long-Term Strategies (LTSs). We collect and categorise a total of 230 sufficiency-related policy measures, finding large differences between countries. We find most sufficiency policies in the transport sector, when classifying also modal shift policies to change the service quality of transport as sufficiency policies. Types of sufficiency policy instruments vary considerably from sector to sector, for instance the focus on financial incentives and fiscal instruments in the mobility sector, information in the building sector, and financial incentive/tax instruments in cross-sectoral application. Regulatory instruments currently play a minor role for sufficiency policy in the national energy and climate plans of EU member states. Similar to energy efficiency in recent decades, sufficiency still largely referred to as micro-level individual behaviour change or necessary exogenous trends that will need to take place. It is not treated yet as a genuine field of policy action to provide the necessary framework for enabling societal change.</w:t>
      </w:r>
    </w:p>
    <w:p>
      <w:pPr/>
      <w:r>
        <w:rPr>
          <w:b/>
        </w:rPr>
        <w:t>POSSIBLE 2021:</w:t>
      </w:r>
      <w:r>
        <w:t xml:space="preserve"> Drivers of sustainability practices and contributions to sustainable development evident in sustainability reports of European mining companies — https://doi.org/10.1007/s43621-021-00025-y</w:t>
      </w:r>
    </w:p>
    <w:p>
      <w:pPr/>
      <w:r>
        <w:rPr>
          <w:b/>
        </w:rPr>
        <w:t>Shared claim-specific concepts:</w:t>
      </w:r>
      <w:r>
        <w:t xml:space="preserve"> there, sustainable, all, relevant, but; EU scope visible. This is a provisional connection, not an outcome finding.</w:t>
      </w:r>
    </w:p>
    <w:p>
      <w:pPr>
        <w:pStyle w:val="SourceNote"/>
      </w:pPr>
      <w:r>
        <w:rPr>
          <w:b/>
        </w:rPr>
        <w:t>Available abstract (not full text):</w:t>
      </w:r>
      <w:r>
        <w:t xml:space="preserve"> Abstract Mining activities cause negative environmental impacts, and social conflicts, but also provide economic benefits to communities and secure minerals necessary for low-carbon technology. The aim of this multiple case study is to analyze, compare and critically evaluate sustainability reports of 10 European mining companies for the 2016–2018 period to determine the drivers for implementation of sustainability practices and their contribution to the Sustainable Development Goals (SDGs). The findings suggest that European mining companies act under pressures from international initiatives and industry associations, the European Union, governments, stakeholders, and partnerships. The companies report on the core subjects of corporate governance, employees, the environment, stakeholders’ engagement and occupational health and safety. Positive trends were observed in stakeholder’s engagement, and health and safety, while air emissions, water and energy usage increased for most companies. Furthermore, there was an absence of improvement in gender diversity, utilization of renewable energy, and waste recycling. Even though all analyzed companies mentioned SDGs in the reports, the reports lacked a comprehensive explanation of mining activities’ contribution to the SDGs. This study addresses a gap in the existing literature on the European mining context of sustainable development</w:t>
      </w:r>
    </w:p>
    <w:p>
      <w:pPr>
        <w:pStyle w:val="Heading2"/>
      </w:pPr>
      <w:r>
        <w:t>612.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2024:</w:t>
      </w:r>
      <w:r>
        <w:t xml:space="preserve"> GHG Emission Trends and Targets (GETT) — https://doi.org/10.1787/decef216-en</w:t>
      </w:r>
    </w:p>
    <w:p>
      <w:pPr/>
      <w:r>
        <w:rPr>
          <w:b/>
        </w:rPr>
        <w:t>Shared claim-specific concepts:</w:t>
      </w:r>
      <w:r>
        <w:t xml:space="preserve"> ghg, emissions, climate; EU scope visible. This is a provisional connection, not an outcome finding.</w:t>
      </w:r>
    </w:p>
    <w:p>
      <w:pPr>
        <w:pStyle w:val="SourceNote"/>
      </w:pPr>
      <w:r>
        <w:rPr>
          <w:b/>
        </w:rPr>
        <w:t>Available abstract (not full text):</w:t>
      </w:r>
      <w:r>
        <w:t xml:space="preserve"> The Paris Agreement maps out a path for internationally coordinated efforts to curb global warming. At the centre of the Paris Agreement are Nationally Determined Contributions (NDCs) that establish countries’ plans to mitigate greenhouse gas (GHG) emissions as well as adapt to the impacts of climate change. However, mitigation contributions defined in NDCs are different across countries in terms of target types, coverage of sectors and gases. This makes it challenging to assess progress on mitigation commitments. To complement the UNFCCC efforts, and facilitate the evaluation and monitoring of targets, this paper develops a methodology that harmonises countries’ 2030 mitigation targets in physical units and provide clarity on sector and gas coverage. The results are used to develop the GHG Emission Trends and Targets (GETT) indicators for non-EU countries and the EU-27 covered under the International Programme for Action on Climate (IPAC). The GETT indicators support the analyses of emissions' trajectories by describing historical GHG emission trends and comparing them to NDC emission targets, considering various reference years and indicators, including emissions intensity per capita or per unit of GDP.</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r>
        <w:rPr>
          <w:b/>
        </w:rPr>
        <w:t>POSSIBLE 2023:</w:t>
      </w:r>
      <w:r>
        <w:t xml:space="preserve"> Dynamics and Accounting of GHG Emissions in the World — https://doi.org/10.1051/bioconf/20236306011</w:t>
      </w:r>
    </w:p>
    <w:p>
      <w:pPr/>
      <w:r>
        <w:rPr>
          <w:b/>
        </w:rPr>
        <w:t>Shared claim-specific concepts:</w:t>
      </w:r>
      <w:r>
        <w:t xml:space="preserve"> ghg, emissions, climate; EU scope not established. This is a provisional connection, not an outcome finding.</w:t>
      </w:r>
    </w:p>
    <w:p>
      <w:pPr>
        <w:pStyle w:val="SourceNote"/>
      </w:pPr>
      <w:r>
        <w:rPr>
          <w:b/>
        </w:rPr>
        <w:t>Available abstract (not full text):</w:t>
      </w:r>
      <w:r>
        <w:t xml:space="preserve"> The problem of climate change on the planet has been gradually forming since the middle of the 20th century. as the idea of a universal threat, to combat which humanity needs to unite and regulate the waste of resources. To do this, the problem of global climate change had to be introduced both into the political and economic agenda, and into the basic world system of values. Only then would climate rhetoric be able to influence political decisions and shape the way people live, as well as influence the global economy. But for this it is necessary to prove that humans are to blame for global climate change. The fact that nature is constantly changing, scientists knew until the middle of the 20th century. But it was believed that the reasons for this lie in the laws of long and short climatic cycles, and man has nothing to do with global changes. And this means that it is impossible to justify the reasons why the global community and individuals should change their behavior. That is, without substantiating the anthropogenic impact on global climate change, this topic cannot claim to be the central determinant of economic and political development.</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based, climate;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Towards a Low-Carbon Plastic Waste Recycling in Finland: Evaluating the Impacts of Improvement Measures on GHG Emissions — https://doi.org/10.1007/s43615-023-00306-w</w:t>
      </w:r>
    </w:p>
    <w:p>
      <w:pPr/>
      <w:r>
        <w:rPr>
          <w:b/>
        </w:rPr>
        <w:t>Shared claim-specific concepts:</w:t>
      </w:r>
      <w:r>
        <w:t xml:space="preserve"> reach, ghg, emissions, capacity, based, energy; EU scope visible. This is a provisional connection, not an outcome finding.</w:t>
      </w:r>
    </w:p>
    <w:p>
      <w:pPr>
        <w:pStyle w:val="SourceNote"/>
      </w:pPr>
      <w:r>
        <w:rPr>
          <w:b/>
        </w:rPr>
        <w:t>Available abstract (not full text):</w:t>
      </w:r>
      <w:r>
        <w:t xml:space="preserve"> Abstract The use of plastics in products and packaging is growing. At the same time, the lifespan of packaging is short and consequently plastic waste volumes are growing in Finland and globally. Although separate collection and recycling of plastic packaging waste exists in Finland, it needs to be strengthened to reach the European Union’s targets. The separately collected plastic waste is mechanically recycled, but the recycling capacity is small, as is the process’s yield of secondary polymers. Hence, a large share of plastic packaging waste remains being recovered for energy. In our study, we first apply material flow analysis (MFA) to identify different routes of plastic packaging waste in Finland, and then we apply life cycle assessment (LCA) to quantify greenhouse gas (GHG) emissions of the current system and of alternative scenarios based on improvement measures. Domestic GHG emissions of the studied system were estimated to be 178 kt CO2e. Net GHG emissions including exports and credits from avoided production were estimated to be 155 kt CO2e. The results of the scenario assessment indicate that combining more measures offer significantly greater potential to reduce the system’s climate impacts, compared to individual measures. The results are complemented by a sensitivity analysis, helping with the interpretation of the results, understanding modelling challenges, and</w:t>
      </w:r>
    </w:p>
    <w:p>
      <w:pPr/>
      <w:r>
        <w:rPr>
          <w:b/>
        </w:rPr>
        <w:t>POSSIBLE 2022:</w:t>
      </w:r>
      <w:r>
        <w:t xml:space="preserve"> Completing Urban GHG Emissions Data to Assess the Effectiveness of Climate Action Plans in Europe — https://doi.org/10.5194/egusphere-egu22-5175</w:t>
      </w:r>
    </w:p>
    <w:p>
      <w:pPr/>
      <w:r>
        <w:rPr>
          <w:b/>
        </w:rPr>
        <w:t>Shared claim-specific concepts:</w:t>
      </w:r>
      <w:r>
        <w:t xml:space="preserve"> reach, ghg, emissions, need, strategic, role; EU scope visible. This is a provisional connection, not an outcome finding.</w:t>
      </w:r>
    </w:p>
    <w:p>
      <w:pPr>
        <w:pStyle w:val="SourceNote"/>
      </w:pPr>
      <w:r>
        <w:rPr>
          <w:b/>
        </w:rPr>
        <w:t>Available abstract (not full text):</w:t>
      </w:r>
      <w:r>
        <w:t xml:space="preserve"> Urban areas are major contributors to global greenhouse gas (GHG) emissions. To address climate change, many cities have developed climate action plans (CAPs) as strategic roadmaps to reduce their emissions and strive for emission neutrality and climate resilience by 2050 or before. It has been more than a decade since the first of these plans were put in place, and it is now important to evaluate these plans and to access whether city-level climate ambitions will be realised or perhaps need adjustment to pursue for improvements in climate resilience over time This work aims to further our understanding of urban GHG emissions, by completing existing urban carbon emissions data with blue-green contributions to the urban carbon cycle. In a previous study, it was found that the inclusion of blue-green emissions in urban carbon accounting in Stockholm, Sweden had a significant impact on that region’s ability to reach net zero emissions in the coming decades (Page et al., 2021). In this study, we complete the urban emissions data for cities across the European Union (EU) in order to assess if, and for which types of cities, the inclusion of blue-green emissions in the GHG accounting is similarly relevant. Furthermore, we will use data about the CAPs produced and implemented by these cities together with the completed GHG emissions in order to assess whether the actions and plans mad</w:t>
      </w:r>
    </w:p>
    <w:p>
      <w:pPr/>
      <w:r>
        <w:rPr>
          <w:b/>
        </w:rPr>
        <w:t>POSSIBLE 2022:</w:t>
      </w:r>
      <w:r>
        <w:t xml:space="preserve"> How COVID-19 Affected GHG Emissions of Ferries in Europe — https://doi.org/10.3390/su14095287</w:t>
      </w:r>
    </w:p>
    <w:p>
      <w:pPr/>
      <w:r>
        <w:rPr>
          <w:b/>
        </w:rPr>
        <w:t>Shared claim-specific concepts:</w:t>
      </w:r>
      <w:r>
        <w:t xml:space="preserve"> ghg, emissions, reduction, depending;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emissions, role, energy;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reduction, role, strategy,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pStyle w:val="Heading2"/>
      </w:pPr>
      <w:r>
        <w:t>613.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2023:</w:t>
      </w:r>
      <w:r>
        <w:t xml:space="preserve"> PUBLIC-PRIVATE PARTNERSHIP’S ASCENT AND FALL IN EUROPE — https://doi.org/10.47535/1991auoes32(2)004</w:t>
      </w:r>
    </w:p>
    <w:p>
      <w:pPr/>
      <w:r>
        <w:rPr>
          <w:b/>
        </w:rPr>
        <w:t>Shared claim-specific concepts:</w:t>
      </w:r>
      <w:r>
        <w:t xml:space="preserve"> understand, way, private; EU scope visible. This is a provisional connection, not an outcome finding.</w:t>
      </w:r>
    </w:p>
    <w:p>
      <w:pPr>
        <w:pStyle w:val="SourceNote"/>
      </w:pPr>
      <w:r>
        <w:rPr>
          <w:b/>
        </w:rPr>
        <w:t>Available abstract (not full text):</w:t>
      </w:r>
      <w:r>
        <w:t xml:space="preserve"> Collaborations between public and private have appeared in Europe since ancient times, presenting in different ways from one nation to another, and being the source of the current “public-private partnership” arrangement. This study aims to emphasize the significance of “public-private partnership” for a certain area. In this research, I used the qualitative technique to examine and understand the global experience in developing public-private partnerships. The method was effective in showing how “public-private partnerships” have changed throughout Europe. There is no standard definition of “public-private partnership” that can be found in all studies because there isn’t one that everybody in Europe acknowledges. Presenting the development of “public-private partnerships” throughout Europe and emphasizing their ascent and fall, is the primary output of this study. Additionally, this study aimed to demonstrate the current status of this kind of cooperation throughout Europe and the interest that European nations have shown in “public-private partnerships”. The market for “public-private partnerships” in Europe has been expanding gradually since 1990. Since then, Great Britain has dominated the market for public-private partnerships for a considerable amount of time. This is a country where interest in this kind of cooperation has grown. In this study, we attempted to draw inter</w:t>
      </w:r>
    </w:p>
    <w:p>
      <w:pPr/>
      <w:r>
        <w:rPr>
          <w:b/>
        </w:rPr>
        <w:t>POSSIBLE 2023:</w:t>
      </w:r>
      <w:r>
        <w:t xml:space="preserve"> The history of European public health education accreditation in perspective — https://doi.org/10.56801/seejph.vi.54</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Aim: The aim of this paper is to investigate the history of accreditation of academic public health education and understand why there is a 65 year gap between the first system in America and the uptake of accreditation in Europe. The paper intends to search for parallels and dissimilarities between the development in America and Europe and then consider if any parallels could be used for determining the future role of accreditation in Europe. Methods: The paper draws heavily upon a literature review and analysis and the examination and interpretation of primary and secondary sources. Firstly there is an exploration of the American development which is complemented by an evaluation of the developments in Europe. Results: The paper demonstrates that there are two key features required for the development of accreditation: interstate collaboration and a liberalisation or opening up of the education market. Conclusions: Since the Second World War, Europe has embraced interstate collaboration which has led to a liberalisation of certain economic markets. The future for sector based accreditation of public health education will be determined by the extent Europe pursues liberalisation and whether a competitive environment will bring into question the transparency and trust in state sponsored accreditation agencies.</w:t>
      </w:r>
    </w:p>
    <w:p>
      <w:pPr/>
      <w:r>
        <w:rPr>
          <w:b/>
        </w:rPr>
        <w:t>POSSIBLE 2023:</w:t>
      </w:r>
      <w:r>
        <w:t xml:space="preserve"> Examining the publicness of spaces on European social housing estates: a position paper — https://doi.org/10.1017/s1359135523000155</w:t>
      </w:r>
    </w:p>
    <w:p>
      <w:pPr/>
      <w:r>
        <w:rPr>
          <w:b/>
        </w:rPr>
        <w:t>Shared claim-specific concepts:</w:t>
      </w:r>
      <w:r>
        <w:t xml:space="preserve"> understand, four; EU scope visible. This is a provisional connection, not an outcome finding.</w:t>
      </w:r>
    </w:p>
    <w:p>
      <w:pPr>
        <w:pStyle w:val="SourceNote"/>
      </w:pPr>
      <w:r>
        <w:rPr>
          <w:b/>
        </w:rPr>
        <w:t>Available abstract (not full text):</w:t>
      </w:r>
      <w:r>
        <w:t xml:space="preserve"> The concept of ‘publicness’ addresses the intersection between people and their physical surroundings, and the ways in which they affect each other in an ongoing process. This point of relational exchange is the core concept behind ‘Public Space in European Social Housing’ (PuSH), a three-year HERA-funded project conducted by a transnational, multidisciplinary team of researchers. Large-scale modernist postwar housing estates, often used for social, cooperative, or mass rental housing, tend to be problematised as places of segregation and disintegration in European cities. Yet they are potentially also primary sites for integration between people of different cultural origins and social backgrounds. By investigating publicness in relation to social housing, including cooperative housing and mass rental housing estates, PuSH aims to better understand how cultural encounters happen, and ultimately to reflect on how integration can be better sustained. In this paper, we take a relational conception of publicness as our point of departure to explore the differentiations and intersections between sites and modes of public life in relation to our approach and the social housing estates we investigate. Moreover, we present our conceptual contribution to the concept of publicness, both theoretically and methodologically using multidisciplinary theories and methodologies, and four analy</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aim, understand, among;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r>
        <w:rPr>
          <w:b/>
        </w:rPr>
        <w:t>POSSIBLE 2022:</w:t>
      </w:r>
      <w:r>
        <w:t xml:space="preserve"> European Public Health News — https://doi.org/10.1093/eurpub/ckac050</w:t>
      </w:r>
    </w:p>
    <w:p>
      <w:pPr/>
      <w:r>
        <w:rPr>
          <w:b/>
        </w:rPr>
        <w:t>Shared claim-specific concepts:</w:t>
      </w:r>
      <w:r>
        <w:t xml:space="preserve"> several, healthier, way, organized, three, four; EU scope visible. This is a provisional connection, not an outcome finding.</w:t>
      </w:r>
    </w:p>
    <w:p>
      <w:pPr>
        <w:pStyle w:val="SourceNote"/>
      </w:pPr>
      <w:r>
        <w:rPr>
          <w:b/>
        </w:rPr>
        <w:t>Available abstract (not full text):</w:t>
      </w:r>
      <w:r>
        <w:t xml:space="preserve"> In this European public health news, the focus is on the next generation of public health professionals. Nagyova et al. highlight the successes of EUPHA, including attention to the younger generation and including the next generation in our governance structure. Barrios Aparicio et al. from the regional office for Europe of WHO embrace youth by highlighting WHO’s commitment to having the next generation involved in decision-making. Finally, Barnhoorn presents the efforts of greening this year’s EPH Conference, as requested by the younger generation. It is clear that we need to make sure that the younger (future) generation of public health professionals is (critically) involved in what we do and in what we need to do to make our future healthier. This year, EUPHA is celebrating its 30th birthday. Established in 1992, EUPHA started as a small network of public health professionals, where coordination between countries and providing the evidence were top priorities. Over the years, EUPHA has developed in a strong, reliable, science-based European partner with an excellent reputation. EUPHA is able to provide the right evidence at the right place at the right time, has become a strong advocate for public health at European level and also has developed action-oriented tools, like the European public health week. So how did we grow to what we are now? Without being exhaustive, we wo</w:t>
      </w:r>
    </w:p>
    <w:p>
      <w:pPr/>
      <w:r>
        <w:rPr>
          <w:b/>
        </w:rPr>
        <w:t>POSSIBLE 2021:</w:t>
      </w:r>
      <w:r>
        <w:t xml:space="preserve"> European Public Health news — https://doi.org/10.1093/eurpub/ckab175</w:t>
      </w:r>
    </w:p>
    <w:p>
      <w:pPr/>
      <w:r>
        <w:rPr>
          <w:b/>
        </w:rPr>
        <w:t>Shared claim-specific concepts:</w:t>
      </w:r>
      <w:r>
        <w:t xml:space="preserve"> several, way, society; EU scope visible. This is a provisional connection, not an outcome finding.</w:t>
      </w:r>
    </w:p>
    <w:p>
      <w:pPr>
        <w:pStyle w:val="SourceNote"/>
      </w:pPr>
      <w:r>
        <w:rPr>
          <w:b/>
        </w:rPr>
        <w:t>Available abstract (not full text):</w:t>
      </w:r>
      <w:r>
        <w:t xml:space="preserve"> In this European Public Health news, we present updates from EUPHA, the EUPHA working group on gender equality, WHO Europe and the upcoming European Public Health Conference. Zeegers and Nagyova reflect on the increase in polarization in the world which has been highlighted by the COVID-19 pandemic. Petelos et al. present the work EUPHA has been developing on gender equality. Something that should be totally obvious, but still needs specific attention, so that gender equality is accepted and implemented everywhere. Kluge et al. reflect on the future of digital public health, one of the priorities of WHO Europe. Digital health is no longer an option, it is essential. Barnhoorn and Staines highlight the excellent plenary programme of the 2021 European Public Health Conference, where digital health, communication, lessons learned from COVID-19 and climate change are all being addressed. In July, a famous Dutch crime reporter was killed in the streets of Amsterdam and a 14-year-old Dutch girl was beaten for not answering a question on her gender. Why? Because they were both—in their own way—outspoken and open, something that seems to be no longer accepted in this polarized society. In the society today, you are either from the North Pole or from the South Pole. The fact that 99.9% of people actually live between those two extremes seems no longer relevant. We learn from our world t</w:t>
      </w:r>
    </w:p>
    <w:p>
      <w:pPr/>
      <w:r>
        <w:rPr>
          <w:b/>
        </w:rPr>
        <w:t>POSSIBLE 2021:</w:t>
      </w:r>
      <w:r>
        <w:t xml:space="preserve"> Public opinion towards a universal basic income in Europe — https://openalex.org/W7113266209</w:t>
      </w:r>
    </w:p>
    <w:p>
      <w:pPr/>
      <w:r>
        <w:rPr>
          <w:b/>
        </w:rPr>
        <w:t>Shared claim-specific concepts:</w:t>
      </w:r>
      <w:r>
        <w:t xml:space="preserve"> aim, understand, about, among; EU scope visible. This is a provisional connection, not an outcome finding.</w:t>
      </w:r>
    </w:p>
    <w:p>
      <w:pPr>
        <w:pStyle w:val="SourceNote"/>
      </w:pPr>
      <w:r>
        <w:rPr>
          <w:b/>
        </w:rPr>
        <w:t>Available abstract (not full text):</w:t>
      </w:r>
      <w:r>
        <w:t xml:space="preserve"> The idea of a Universal Basic Income (UBI) has gained increasing attention in public debates and among policymakers across Europe. The inclusion of the Welfare Attitudes in Europe module during Round 8 (2016/17) of the European Social Survey (ESS) - for the first time in academic cross-national research - allowed attitudes towards the introduction of a Universal Basic Income to be assessed in 23 countries. Aim of this article is to explore and understand the different aspects and predictors of UBI support. In particular, this paper analyses a broad range of explanatory individual and contextual factors that may affect popular support for a UBI. Main findings shows that the stronger support for a European minimum income benefit in less generous welfare states is explained by more optimistic expectations about the EU’s domestic impact and lower socioeconomic status groups are more supportive of this policy proposal. Moreover, the analysis reveals that diverging national experiences and expectations are crucial in understanding why Europeans are widely divided on the implementation of such a benefit scheme. Secondly, in almost all countries, the younger age group is more supportive of activation and a universal basic income than the older age group. Finally, using logistic regression model it is possible to estimate the different attitudes among countries for a UBI more accurately</w:t>
      </w:r>
    </w:p>
    <w:p>
      <w:pPr>
        <w:pStyle w:val="Heading2"/>
      </w:pPr>
      <w:r>
        <w:t>614.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r>
        <w:rPr>
          <w:b/>
        </w:rPr>
        <w:t>POSSIBLE 2022:</w:t>
      </w:r>
      <w:r>
        <w:t xml:space="preserve"> Precedent in the system of the European Convention on Human Rights — https://doi.org/10.4324/9781003264262-15</w:t>
      </w:r>
    </w:p>
    <w:p>
      <w:pPr/>
      <w:r>
        <w:rPr>
          <w:b/>
        </w:rPr>
        <w:t>Shared claim-specific concepts:</w:t>
      </w:r>
      <w:r>
        <w:t xml:space="preserve"> approach, considerations, they; EU scope visible. This is a provisional connection, not an outcome finding.</w:t>
      </w:r>
    </w:p>
    <w:p>
      <w:pPr>
        <w:pStyle w:val="SourceNote"/>
      </w:pPr>
      <w:r>
        <w:rPr>
          <w:b/>
        </w:rPr>
        <w:t>Available abstract (not full text):</w:t>
      </w:r>
      <w:r>
        <w:t xml:space="preserve"> The purpose of the present paper is to briefly reassess the role of the ECtHR’s case law in its own case law and the approach developed in this respect by the Court. The Court systematically refers to the earlier case law and usually presents its judgments and decisions as a consequence of principles formulated in earlier case law. Following precedent is a matter of free choice of the Court, justified by two main considerations: 1) legal certainty and foreseeability and 2) equality before the law. Following precedents is the default rule, while departing from precedents is a permissible exception requiring a ‘good reason’. At the same time, the Court differentiates the precedential value of its judgments and decisions. Numerous judges feel bound to follow the Grand Chamber case law, even if they disagree with it, whereas others adopt the opposite viewpoint. Separate opinions usually focus on questions related to the correct identification and interpretation of the relevant case law. The Court develops its case law, usually without overtly departing from precedents. The developments often reflect societal change (under Article 8 of the ECHR), whereas the approach of the ECtHR seems more conservative in respect of more ‘technical’ legal issues.</w:t>
      </w:r>
    </w:p>
    <w:p>
      <w:pPr/>
      <w:r>
        <w:rPr>
          <w:b/>
        </w:rPr>
        <w:t>POSSIBLE 2021:</w:t>
      </w:r>
      <w:r>
        <w:t xml:space="preserve"> Insights on the environmental management system of the European port sector — https://doi.org/10.1016/j.scitotenv.2021.150550</w:t>
      </w:r>
    </w:p>
    <w:p>
      <w:pPr/>
      <w:r>
        <w:rPr>
          <w:b/>
        </w:rPr>
        <w:t>Shared claim-specific concepts:</w:t>
      </w:r>
      <w:r>
        <w:t xml:space="preserve"> given, they; EU scope visible. This is a provisional connection, not an outcome finding.</w:t>
      </w:r>
    </w:p>
    <w:p>
      <w:pPr>
        <w:pStyle w:val="SourceNote"/>
      </w:pPr>
      <w:r>
        <w:rPr>
          <w:b/>
        </w:rPr>
        <w:t>Available abstract (not full text):</w:t>
      </w:r>
      <w:r>
        <w:t xml:space="preserve"> This research focusses on assessing the environmental performance of European Ports based on a wide representation of EcoPorts members. The data is extracted from the Self-Diagnosis Method (SDM), a concise checklist against which port managers can self-assess the environmental management of their port in relation to the performance of the EcoPorts membership. A total number of 97 ports from 18 different European Maritime States contributed to this evaluation. They have answered questions related to the main components of internationally recognized Environmental Management System (EMS) standards. Similar periodic assessments have been carried out since 2013, allowing for the identification of benchmark performance. The geographical representation and characteristics of the participating ports are given along with the perceived ranking of priority environmental issues based on regular reviews. Air quality has been the top environmental priority for many years, followed by climate change, which has risen rapidly to the second position. Most of the ports have an environmental policy in place (96%) and a compilation of an inventory of significant environmental aspects (92%). Transparency is also very important to ports, with 91% of ports communicating their environmental policy to stakeholders, and 86% of ports making it publicly available on their website. Around 80% of ports have </w:t>
      </w:r>
    </w:p>
    <w:p>
      <w:pPr/>
      <w:r>
        <w:rPr>
          <w:b/>
        </w:rPr>
        <w:t>POSSIBLE 2021:</w:t>
      </w:r>
      <w:r>
        <w:t xml:space="preserve"> Governing displaced migration in Europe: housing and the role of the “local” — https://doi.org/10.1186/s40878-020-00209-x</w:t>
      </w:r>
    </w:p>
    <w:p>
      <w:pPr/>
      <w:r>
        <w:rPr>
          <w:b/>
        </w:rPr>
        <w:t>Shared claim-specific concepts:</w:t>
      </w:r>
      <w:r>
        <w:t xml:space="preserve"> approach,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pStyle w:val="Heading2"/>
      </w:pPr>
      <w:r>
        <w:t>615.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2022:</w:t>
      </w:r>
      <w:r>
        <w:t xml:space="preserve"> Hungarian Participation in JUICE Project of European Space Agency — https://doi.org/10.12700/aph.19.9.2022.9.2</w:t>
      </w:r>
    </w:p>
    <w:p>
      <w:pPr/>
      <w:r>
        <w:rPr>
          <w:b/>
        </w:rPr>
        <w:t>Shared claim-specific concepts:</w:t>
      </w:r>
      <w:r>
        <w:t xml:space="preserve"> hungarian, team, current, out; EU scope visible. This is a provisional connection, not an outcome finding.</w:t>
      </w:r>
    </w:p>
    <w:p>
      <w:pPr>
        <w:pStyle w:val="SourceNote"/>
      </w:pPr>
      <w:r>
        <w:rPr>
          <w:b/>
        </w:rPr>
        <w:t>Available abstract (not full text):</w:t>
      </w:r>
      <w:r>
        <w:t xml:space="preserve"> JUICE -JUpiter ICy moons Explorer -is the first large-class mission of ESA (European Space Agency). Planned for launch in Sept 2022 and arrival at Jupiter in 2029, it will spend at least three years making detailed observations of the giant gaseous planet Jupiter and three of its largest moons, Ganymede, Callisto and Europa.Space technical team developed power supply unit for PEP (Particle Enviroment Package) instrument.PEP and its sensors will examine the plasma environment in the Jovian system.PEP will measure density and fluxes of positive and negative ions, electrons, exospheric neutral gas, thermal plasma and energetic neutral atoms.The nominal onboard voltage is 28 V on the space probe.Space technical team had a job to develop power supply unit DCC (Direct Current Converter) for the sensors of PEP.The job was a great challenge because of the required high reliability and that reliable operation had to be ensured in extreme circumstances.We present in this article the realization of DCC.The DCC required for its tests to develop a special test equipment called EGSE (Electronic Ground Support Equipment).The EGSE was developed by the SGF Ltd. and supports checks of DCC.In this article we present the DCC, the quality insurance methods and the tests carried out by EGSE.</w:t>
      </w:r>
    </w:p>
    <w:p>
      <w:pPr/>
      <w:r>
        <w:rPr>
          <w:b/>
        </w:rPr>
        <w:t>POSSIBLE 2022:</w:t>
      </w:r>
      <w:r>
        <w:t xml:space="preserve"> The genetic origin of Huns, Avars, and conquering Hungarians — https://doi.org/10.1016/j.cub.2022.04.093</w:t>
      </w:r>
    </w:p>
    <w:p>
      <w:pPr/>
      <w:r>
        <w:rPr>
          <w:b/>
        </w:rPr>
        <w:t>Shared claim-specific concepts:</w:t>
      </w:r>
      <w:r>
        <w:t xml:space="preserve"> hungarian, identify, likely; EU scope visible. This is a provisional connection, not an outcome finding.</w:t>
      </w:r>
    </w:p>
    <w:p>
      <w:pPr>
        <w:pStyle w:val="SourceNote"/>
      </w:pPr>
      <w:r>
        <w:rPr>
          <w:b/>
        </w:rPr>
        <w:t>Available abstract (not full text):</w:t>
      </w:r>
      <w:r>
        <w:t xml:space="preserve"> centuries. Based on the historical data, each of these groups are thought to have arrived from Asia, although their exact origin and relation to other ancient and modern populations have been debated. Recently, hundreds of ancient genomes were analyzed from Central Asia, Mongolia, and China, from which we aimed to identify putative source populations for the above-mentioned groups. In this study, we have sequenced 9 Hun, 143 Avar, and 113 Hungarian conquest period samples and identified three core populations, representing immigrants from each period with no recent European ancestry. Our results reveal that this "immigrant core" of both Huns and Avars likely originated in present day Mongolia, and their origin can be traced back to Xiongnus (Asian Huns), as suggested by several historians. On the other hand, the "immigrant core" of the conquering Hungarians derived from an earlier admixture of Mansis, early Sarmatians, and descendants of late Xiongnus. We have also shown that a common "proto-Ugric" gene pool appeared in the Bronze Age from the admixture of Mezhovskaya and Nganasan people, supporting genetic and linguistic data. In addition, we detected shared Hun-related ancestry in numerous Avar and Hungarian conquest period genetic outliers, indicating a genetic link between these successive nomadic groups. Aside from the immigrant core groups, we identified that the majority</w:t>
      </w:r>
    </w:p>
    <w:p>
      <w:pPr/>
      <w:r>
        <w:rPr>
          <w:b/>
        </w:rPr>
        <w:t>POSSIBLE 2022:</w:t>
      </w:r>
      <w:r>
        <w:t xml:space="preserve"> Strategic coupling on the European periphery: A case study of a small Hungarian town — https://doi.org/10.17649/tet.36.3.3424</w:t>
      </w:r>
    </w:p>
    <w:p>
      <w:pPr/>
      <w:r>
        <w:rPr>
          <w:b/>
        </w:rPr>
        <w:t>Shared claim-specific concepts:</w:t>
      </w:r>
      <w:r>
        <w:t xml:space="preserve"> hungarian, key; EU scope visible. This is a provisional connection, not an outcome finding.</w:t>
      </w:r>
    </w:p>
    <w:p>
      <w:pPr>
        <w:pStyle w:val="SourceNote"/>
      </w:pPr>
      <w:r>
        <w:rPr>
          <w:b/>
        </w:rPr>
        <w:t>Available abstract (not full text):</w:t>
      </w:r>
      <w:r>
        <w:t xml:space="preserve"> The FDI-based economic development policies in East-Central Europe and the strategies of transnational firms seeking cost-efficient production locations close to the main markets of the EU have led during the last decades to the integration of the region into different global/regional production networks, mainly in the form of locations for industrial production. While the intensity of re-industrialization largely determines economic growth and spatial socioeconomic inequalities outside metropolitan regions, the long-term success of this model, which tends to result in a dual economy, dependent development, and the ‘middle-income trap’, has been challenged. According to the GPN literature, which comprises the main theoretical basis of our research, the means of integration is the key to understanding the potential outcomes of this economic model. The process seems to depend on the quality of global-local interactions based on enterprise strategies and multi-level regional assets and agency. Our article focuses on making a comparative analysis of two transnational companies in a small peripheral town and uses the concept of strategic coupling as the analytical framework for the interpretation of the global-local interactions and their developmental outcomes. Based on secondary and primary sources, we examine the key assets and actors in the local environment, follow the developm</w:t>
      </w:r>
    </w:p>
    <w:p>
      <w:pPr/>
      <w:r>
        <w:rPr>
          <w:b/>
        </w:rPr>
        <w:t>POSSIBLE 2021:</w:t>
      </w:r>
      <w:r>
        <w:t xml:space="preserve"> Sport and development in Hungary and the Central and Eastern European region — https://doi.org/10.4324/9781003024002-5</w:t>
      </w:r>
    </w:p>
    <w:p>
      <w:pPr/>
      <w:r>
        <w:rPr>
          <w:b/>
        </w:rPr>
        <w:t>Shared claim-specific concepts:</w:t>
      </w:r>
      <w:r>
        <w:t xml:space="preserve"> aim, trends, opportunities; EU scope visible. This is a provisional connection, not an outcome finding.</w:t>
      </w:r>
    </w:p>
    <w:p>
      <w:pPr>
        <w:pStyle w:val="SourceNote"/>
      </w:pPr>
      <w:r>
        <w:rPr>
          <w:b/>
        </w:rPr>
        <w:t>Available abstract (not full text):</w:t>
      </w:r>
      <w:r>
        <w:t xml:space="preserve"> Emerging markets mean business opportunities and a special challenge for companies whose goals are to build business. The aim of this paper is to analyse the trends of the leisure sports markets in the Central and Eastern European (CEE) region, with a special focus on Hungary. Comprehensive data collection was conducted between 2010 and 2019 on the leisure sports markets and people’s physical activity in eight post-soviet countries in our detailed investigation of supply and demand for leisure sport in emerging markets. Our research shows that for emerging countries, the development of the economy generally results in a significant increase in the service sector, including the leisure sport industry (revenues, market size, etc.). However, our results show that the level of physical activity and the number of people involved in leisure sports are not increasing. Furthermore, the number of those who never do sports has increased. Finally, we have found that while spending on sports goods has increased, fewer people are actually spending more. This chapter explores these results, the role of business development, and the responsibility of CEE governments in leisure sports.</w:t>
      </w:r>
    </w:p>
    <w:p>
      <w:pPr>
        <w:pStyle w:val="Heading2"/>
      </w:pPr>
      <w:r>
        <w:t>616.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2023:</w:t>
      </w:r>
      <w:r>
        <w:t xml:space="preserve"> SMART SPECIALIZATION STRATEGY AS AN INNOVATIVE BASIS OF GLOBAL ECONOMIC DEVELOPMENT: EUROPEAN EXPERIENCE — https://doi.org/10.20998/2519-4461.2023.2.95</w:t>
      </w:r>
    </w:p>
    <w:p>
      <w:pPr/>
      <w:r>
        <w:rPr>
          <w:b/>
        </w:rPr>
        <w:t>Shared claim-specific concepts:</w:t>
      </w:r>
      <w:r>
        <w:t xml:space="preserve"> find, specific; EU scope visible. This is a provisional connection, not an outcome finding.</w:t>
      </w:r>
    </w:p>
    <w:p>
      <w:pPr>
        <w:pStyle w:val="SourceNote"/>
      </w:pPr>
      <w:r>
        <w:rPr>
          <w:b/>
        </w:rPr>
        <w:t>Available abstract (not full text):</w:t>
      </w:r>
      <w:r>
        <w:t xml:space="preserve"> The strategy of smart specialization rightly serves as a key reference point for the economic development of individual industries and regions. This study is aimed at analyzing the European experience in applying the strategy of smart specialization as an innovative basis of global economic development. It is becoming increasingly clear that the strategy of smart specialization can fundamentally change the rules for many industries. The research focuses on the fact that by focusing on specific areas of knowledge and developing targeted capabilities, businesses and organizations can find unique niches and gain a competitive advantage. The smart specialization strategy also has drawbacks, as it requires a deep understanding of the industry and a willingness to invest in specialized skills and resources, or may need to move away from broader, more general strategies to achieve smart specialization. However, it is emphasized that the benefits of smart specialization are clear when it comes to standing out in a crowded marketplace, building deeper relationships with customers, and ultimately driving growth. As industries continue to develop and become more complex, the strategy of smart specialization does not lose its relevance, and the European experience of its implementation will be useful for Ukraine.</w:t>
      </w:r>
    </w:p>
    <w:p>
      <w:pPr/>
      <w:r>
        <w:rPr>
          <w:b/>
        </w:rPr>
        <w:t>POSSIBLE 2023:</w:t>
      </w:r>
      <w:r>
        <w:t xml:space="preserve"> Cost-effective adaptation strategies to rising river flood risk in Europe — https://doi.org/10.1038/s41558-022-01540-0</w:t>
      </w:r>
    </w:p>
    <w:p>
      <w:pPr/>
      <w:r>
        <w:rPr>
          <w:b/>
        </w:rPr>
        <w:t>Shared claim-specific concepts:</w:t>
      </w:r>
      <w:r>
        <w:t xml:space="preserve"> find, measures, level;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Symmetric or Asymmetric: How is Economic Growth Responding to Global Economic Uncertainty in Africa's Oil Exporters? — https://doi.org/10.18267/j.pep.836</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Motivated by the persistent fall in oil prices due to incessant uncertainty-inducing events in recent years, this study empirically examined if economic growth in Africa's top five oil exporters (Algeria, Angola, Egypt, Libya, and Nigeria) is responding asymmetrically to changes in global economic uncertainty as well as uncertainties from U.S., Europe and China using nonlinear ARDL framework from 1997Q1 to 2021Q4. We find that rising global uncertainty hampers economic growth in these economies, while declining global uncertainty significantly enhances growth in Nigeria, Angola and Libya in the short run, but becomes growth-retarding in the long run. Thus, economic growth responds asymmetrically to global uncertainty, especially in the short run. The findings are robust to U.S., Europe, and China uncertainties, except that economic growth in Libya and Algeria remained unresponsive to U.S. and China uncertainties respectively. We concluded that Africa's oil exporters should embrace policies that can strengthen their resilience to global economic uncertainty as well as uncertainties from U.S., Europe, and China.</w:t>
      </w:r>
    </w:p>
    <w:p>
      <w:pPr/>
      <w:r>
        <w:rPr>
          <w:b/>
        </w:rPr>
        <w:t>POSSIBLE 2022:</w:t>
      </w:r>
      <w:r>
        <w:t xml:space="preserve"> Globalization, Political Institutions, and Redistribution in Central and Eastern Europe — https://doi.org/10.1177/00104140221100199</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We examine the role of political institutions in mediating the effects of globalization on economic redistribution in Central and Eastern Europe. The region represents a least-likely case of welfare state resilience in the face of global economic pressures given its reliance on foreign capital and considerable domestic elite support for neoliberal recipes during the postcommunist transition. Yet, contrary to the race-to-the-bottom hypothesis and consistent with the compensation perspective, we find that economic openness is on average related to higher redistribution. Using the high-quality European Union Statistics on Income and Living Conditions database for 2004–2018, we find that this effect is particularly pronounced in institutional environments where votes are more accurately translated into legislative seats (low disproportionality) and where governments face greater scrutiny both during elections (vertical accountability) and between them (diagonal accountability). Thus, even in a region that adopted “competitive deregulation,” the downward pressures of globalization were limited by electoral pressures for economic redistribution.</w:t>
      </w:r>
    </w:p>
    <w:p>
      <w:pPr/>
      <w:r>
        <w:rPr>
          <w:b/>
        </w:rPr>
        <w:t>POSSIBLE 2021:</w:t>
      </w:r>
      <w:r>
        <w:t xml:space="preserve"> Public attitudes toward economic growth versus environmental sustainability dilemma: Evidence from Europe — https://doi.org/10.1177/00207152211034224</w:t>
      </w:r>
    </w:p>
    <w:p>
      <w:pPr/>
      <w:r>
        <w:rPr>
          <w:b/>
        </w:rPr>
        <w:t>Shared claim-specific concepts:</w:t>
      </w:r>
      <w:r>
        <w:t xml:space="preserve"> find, measures, national, level; EU scope visible. This is a provisional connection, not an outcome finding.</w:t>
      </w:r>
    </w:p>
    <w:p>
      <w:pPr>
        <w:pStyle w:val="SourceNote"/>
      </w:pPr>
      <w:r>
        <w:rPr>
          <w:b/>
        </w:rPr>
        <w:t>Available abstract (not full text):</w:t>
      </w:r>
      <w:r>
        <w:t xml:space="preserve"> As global warming and other environmental threats intensify and become more visible, scientists are increasingly questioning the desirability of economic growth as an overarching national and global policy imperative. Several theories in environmental sociology and economics—degrowth, steady-state economy, and “agrowth”—offer compelling arguments that environmental sustainability and continuous economic growth are incompatible. However, there is a shortage of empirical evidence about public opinion on the growth versus environment dilemma, despite its great relevance for the social legitimacy of governments’ approach to the issue. In this article, we aim to narrow this research gap by applying multilevel models to data from the 2017 European Values Study (EVS). We find that the idea of sacrificing a certain level of growth for the sake of the environment receives high levels of support in most European countries. Nevertheless, within countries, we find clear indications of social divides in opinions regarding the growth versus environment dilemma: post-materialists, politically left-leaning people, the better-off, and the higher-educated are in favor of reduced growth, whereas materialists, right-wing individuals, and disadvantaged groups prioritize the economy over ecological concerns. At the country level, economic affluence is associated with greater support for reduced grow</w:t>
      </w:r>
    </w:p>
    <w:p>
      <w:pPr/>
      <w:r>
        <w:rPr>
          <w:b/>
        </w:rPr>
        <w:t>POSSIBLE 2021:</w:t>
      </w:r>
      <w:r>
        <w:t xml:space="preserve"> The impact of stock market integration on economic growth in Asia and Europe regions — https://doi.org/10.1063/5.0075998</w:t>
      </w:r>
    </w:p>
    <w:p>
      <w:pPr/>
      <w:r>
        <w:rPr>
          <w:b/>
        </w:rPr>
        <w:t>Shared claim-specific concepts:</w:t>
      </w:r>
      <w:r>
        <w:t xml:space="preserve"> find, index; EU scope visible. This is a provisional connection, not an outcome finding.</w:t>
      </w:r>
    </w:p>
    <w:p>
      <w:pPr>
        <w:pStyle w:val="SourceNote"/>
      </w:pPr>
      <w:r>
        <w:rPr>
          <w:b/>
        </w:rPr>
        <w:t>Available abstract (not full text):</w:t>
      </w:r>
      <w:r>
        <w:t xml:space="preserve"> The global increased of market integration for the past few decades has been staggering. Although numerous research have shown market integration as one of the main drivers of economic growth, existing literature has yet to find a conclusive result. Hence, this study examines the impact of stock market integration on economic growth in 32 countries of Asia and Europe regions. The study utilizes the Kalman Filter method to generate the stock market integration index and heterogenous panel models to investigate its relationship towards economic growth. Overall, the result shows that stock market integration has positive impact on economic growth in Asia and Europe high-income countries. However, the impact is not significant in Asia Middle-Income Countries, which suggest the insufficient absorptive capacities in these countries to benefit from the market integration. Such findings call for more appropriate market liberalization policies that fits the economic environment and geographical location of these countries.</w:t>
      </w:r>
    </w:p>
    <w:p>
      <w:pPr/>
      <w:r>
        <w:rPr>
          <w:b/>
        </w:rPr>
        <w:t>POSSIBLE 2021:</w:t>
      </w:r>
      <w:r>
        <w:t xml:space="preserve"> Global economic impacts of COVID-19 lockdown measures stand out in high-frequency shipping data — https://doi.org/10.1371/journal.pone.0248818</w:t>
      </w:r>
    </w:p>
    <w:p>
      <w:pPr/>
      <w:r>
        <w:rPr>
          <w:b/>
        </w:rPr>
        <w:t>Shared claim-specific concepts:</w:t>
      </w:r>
      <w:r>
        <w:t xml:space="preserve"> find, specific, measures, effect; EU scope visible. This is a provisional connection, not an outcome finding.</w:t>
      </w:r>
    </w:p>
    <w:p>
      <w:pPr>
        <w:pStyle w:val="SourceNote"/>
      </w:pPr>
      <w:r>
        <w:rPr>
          <w:b/>
        </w:rPr>
        <w:t>Available abstract (not full text):</w:t>
      </w:r>
      <w:r>
        <w:t xml:space="preserve"> The implementation of large-scale containment measures by governments to contain the spread of the COVID-19 virus has resulted in large impacts to the global economy. Here, we derive a new high-frequency indicator of economic activity using empirical vessel tracking data, and use it to estimate the global maritime trade losses during the first eight months of the pandemic. We go on to use this high-frequency dataset to infer the effect of individual non-pharmaceutical interventions on maritime exports, which we use as a proxy of economic activity. Our results show widespread port-level trade losses, with the largest absolute losses found for ports in China, the Middle-East and Western Europe, associated with the collapse of specific supply-chains (e.g. oil, vehicle manufacturing). In total, we estimate that global maritime trade reduced by -7.0% to -9.6% during the first eight months of 2020, which is equal to around 206-286 million tonnes in volume losses and up to 225-412 billion USD in value losses. We find large sectoral and geographical disparities in impacts. Manufacturing sectors are hit hardest, with losses up to 11.8%, whilst some small islands developing states and low-income economies suffered the largest relative trade losses. Moreover, we find a clear negative impact of COVID-19 related school and public transport closures on country-wide exports. Overall, we show </w:t>
      </w:r>
    </w:p>
    <w:p>
      <w:pPr/>
      <w:r>
        <w:rPr>
          <w:b/>
        </w:rPr>
        <w:t>POSSIBLE 2021:</w:t>
      </w:r>
      <w:r>
        <w:t xml:space="preserve"> How resilient is health financing policy in Europe to economic shocks? Evidence from the first year of the COVID-19 pandemic and the 2008 global financial crisis — https://doi.org/10.1016/j.healthpol.2021.11.002</w:t>
      </w:r>
    </w:p>
    <w:p>
      <w:pPr/>
      <w:r>
        <w:rPr>
          <w:b/>
        </w:rPr>
        <w:t>Shared claim-specific concepts:</w:t>
      </w:r>
      <w:r>
        <w:t xml:space="preserve"> find, national; EU scope visible. This is a provisional connection, not an outcome finding.</w:t>
      </w:r>
    </w:p>
    <w:p>
      <w:pPr>
        <w:pStyle w:val="SourceNote"/>
      </w:pPr>
      <w:r>
        <w:rPr>
          <w:b/>
        </w:rPr>
        <w:t>Available abstract (not full text):</w:t>
      </w:r>
      <w:r>
        <w:t xml:space="preserve"> The COVID-19 pandemic triggered an economic shock just ten years after the shock of the 2008 global financial crisis. Economic shocks are a challenge for health systems because they reduce government revenue at the same time as they increase the need for publicly financed health care. This article explores the resilience of health financing policy to economic shocks by reviewing policy responses to the financial crisis and COVID-19 in Europe. It finds that some health systems were weakened by responses to the 2008 crisis. Responses to the pandemic show evidence of lessons learnt from the earlier crisis but also reveal weaknesses in health financing policy that limit national preparedness to face economic shocks, particularly in countries with social health insurance schemes. These weaknesses highlight where permanent changes are needed to strengthen resilience in future: countries will have to find ways to reduce cyclicality in coverage policy and revenue-raising; increase the priority given to health in allocating public spending; and ensure that resources are used to meet equity and efficiency goals. Although many health systems are likely to face budgetary pressure in the years ahead, the experience of the 2008 crisis shows that austerity is not an option because it undermines resilience and progress towards universal health coverage.</w:t>
      </w:r>
    </w:p>
    <w:p>
      <w:pPr>
        <w:pStyle w:val="Heading2"/>
      </w:pPr>
      <w:r>
        <w:t>617.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r>
        <w:rPr>
          <w:b/>
        </w:rPr>
        <w:t>POSSIBLE 2022:</w:t>
      </w:r>
      <w:r>
        <w:t xml:space="preserve"> The impact of financial systems on economic growth in European Union member countries — https://doi.org/10.2478/picbe-2022-0068</w:t>
      </w:r>
    </w:p>
    <w:p>
      <w:pPr/>
      <w:r>
        <w:rPr>
          <w:b/>
        </w:rPr>
        <w:t>Shared claim-specific concepts:</w:t>
      </w:r>
      <w:r>
        <w:t xml:space="preserve"> different, case; EU scope visible. This is a provisional connection, not an outcome finding.</w:t>
      </w:r>
    </w:p>
    <w:p>
      <w:pPr>
        <w:pStyle w:val="SourceNote"/>
      </w:pPr>
      <w:r>
        <w:rPr>
          <w:b/>
        </w:rPr>
        <w:t>Available abstract (not full text):</w:t>
      </w:r>
      <w:r>
        <w:t xml:space="preserve"> Abstract As the economy develops, self-financed capital investments are less frequent, being replaced by financing through banking intermediation and later through capital markets. The development of financial systems has a positive effect on the mobilization of resources, improving corporate governance and risk management, leading to economic growth. The preponderance of previous research papers shows a positive relationship between financial development and economic growth. Studies using cross-sectional methodologies discover almost unanimously a positive link between financial development and economic growth, while studies with methodologies based on time series, panel data or case studies reach different conclusions depending on the period considered, the countries’ initial level of development and the structure of the financial systems. The purpose of this paper is to investigate the impact of financial systems on economic growth using panel regressions based on annual data regarding measures of financial development for the member countries of the European Union, for the period 1990-2020. The findings show that the development of the financial systems, through the activity of banks and capital markets, has a positive effect on the allocation of resources, the mobilization of savings and the efficient management of risks, leading in turn to economic growth if there is a co</w:t>
      </w:r>
    </w:p>
    <w:p>
      <w:pPr/>
      <w:r>
        <w:rPr>
          <w:b/>
        </w:rPr>
        <w:t>POSSIBLE 2022:</w:t>
      </w:r>
      <w:r>
        <w:t xml:space="preserve"> Analyzing the Level of Digitalization among the Enterprises of the European Union Member States and Their Impact on Economic Growth — https://doi.org/10.3390/joitmc8020070</w:t>
      </w:r>
    </w:p>
    <w:p>
      <w:pPr/>
      <w:r>
        <w:rPr>
          <w:b/>
        </w:rPr>
        <w:t>Shared claim-specific concepts:</w:t>
      </w:r>
      <w:r>
        <w:t xml:space="preserve"> both, issue; EU scope visible. This is a provisional connection, not an outcome finding.</w:t>
      </w:r>
    </w:p>
    <w:p>
      <w:pPr>
        <w:pStyle w:val="SourceNote"/>
      </w:pPr>
      <w:r>
        <w:rPr>
          <w:b/>
        </w:rPr>
        <w:t>Available abstract (not full text):</w:t>
      </w:r>
      <w:r>
        <w:t xml:space="preserve">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pStyle w:val="Heading2"/>
      </w:pPr>
      <w:r>
        <w:t>618.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2023:</w:t>
      </w:r>
      <w:r>
        <w:t xml:space="preserve"> Kant on Freedom, Nature, and Judgment — https://doi.org/10.1017/9781009036634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Kant's Critique of Judgment seems not to be an obviously unified work. Unlike other attempts to comprehend it as a unity, which treat it as serving either practical or theoretical interests, Kristi Sweet's book posits it as examining a genuinely independent sphere of human life. In her in-depth account of Kant's Critical philosophical system, Sweet argues that the Critique addresses the question: for what may I hope? The answer is given in Kant's account of 'territory,' a region of experience that both underlies and mediates between freedom and nature. Territory forms the context in which purposiveness without a purpose, the Ideal of Beauty, the sensus communis, genius and aesthetic ideas, and Kant's conception of life and proof of God are best interpreted. Encounters in this sphere are shown to refer us to a larger, more cosmic sense of a whole to which both freedom and nature belong.</w:t>
      </w:r>
    </w:p>
    <w:p>
      <w:pPr/>
      <w:r>
        <w:rPr>
          <w:b/>
        </w:rPr>
        <w:t>POSSIBLE 2023:</w:t>
      </w:r>
      <w:r>
        <w:t xml:space="preserve"> Metabolic politics: Industrial relations as if nature mattered — https://doi.org/10.31235/osf.io/wxb3s</w:t>
      </w:r>
    </w:p>
    <w:p>
      <w:pPr/>
      <w:r>
        <w:rPr>
          <w:b/>
        </w:rPr>
        <w:t>Shared claim-specific concepts:</w:t>
      </w:r>
      <w:r>
        <w:t xml:space="preserve"> nature, work, they; EU scope not established. This is a provisional connection, not an outcome finding.</w:t>
      </w:r>
    </w:p>
    <w:p>
      <w:pPr>
        <w:pStyle w:val="SourceNote"/>
      </w:pPr>
      <w:r>
        <w:rPr>
          <w:b/>
        </w:rPr>
        <w:t>Available abstract (not full text):</w:t>
      </w:r>
      <w:r>
        <w:t xml:space="preserve"> Work is at the center of the social metabolism with nature. This means that industrial relations (IR) are always also environmental politics. This article reviews core contributions to IR literature, showing that they do not systematically address this role of nature and separate the politics of work from their ecological basis. Against this backdrop, the article develops an interdisciplinary approach, combining IR studies with geographical as well as historical perspectives. Drawing on these fields, it presents the concept of metabolic politics in which nature is an autonomous party of IR. This approach allows analysis to take into account systematically the effects of IR on nonhuman nature as well as nature's own shaping of IR. Such an interdisciplinary approach is necessary to understand the entanglement of IR with climate change and the broader ecological crisis.</w:t>
      </w:r>
    </w:p>
    <w:p>
      <w:pPr/>
      <w:r>
        <w:rPr>
          <w:b/>
        </w:rPr>
        <w:t>POSSIBLE 2023:</w:t>
      </w:r>
      <w:r>
        <w:t xml:space="preserve"> Reinventing Work Nature: The Changing Work Landscape in Malayalam Architecture Magazines in the Post-COVID-19 Pandemic Era — https://doi.org/10.52783/tjjpt.v44.i3.719</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COVID-19 pandemic has profoundly impacted various industries, including the field of architecture magazines. This study aims to analyze the ramifications of the pandemic on the work nature of architecture magazines, with particular attention given to the editorial, business, and mechanical departments. By utilizing a qualitative research approach involving in-depth interviews with experts, this research investigates the changes that have transpired within the nature of work in architecture magazines as a direct response to the pandemic. Many changes have occurred. Findings from this study contribute to a deeper understanding of the changes and transformations within the architecture magazine industry, shedding light on the evolving work nature, strategies, and practices in the post-pandemic era. The insights gained will inform the key players such as stakeholders and advertisers to navigate the multifaceted challenges within the media landscape, reinforcing the resilience of magazine organizations and paving the way for sustained growth in the future.</w:t>
      </w:r>
    </w:p>
    <w:p>
      <w:pPr/>
      <w:r>
        <w:rPr>
          <w:b/>
        </w:rPr>
        <w:t>POSSIBLE 2022:</w:t>
      </w:r>
      <w:r>
        <w:t xml:space="preserve"> The Nature of Work in the Media Industries: A Literature Review and Future Directions — https://doi.org/10.3390/journalmedia3010013</w:t>
      </w:r>
    </w:p>
    <w:p>
      <w:pPr/>
      <w:r>
        <w:rPr>
          <w:b/>
        </w:rPr>
        <w:t>Shared claim-specific concepts:</w:t>
      </w:r>
      <w:r>
        <w:t xml:space="preserve"> given, nature, work, potentially, over, approaches; EU scope not established. This is a provisional connection, not an outcome finding.</w:t>
      </w:r>
    </w:p>
    <w:p>
      <w:pPr>
        <w:pStyle w:val="SourceNote"/>
      </w:pPr>
      <w:r>
        <w:rPr>
          <w:b/>
        </w:rPr>
        <w:t>Available abstract (not full text):</w:t>
      </w:r>
      <w:r>
        <w:t xml:space="preserve"> Media work is a culture-making activity affecting the ways people understand the world and, therefore, workers in the media industries have a critical role in shaping collective memories, traditions, and belief systems. While studies regarding the characteristics impacting the nature of work in the media industries have significantly been increasing over the last years, the literature in this area remains highly fragmented. This paper begins to address that shortcoming by conducting an in-depth review of 36 scholarly papers in influential journals published from 2006 to 2020 to provide a comprehensive view of the literature and its approaches. This study elaborates on the concept of media work by organizing previous efforts into five subthemes, including commonalities, contested terrain, gendered profession, emerging practices, and influencing factors. Previous research has emphasized that media workers’ subjective experiences need to be explored further and more in-depth; however, if we wish to depict a more holistic but realistic picture, those experiences should be contextualized and thus linked with the specific organizational configurations and macro structures in which media work is embedded. The present review depicts how work in the media may take different meanings when addressing it through various theoretical frameworks. Our study can enrich future studies regarding </w:t>
      </w:r>
    </w:p>
    <w:p>
      <w:pPr/>
      <w:r>
        <w:rPr>
          <w:b/>
        </w:rPr>
        <w:t>POSSIBLE 2022:</w:t>
      </w:r>
      <w:r>
        <w:t xml:space="preserve"> Automation and the Changing Nature of Work — https://doi.org/10.1371/journal.pone.0266326</w:t>
      </w:r>
    </w:p>
    <w:p>
      <w:pPr/>
      <w:r>
        <w:rPr>
          <w:b/>
        </w:rPr>
        <w:t>Shared claim-specific concepts:</w:t>
      </w:r>
      <w:r>
        <w:t xml:space="preserve"> nature, work, they; EU scope visible. This is a provisional connection, not an outcome finding.</w:t>
      </w:r>
    </w:p>
    <w:p>
      <w:pPr>
        <w:pStyle w:val="SourceNote"/>
      </w:pPr>
      <w:r>
        <w:rPr>
          <w:b/>
        </w:rPr>
        <w:t>Available abstract (not full text):</w:t>
      </w:r>
      <w:r>
        <w:t xml:space="preserve"> This study identifies the job attributes, and in particular skills and abilities, which predict the likelihood a job is recently automatable drawing on the Josten and Lordan (2020) classification of automatability, EU labour force survey data and a machine learning regression approach. We find that skills and abilities which relate to non-linear abstract thinking are those that are the safest from automation. We also find that jobs that require 'people' engagement interacted with 'brains' are also less likely to be automated. The skills that are required for these jobs include soft skills. Finally, we find that jobs that require physically making objects or physicality more generally are most likely to be automated unless they involve interaction with 'brains' and/or 'people'.</w:t>
      </w:r>
    </w:p>
    <w:p>
      <w:pPr/>
      <w:r>
        <w:rPr>
          <w:b/>
        </w:rPr>
        <w:t>POSSIBLE 2022:</w:t>
      </w:r>
      <w:r>
        <w:t xml:space="preserve"> Nature, Work, and Transcendence — https://doi.org/10.1515/ejss-2022-2067</w:t>
      </w:r>
    </w:p>
    <w:p>
      <w:pPr/>
      <w:r>
        <w:rPr>
          <w:b/>
        </w:rPr>
        <w:t>Shared claim-specific concepts:</w:t>
      </w:r>
      <w:r>
        <w:t xml:space="preserve"> nature, work, they, them; EU scope visible. This is a provisional connection, not an outcome finding.</w:t>
      </w:r>
    </w:p>
    <w:p>
      <w:pPr>
        <w:pStyle w:val="SourceNote"/>
      </w:pPr>
      <w:r>
        <w:rPr>
          <w:b/>
        </w:rPr>
        <w:t>Available abstract (not full text):</w:t>
      </w:r>
      <w:r>
        <w:t xml:space="preserve"> Abstract This article analyzes the function of Christian intertexts in Selma Lagerlöf’sNils Holgersson’s Marvelous Journey Through Sweden(1906/7). The intertexts structure the story both narratively and ethically. For the most part, however, they are not explicitly used as Christian. The intention of the book is not to transmit these stories, but to translate them into the new, national discourse. They were stripped of their original religious context and placed in the service of what might be called a national religion. In this process, the loss of the Christian framework did not mean the abolition of central ethical elements that were significant for Protestant practice. In particular, the pietistic heritage of a work ethic, the necessity of learning and education in order to become a true Christian – or, in its secular version, a true human citizen of the world with respect for others, taking responsibility for one’s own life and that of others, being humble and industrious – are central to the propagated morality of Nils Holgersson’s travelling school. Moreover, the transition from vertically to horizontally ordered space in the course of nationalizing the organization of the imagined community of Sweden seems to demand that the location of metaphysical transcendence be moved from heaven to earth; nature takes the place of the divine.</w:t>
      </w:r>
    </w:p>
    <w:p>
      <w:pPr/>
      <w:r>
        <w:rPr>
          <w:b/>
        </w:rPr>
        <w:t>POSSIBLE 2022:</w:t>
      </w:r>
      <w:r>
        <w:t xml:space="preserve"> Principles for urban nature-based solutions — https://doi.org/10.1007/s13280-021-01685-w</w:t>
      </w:r>
    </w:p>
    <w:p>
      <w:pPr/>
      <w:r>
        <w:rPr>
          <w:b/>
        </w:rPr>
        <w:t>Shared claim-specific concepts:</w:t>
      </w:r>
      <w:r>
        <w:t xml:space="preserve"> given, nature, work, application; EU scope not established. This is a provisional connection, not an outcome finding.</w:t>
      </w:r>
    </w:p>
    <w:p>
      <w:pPr>
        <w:pStyle w:val="SourceNote"/>
      </w:pPr>
      <w:r>
        <w:rPr>
          <w:b/>
        </w:rPr>
        <w:t>Available abstract (not full text):</w:t>
      </w:r>
      <w:r>
        <w:t xml:space="preserve"> Nature-based solutions (NBS) were introduced as integrated, multifunctional and multi-beneficial solutions to a wide array of socio-ecological challenges. Although principles for a common understanding and implementation of NBS were already developed on a landscape scale, specific principles are needed with regard to an application in urban areas. Urban areas come with particular challenges including (i) spatial conflicts with urban system nestedness, (ii) specific urban biodiversity, fragmentation and altered environments, (iii) value plurality, multi-actor interdependencies and environmental injustices, (iv) path-dependencies with cultural and planning legacies and (v) a potential misconception of cities as being artificial landscapes disconnected from nature. Given these challenges, in this perspective paper, we build upon and integrate knowledge from the most recent academic work on NBS in urban areas and introduce five distinct, integrated principles for urban NBS design, planning and implementation. Our five principles should help to transcend governance gaps and advance the scientific discourse of urban NBS towards a more effective and sustainable urban development. To contribute to resilient urban futures, the design, planning, policy and governance of NBS should (1) consider the need for a systemic understanding, (2) contribute to benefiting people and biodiversity, (3</w:t>
      </w:r>
    </w:p>
    <w:p>
      <w:pPr>
        <w:pStyle w:val="Heading2"/>
      </w:pPr>
      <w:r>
        <w:t>619.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r>
        <w:rPr>
          <w:b/>
        </w:rPr>
        <w:t>POSSIBLE 2021:</w:t>
      </w:r>
      <w:r>
        <w:t xml:space="preserve"> Western Europe — https://doi.org/10.1017/9781316671603.003</w:t>
      </w:r>
    </w:p>
    <w:p>
      <w:pPr/>
      <w:r>
        <w:rPr>
          <w:b/>
        </w:rPr>
        <w:t>Shared claim-specific concepts:</w:t>
      </w:r>
      <w:r>
        <w:t xml:space="preserve"> period, suggested; EU scope visible. This is a provisional connection, not an outcome finding.</w:t>
      </w:r>
    </w:p>
    <w:p>
      <w:pPr>
        <w:pStyle w:val="SourceNote"/>
      </w:pPr>
      <w:r>
        <w:rPr>
          <w:b/>
        </w:rPr>
        <w:t>Available abstract (not full text):</w:t>
      </w:r>
      <w:r>
        <w:t xml:space="preserve"> This chapter considers the growth performance of western European countries since 1870, and relates this to the degree of openness. A theoretical explanation of why convergence is predicted by economic theory is presented and some statistics are presented on GDP per capita and the contributions of various factors to growth performance. Three periods are considered: 1870 until World War I; the interwar period; and after World War II. The first and the last are associated with globalization and convergence, whereas the interwar period witnessed increasing levels of economic isolation and lack of convergence. All western European countries are much richer today than they were in 1870, but some countries have performed much more strongly than others. Over- and underperforming countries, whose growth performances were markedly different from what might be expected from their initial levels of income, are highlighted, and possible interpretations suggested.</w:t>
      </w:r>
    </w:p>
    <w:p>
      <w:pPr>
        <w:pStyle w:val="Heading2"/>
      </w:pPr>
      <w:r>
        <w:t>620.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2024:</w:t>
      </w:r>
      <w:r>
        <w:t xml:space="preserve"> Entrepreneurial competencies in the success of enterprises: A bibliometric analysis of the publications in the field — https://doi.org/10.15295/bmij.v12i2.2390</w:t>
      </w:r>
    </w:p>
    <w:p>
      <w:pPr/>
      <w:r>
        <w:rPr>
          <w:b/>
        </w:rPr>
        <w:t>Shared claim-specific concepts:</w:t>
      </w:r>
      <w:r>
        <w:t xml:space="preserve"> core, competencies; EU scope visible. This is a provisional connection, not an outcome finding.</w:t>
      </w:r>
    </w:p>
    <w:p>
      <w:pPr>
        <w:pStyle w:val="SourceNote"/>
      </w:pPr>
      <w:r>
        <w:rPr>
          <w:b/>
        </w:rPr>
        <w:t>Available abstract (not full text):</w:t>
      </w:r>
      <w:r>
        <w:t xml:space="preserve"> There has been an acceleration in competence-based management in recent years, which has, in turn, influenced entrepreneurial success by strengthening entrepreneurial competencies. This study aims to analyse and predict the future of the research on entrepreneurial competencies using bibliometric methods. For this purpose, VOSviewer software was used for co-word analysis. Bibliometric methods such as citation analysis and co-author analysis were used to analyse the studies related to entrepreneurial competencies. It was found that most publications were published in 2019 based on a search in the Web of Science database between 1995 and 2023. The analysis of 1403 publications revealed that 460 proceeding papers, 10 early access and 210 book chapters were involved in the search. After reducing the set to include articles, 914 papers were evaluated. Results show that the authors most cited over the years are Lans Thomas, Al Mamun Abdullah, Mulder Martin, and Obschonka. Furthermore, it was found that Spain had the highest number of published works, followed by China and the USA respectively. Study findings also revealed that entrepreneurial competencies are more related to core, emotional, and network competencies and sustainable development, creativity, innovation, social capital, and higher education.</w:t>
      </w:r>
    </w:p>
    <w:p>
      <w:pPr/>
      <w:r>
        <w:rPr>
          <w:b/>
        </w:rPr>
        <w:t>POSSIBLE 2024:</w:t>
      </w:r>
      <w:r>
        <w:t xml:space="preserve"> Reciprocity and caregiver competencies. — https://doi.org/10.7146/qs.v9i1.143675</w:t>
      </w:r>
    </w:p>
    <w:p>
      <w:pPr/>
      <w:r>
        <w:rPr>
          <w:b/>
        </w:rPr>
        <w:t>Shared claim-specific concepts:</w:t>
      </w:r>
      <w:r>
        <w:t xml:space="preserve"> competencies, professional, training; EU scope not established. This is a provisional connection, not an outcome finding.</w:t>
      </w:r>
    </w:p>
    <w:p>
      <w:pPr>
        <w:pStyle w:val="SourceNote"/>
      </w:pPr>
      <w:r>
        <w:rPr>
          <w:b/>
        </w:rPr>
        <w:t>Available abstract (not full text):</w:t>
      </w:r>
      <w:r>
        <w:t xml:space="preserve"> Despite the impact of dementia, people’s needs to connect with others and their environment remains. With progression of a dementia disease, a person will gradually be more dependent on assistance and care. In this study, we aimed to conceptualise our understanding of person-centred dementia care, theoretically based on Tom Kitwood’s ontology of personhood. A hermeneutic constructivist approach with four explorative phases allowed for a metaphorical way of working with implicit knowledge related to professional caregiving. We used Lego Serious Play™ for data collection and as a method for exploring, articulating, and conceptualising how we understood caregiver interactions. Based on our analysis, we developed a co-created, condensed model suggesting an ideographic understanding of person-attuned interactions in caregiving, emphasizing knowledge about personhood and reciprocity. We unfolded how professional caregivers represent an essential value in dementia care by providing a feeling of safety through person-attuned interactions, introspection and mentalisation. We found that caregiver competencies depend on resources, culture, and interdisciplinary collaboration, which puts a strong demand on continuous training and supervision and for political and societal priorities.</w:t>
      </w:r>
    </w:p>
    <w:p>
      <w:pPr/>
      <w:r>
        <w:rPr>
          <w:b/>
        </w:rPr>
        <w:t>POSSIBLE 2023:</w:t>
      </w:r>
      <w:r>
        <w:t xml:space="preserve"> The Key Competencies for the Future of Work—A Bibliometric Study — https://doi.org/10.47297/wspchrmwsp2040-800501.20231401</w:t>
      </w:r>
    </w:p>
    <w:p>
      <w:pPr/>
      <w:r>
        <w:rPr>
          <w:b/>
        </w:rPr>
        <w:t>Shared claim-specific concepts:</w:t>
      </w:r>
      <w:r>
        <w:t xml:space="preserve"> competencies, process, training; EU scope not established. This is a provisional connection, not an outcome finding.</w:t>
      </w:r>
    </w:p>
    <w:p>
      <w:pPr>
        <w:pStyle w:val="SourceNote"/>
      </w:pPr>
      <w:r>
        <w:rPr>
          <w:b/>
        </w:rPr>
        <w:t>Available abstract (not full text):</w:t>
      </w:r>
      <w:r>
        <w:t xml:space="preserve"> The constant technological transformations that have emerged over the last few decades have forced a fast adjustment caused both by the digitalization and automation processes that have revolutionized the job market. Even though the fourth industrial revolution allows the emergence of numerous job opportunities, it brings different restrictions that directly affect the daily lives of professionals and organizations. On the other hand, this implementation requires not only a large financial investment but also, and perhaps the most critical obstacle in this process, the training of human resources to be able to assimilate the complexity of these digital transformations. Thus, the main objective of this research is to try to understand which skills will be most required by the labor market in the future. To achieve this primary objective, a bibliometric study was carried out, based on the World Economic Forum report and two main databases: Web of Science and Scopus.</w:t>
      </w:r>
    </w:p>
    <w:p>
      <w:pPr/>
      <w:r>
        <w:rPr>
          <w:b/>
        </w:rPr>
        <w:t>POSSIBLE 2022:</w:t>
      </w:r>
      <w:r>
        <w:t xml:space="preserve"> Core Competencies for Maritime Business Educators in the Digital Era — https://doi.org/10.3389/fpsyg.2022.915980</w:t>
      </w:r>
    </w:p>
    <w:p>
      <w:pPr/>
      <w:r>
        <w:rPr>
          <w:b/>
        </w:rPr>
        <w:t>Shared claim-specific concepts:</w:t>
      </w:r>
      <w:r>
        <w:t xml:space="preserve"> core, competencies, universities, training; EU scope not established. This is a provisional connection, not an outcome finding.</w:t>
      </w:r>
    </w:p>
    <w:p>
      <w:pPr>
        <w:pStyle w:val="SourceNote"/>
      </w:pPr>
      <w:r>
        <w:rPr>
          <w:b/>
        </w:rPr>
        <w:t>Available abstract (not full text):</w:t>
      </w:r>
      <w:r>
        <w:t xml:space="preserve"> In light of digitalization, the objectives of this study are to (1) identify the emerging, core competencies of maritime business educators (MBE) and (2) examine their effects on perceived teaching performance. A systematic review of the contemporary literature was first performed to build a competency framework. Subsequently, an online survey was administered to 196 faculty members of the top 10 leading maritime universities as identified from the Worldwide Maritime School Rankings produced by Hong Kong Polytechnic University. The collected data were analyzed using Exploratory Factor Analysis to extract the main competencies of MBE. The results uncovered five key competencies from 22 sub-competencies. Thereafter, Hierarchical Regression Modeling was used to examine the effects of the key competencies on perceived teaching performance. After controlling for teaching experience and job position, it was found that the five competency requirements, in descending order of their importance, have significant positive effects on teaching performance: Pedagogy, Maritime, Interpersonal, Business and Digital. Academically, this study consolidates the literature and identifies the emerging core competencies that are expected from MBE in the digital era. The study also implicates education policy formulation, offering directions for institutions to allocate their resources, develop suitabl</w:t>
      </w:r>
    </w:p>
    <w:p>
      <w:pPr/>
      <w:r>
        <w:rPr>
          <w:b/>
        </w:rPr>
        <w:t>POSSIBLE 2022:</w:t>
      </w:r>
      <w:r>
        <w:t xml:space="preserve"> Should organising premier-level European football be a monopoly? And who should run it? – An economists' perspective — https://doi.org/10.4324/9781003305989-6</w:t>
      </w:r>
    </w:p>
    <w:p>
      <w:pPr/>
      <w:r>
        <w:rPr>
          <w:b/>
        </w:rPr>
        <w:t>Shared claim-specific concepts:</w:t>
      </w:r>
      <w:r>
        <w:t xml:space="preserve"> economists, they, professional; EU scope visible. This is a provisional connection, not an outcome finding.</w:t>
      </w:r>
    </w:p>
    <w:p>
      <w:pPr>
        <w:pStyle w:val="SourceNote"/>
      </w:pPr>
      <w:r>
        <w:rPr>
          <w:b/>
        </w:rPr>
        <w:t>Available abstract (not full text):</w:t>
      </w:r>
      <w:r>
        <w:t xml:space="preserve"> In this conceptual and theoretical chapter from the perspective of sport economics, the authors ask whether organising premier-level European football should be a monopoly, and who should be in charge. In their attempt to locate the scope for a necessary monopoly, the two economists discuss the merits and shortcomings of the established European pyramidal model of sports governance. In economics, monopolies are associated with severe consumer (fan) welfare loss and massive dynamic inefficiencies. Therefore, effective competition in every market is the generally preferred organisation of commercial activities and, subsequently, the main goal of competition law and policy. Yet they also find that there may be situations where a single supplier of a good may exceptionally be superior to competition. Organising premier-level sports is often viewed to be such an exception, they argue, as in the EU with the pyramid structure of sports associations governing professional (and commercial) sports. The authors revisit this assertion from a modern economics perspective, looking for economic arguments in favour of the pyramid structure, counter-arguments as well the potential for balancing the two. For the identified monopoly areas, they ask who should run them in order to maximise social and consumer (fan) welfare, suggesting that regular competitions for the market such as tender procedu</w:t>
      </w:r>
    </w:p>
    <w:p>
      <w:pPr/>
      <w:r>
        <w:rPr>
          <w:b/>
        </w:rPr>
        <w:t>POSSIBLE 2022:</w:t>
      </w:r>
      <w:r>
        <w:t xml:space="preserve"> The role of the core competence and core resource features of a sharing economy on the achievement of SDGs 2030 — https://doi.org/10.1016/j.jik.2022.100283</w:t>
      </w:r>
    </w:p>
    <w:p>
      <w:pPr/>
      <w:r>
        <w:rPr>
          <w:b/>
        </w:rPr>
        <w:t>Shared claim-specific concepts:</w:t>
      </w:r>
      <w:r>
        <w:t xml:space="preserve"> core, economy; EU scope not established. This is a provisional connection, not an outcome finding.</w:t>
      </w:r>
    </w:p>
    <w:p>
      <w:pPr>
        <w:pStyle w:val="SourceNote"/>
      </w:pPr>
      <w:r>
        <w:rPr>
          <w:b/>
        </w:rPr>
        <w:t>Available abstract (not full text):</w:t>
      </w:r>
      <w:r>
        <w:t xml:space="preserve"> Globally, sustainable development goals (SDGs), which need to be achieved using the sharing economy, are the focus of many recent studies. This article investigates the impact of sharing economy features such as core competence and resources on achieving SDGs in the tourism industry in the BRICS countries (Brazil, Russia, India, China, and South Africa). It examines the mediating impact of distinctive competitive advantage between the core competence and core resource features of a sharing economy, and achievement of the SDGs. The study also examines the moderating role of institutional support on the nexus of distinctive competitive advantage and achievement of SDGs in the BRICS countries. Questionnaires are used to collect primary data and Smart-PLS is used to analyse the data. The results indicate that the core competence and core resource features have a positive association with the achievement of SDGs, and that distinctive competitive advantage significantly mediates the association between core competence, core resources, and achievement of the SDGs. The outcomes reveal that institutional support significantly moderates the nexus of distinctive competitive advantage and achievement of SDGs. The research provides guidelines for regulators establishing policies related to the achievement of SDGs using the sharing economy.</w:t>
      </w:r>
    </w:p>
    <w:p>
      <w:pPr/>
      <w:r>
        <w:rPr>
          <w:b/>
        </w:rPr>
        <w:t>POSSIBLE 2022:</w:t>
      </w:r>
      <w:r>
        <w:t xml:space="preserve"> Digital Competencies in Selected European Countries among University and High-School Students: Programming is lagging behind — https://doi.org/10.2478/bsrj-2022-0019</w:t>
      </w:r>
    </w:p>
    <w:p>
      <w:pPr/>
      <w:r>
        <w:rPr>
          <w:b/>
        </w:rPr>
        <w:t>Shared claim-specific concepts:</w:t>
      </w:r>
      <w:r>
        <w:t xml:space="preserve"> competencies, process, educational; EU scope visible. This is a provisional connection, not an outcome finding.</w:t>
      </w:r>
    </w:p>
    <w:p>
      <w:pPr>
        <w:pStyle w:val="SourceNote"/>
      </w:pPr>
      <w:r>
        <w:rPr>
          <w:b/>
        </w:rPr>
        <w:t>Available abstract (not full text):</w:t>
      </w:r>
      <w:r>
        <w:t xml:space="preserve"> Abstract Background: Constant integration of digital technologies in economic and social life is rapidly and significantly shaping and changing our environment and ourselves. To function in such a world, even in daily routines, it is necessary to possess certain digital competencies. Objectives: This paper aims to examine how university and high-school students of economic orientations from selected European countries self-assess their digital competencies, and to analyse the identified differences. This will enable further understanding of university and high-school students’ digital competencies that can serve as guidance for improving teaching practices and curricula. Methods/Approach: A survey was conducted to collect data that were analysed using non-parametric statistic tests (Mann-Whitney U test and Kruskal-Wallis H test) and Spearman Rank-Order Correlation coefficient. Results: University and high-school students consider to have below intermediate level of digital competencies. High-school students self-assessed digital competencies at a higher level than university students. University students of higher years of study self-assessed digital competencies at a higher level. There is no universal pattern among high-school students of different years of study. University students in the Accounting module and high-school students in the Tourism module assessed their digita</w:t>
      </w:r>
    </w:p>
    <w:p>
      <w:pPr/>
      <w:r>
        <w:rPr>
          <w:b/>
        </w:rPr>
        <w:t>POSSIBLE 2022:</w:t>
      </w:r>
      <w:r>
        <w:t xml:space="preserve"> Are Quantity Surveyors competent to value for Civil Engineering Works? Evaluating QSs' competencies and militating factors — https://doi.org/10.6084/m9.figshare.19758772</w:t>
      </w:r>
    </w:p>
    <w:p>
      <w:pPr/>
      <w:r>
        <w:rPr>
          <w:b/>
        </w:rPr>
        <w:t>Shared claim-specific concepts:</w:t>
      </w:r>
      <w:r>
        <w:t xml:space="preserve"> core, competencies, professional, outlined; EU scope not established. This is a provisional connection, not an outcome finding.</w:t>
      </w:r>
    </w:p>
    <w:p>
      <w:pPr>
        <w:pStyle w:val="SourceNote"/>
      </w:pPr>
      <w:r>
        <w:rPr>
          <w:b/>
        </w:rPr>
        <w:t>Available abstract (not full text):</w:t>
      </w:r>
      <w:r>
        <w:t xml:space="preserve"> The role of the quantity surveyor is one that is often unclear amongst the general public. This study discussed the competencies of the quantity surveyor in measuring and managing civil engineering works and also carrying out the financial management for civil engineering construction projects; also outlined the various competencies and skills required of quantity surveyors in discharging and managing their professional duties. The core activities of quantity surveyors include determining project budgets, measuring project quantities, preparing contract documentation (such as Bills of Quantities and cost control documents), administering contracts, and preparing final accounts. The study also examines recent developments in the profession, which have led to the quantity surveyor delivering a number of management related consultancy services, in response to rising client expectations and demands. The militating factors to QS participation in the Nigeria AEC industry were identified as skills and knowledge, competencies, identity or branding issues, fewer QS in public service among others. The study advocated a change in culture and the inclusion of quantity surveyors on civil engineering projects in order for the industry to leverage on the dynamism of the quantity surveying profession.</w:t>
      </w:r>
    </w:p>
    <w:p>
      <w:pPr/>
      <w:r>
        <w:rPr>
          <w:b/>
        </w:rPr>
        <w:t>POSSIBLE 2021:</w:t>
      </w:r>
      <w:r>
        <w:t xml:space="preserve"> Digital intelligence of a modern economist: an exploratory case study — https://doi.org/10.1051/shsconf/202110403001</w:t>
      </w:r>
    </w:p>
    <w:p>
      <w:pPr/>
      <w:r>
        <w:rPr>
          <w:b/>
        </w:rPr>
        <w:t>Shared claim-specific concepts:</w:t>
      </w:r>
      <w:r>
        <w:t xml:space="preserve"> economists, they, training, educational; EU scope not established. This is a provisional connection, not an outcome finding.</w:t>
      </w:r>
    </w:p>
    <w:p>
      <w:pPr>
        <w:pStyle w:val="SourceNote"/>
      </w:pPr>
      <w:r>
        <w:rPr>
          <w:b/>
        </w:rPr>
        <w:t>Available abstract (not full text):</w:t>
      </w:r>
      <w:r>
        <w:t xml:space="preserve"> In the current context of digitalization of various spheres of life, an important characteristic of participants in a digital society is the level of their digital intelligence. The level at which future economists develop their digital intelligence skills during university depends on their successful employment and career development. The presented article analyses the concept of digital intelligence of an economist on the basis of the Digital Quotient framework developed by the Digital Intelligence Institute, characterizing the levels of “Digital Citizen”, “Digital Creator”, “Digital Entrepreneur” for such components of digital intelligence as: Digital Changemaker Identity, Digital Use, Safety Digital, Digital Security, Digital Emotional Intelligence, Digital Communication, Digital Literacy, Digital Rights. For the first time, the contents of an academic discipline of a university training programme for future economists have been proposed, in the course of which digital intelligence skills can be developed. The authors demonstrate the stages of formation, indicators for different levels of formation, content and examples of educational representation of material. They offer the stages of Digital intelligence development in the framework of studying the course modules, the implementation of project work and the solution of the real case studies during academic training. The r</w:t>
      </w:r>
    </w:p>
    <w:p>
      <w:pPr>
        <w:pStyle w:val="Heading2"/>
      </w:pPr>
      <w:r>
        <w:t>621.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2024:</w:t>
      </w:r>
      <w:r>
        <w:t xml:space="preserve"> Analysis of CCS Technology Applied in Green Building — https://doi.org/10.62051/08xctb54</w:t>
      </w:r>
    </w:p>
    <w:p>
      <w:pPr/>
      <w:r>
        <w:rPr>
          <w:b/>
        </w:rPr>
        <w:t>Shared claim-specific concepts:</w:t>
      </w:r>
      <w:r>
        <w:t xml:space="preserve"> ccs, steel, production, emissions; EU scope not established. This is a provisional connection, not an outcome finding.</w:t>
      </w:r>
    </w:p>
    <w:p>
      <w:pPr>
        <w:pStyle w:val="SourceNote"/>
      </w:pPr>
      <w:r>
        <w:rPr>
          <w:b/>
        </w:rPr>
        <w:t>Available abstract (not full text):</w:t>
      </w:r>
      <w:r>
        <w:t xml:space="preserve"> As the global climate change crisis intensifies, the integration of green building practices with carbon capture and storage (CCS) technology is increasingly emerging as a focal point of research within the architectural domain. Green buildings prioritize resource efficiency, environmental sustainability, and long-term viability, while CCS technology serves as an effective mechanism for mitigating carbon emissions. This paper examined the application of CCS technology in green buildings and identifies its significant potential across various stages of building design, construction, and operation. Firstly, CCS technology can substantially reduce carbon emissions during the production processes of construction materials—particularly in high-emission sectors such as cement and steel manufacturing. Furthermore, by synergizing CCS technology with energy systems utilized in building operations, it becomes feasible to capture carbon emissions generated from routine energy consumption, thereby facilitating a near-zero carbon footprint. Nonetheless, challenges related to integration complexity and elevated costs hinder the deployment of CCS technology within existing structures—especially older buildings where spatial constraints and infrastructural limitations pose considerable obstacles. The lack of clear economic incentives has deterred numerous construction projects from investing i</w:t>
      </w:r>
    </w:p>
    <w:p>
      <w:pPr/>
      <w:r>
        <w:rPr>
          <w:b/>
        </w:rPr>
        <w:t>POSSIBLE 2024:</w:t>
      </w:r>
      <w:r>
        <w:t xml:space="preserve"> Carbon Dioxide Capture and Storage (CCS) in Saline Aquifers versus Depleted Gas Fields — https://doi.org/10.3390/geosciences14060146</w:t>
      </w:r>
    </w:p>
    <w:p>
      <w:pPr/>
      <w:r>
        <w:rPr>
          <w:b/>
        </w:rPr>
        <w:t>Shared claim-specific concepts:</w:t>
      </w:r>
      <w:r>
        <w:t xml:space="preserve"> ccs, production, co2, compared, emissions; EU scope not established. This is a provisional connection, not an outcome finding.</w:t>
      </w:r>
    </w:p>
    <w:p>
      <w:pPr>
        <w:pStyle w:val="SourceNote"/>
      </w:pPr>
      <w:r>
        <w:rPr>
          <w:b/>
        </w:rPr>
        <w:t>Available abstract (not full text):</w:t>
      </w:r>
      <w:r>
        <w:t xml:space="preserve"> Saline aquifers have been used for CO2 storage as a dedicated greenhouse gas mitigation strategy since 1996. Depleted gas fields are now being planned for large-scale CCS projects. Although basalt host reservoirs are also going to be used, saline aquifers and depleted gas fields will make up most of the global geological repositories for CO2. At present, depleted gas fields and saline aquifers seem to be treated as if they are a single entity, but they have distinct differences that are examined here. Depleted gas fields have far more pre-existing information about the reservoir, top-seal caprock, internal architecture of the site, and about fluid flow properties than saline aquifers due to the long history of hydrocarbon project development and fluid production. The fluid pressure evolution paths for saline aquifers and depleted gas fields are distinctly different because, unlike saline aquifers, depleted gas fields are likely to be below hydrostatic pressure before CO2 injection commences. Depressurised depleted gas fields may require an initial injection of gas-phase CO2 instead of dense-phase CO2 typical of saline aquifers, but the greater pressure difference may allow higher initial injection rates in depleted gas fields than saline aquifers. Depressurised depleted gas fields may lead to CO2-injection-related stress paths that are distinct from saline aquifers depending on</w:t>
      </w:r>
    </w:p>
    <w:p>
      <w:pPr/>
      <w:r>
        <w:rPr>
          <w:b/>
        </w:rPr>
        <w:t>POSSIBLE 2024:</w:t>
      </w:r>
      <w:r>
        <w:t xml:space="preserve"> Kickstarting CCS Adoption: Tailoring Subsidies to Emitters' Needs — https://openalex.org/W4400372560</w:t>
      </w:r>
    </w:p>
    <w:p>
      <w:pPr/>
      <w:r>
        <w:rPr>
          <w:b/>
        </w:rPr>
        <w:t>Shared claim-specific concepts:</w:t>
      </w:r>
      <w:r>
        <w:t xml:space="preserve"> ccs, emissions, current; EU scope visible. This is a provisional connection, not an outcome finding.</w:t>
      </w:r>
    </w:p>
    <w:p>
      <w:pPr>
        <w:pStyle w:val="SourceNote"/>
      </w:pPr>
      <w:r>
        <w:rPr>
          <w:b/>
        </w:rPr>
        <w:t>Available abstract (not full text):</w:t>
      </w:r>
      <w:r>
        <w:t xml:space="preserve"> Despite being an essential technology in industrial decarbonization scenarios, Carbon Capture and Storage (CCS) struggles to achieve large-scale deployment.Indeed, emitters face a coordination problem, which prevents them from forming the critical mass the transportation operator needs to develop a network that leverages economies of scale.In response, many public entities have multiplied financing mechanisms to support CCS adoption. However, current subsidy mechanisms overlook the network infrastructure and do not acknowledge the heterogeneity of emitters.This paper introduces a methodology for distributing subsidies among industrial emitters based on their capture costs and network cost contribution while accounting for potential budgetary constraints. Firstly, we evaluate each emitter's contribution to the network cost through the Shapley value. Secondly, we define each emitter's subsidy claim by combining results from the first step with their capture cost.We then distribute the subsidies according to the Proportional bankruptcy solution (i.e., proportionally to each emitter's claim). We justify this solution based on properties (axioms) we desire our subsidy distribution to verify. A key feature of our methodology is its flexibility. Indeed, each step can be adapted to suit the normative framework that a future study or policymaker wishes to posit.We apply our methodology </w:t>
      </w:r>
    </w:p>
    <w:p>
      <w:pPr/>
      <w:r>
        <w:rPr>
          <w:b/>
        </w:rPr>
        <w:t>POSSIBLE 2023:</w:t>
      </w:r>
      <w:r>
        <w:t xml:space="preserve"> Is Carbon Capture and Storage (CCS) Really So Expensive? An Analysis of Cascading Costs and CO 2 Emissions Reduction of Industrial CCS Implementation on the Construction of a Bridge — https://doi.org/10.1021/acs.est.2c05724</w:t>
      </w:r>
    </w:p>
    <w:p>
      <w:pPr/>
      <w:r>
        <w:rPr>
          <w:b/>
        </w:rPr>
        <w:t>Shared claim-specific concepts:</w:t>
      </w:r>
      <w:r>
        <w:t xml:space="preserve"> show, ccs, steel, plant, emissions, current; EU scope not established. This is a provisional connection, not an outcome finding.</w:t>
      </w:r>
    </w:p>
    <w:p>
      <w:pPr>
        <w:pStyle w:val="SourceNote"/>
      </w:pPr>
      <w:r>
        <w:rPr>
          <w:b/>
        </w:rPr>
        <w:t>Available abstract (not full text):</w:t>
      </w:r>
      <w:r>
        <w:t xml:space="preserve"> High Resolution Image Download MS PowerPoint Slide Carbon capture and storage (CCS) is an essential technology to mitigate global CO 2 emissions from power and industry sectors. Despite the increasing recognition of its importance to achieve the net-zero target, current CCS deployment is far behind targeted ambitions. A key reason is that CCS is often perceived as too expensive. The costs of CCS have however traditionally been looked at from the industrial plant perspective, which does not necessarily reflect the end user’s one. This paper addresses the incomplete view by investigating the impact of implementing CCS in industrial facilities on the overall costs and CO 2 emissions of end-user products and services. As an example, we examine the extent to which an increase in costs of raw materials (cement and steel) due to CCS impacts the costs of building a bridge. Results show that although CCS significantly increases cement and steel costs, the subsequent increment in the overall bridge construction cost remains marginal (∼1%). This 1% cost increase, however, enables a deep reduction in CO 2 emissions (∼51%) associated with the bridge construction. Although more research is needed in this area, this work is the first step to a better understanding of the real cost and benefits of CCS.</w:t>
      </w:r>
    </w:p>
    <w:p>
      <w:pPr/>
      <w:r>
        <w:rPr>
          <w:b/>
        </w:rPr>
        <w:t>POSSIBLE 2023:</w:t>
      </w:r>
      <w:r>
        <w:t xml:space="preserve"> Reduction potential of the energy penalty for CO2 capture in CCS — https://doi.org/10.1007/s11708-023-0864-x</w:t>
      </w:r>
    </w:p>
    <w:p>
      <w:pPr/>
      <w:r>
        <w:rPr>
          <w:b/>
        </w:rPr>
        <w:t>Shared claim-specific concepts:</w:t>
      </w:r>
      <w:r>
        <w:t xml:space="preserve"> ccs, co2;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Comparing the Expressiveness of the π-calculus and CCS — https://doi.org/10.1145/3611013</w:t>
      </w:r>
    </w:p>
    <w:p>
      <w:pPr/>
      <w:r>
        <w:rPr>
          <w:b/>
        </w:rPr>
        <w:t>Shared claim-specific concepts:</w:t>
      </w:r>
      <w:r>
        <w:t xml:space="preserve"> show, ccs, finally; EU scope not established. This is a provisional connection, not an outcome finding.</w:t>
      </w:r>
    </w:p>
    <w:p>
      <w:pPr>
        <w:pStyle w:val="SourceNote"/>
      </w:pPr>
      <w:r>
        <w:rPr>
          <w:b/>
        </w:rPr>
        <w:t>Available abstract (not full text):</w:t>
      </w:r>
      <w:r>
        <w:t xml:space="preserve"> This paper shows that the π-calculus with implicit matching is no more expressive than CCS γ , a variant of CCS in which the result of a synchronisation of two actions is itself an action subject to relabelling or restriction, rather than the silent action τ. This is done by exhibiting a compositional translation from the π-calculus with implicit matching to CCS γ that is valid up to strong barbed bisimilarity. The full π-calculus can be similarly expressed in CCS γ enriched with the triggering operation of Meije . I also show that these results cannot be recreated with CCS in the rôle of CCS γ , not even up to reduction equivalence, and not even for the asynchronous π-calculus without restriction or replication. Finally, I observe that CCS cannot be encoded in the π-calculus.</w:t>
      </w:r>
    </w:p>
    <w:p>
      <w:pPr/>
      <w:r>
        <w:rPr>
          <w:b/>
        </w:rPr>
        <w:t>POSSIBLE 2023:</w:t>
      </w:r>
      <w:r>
        <w:t xml:space="preserve"> Regulatory framework for CCS in the Nordic countries — https://doi.org/10.6027/temanord2023-521</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All Nordic countries have set ambitious targets to achieve net-zero greenhouse gas emissions through various national goals and legislation. Carbon Capture and Storage (CCS) has a key role in strategies to achieve net-zero emissions through mitigating emissions from fossil fuels and removing CO2 permanently from the atmosphere. This project aimed to analyse regulatory aspects that are relevant for deployment of CCS-based mitigation options in a Nordic context. The report identifies similarities and differences between the Nordic countries concerning CCS regulation, barriers to CCS deployment due to regulatory frameworks, and currently ongoing regulatory development aimed at promoting responsible CCS deployment. Recommendations are provided concerning areas where further development, coordination, and capacity building might be prioritised by the Nordic countries.</w:t>
      </w:r>
    </w:p>
    <w:p>
      <w:pPr/>
      <w:r>
        <w:rPr>
          <w:b/>
        </w:rPr>
        <w:t>POSSIBLE 2023:</w:t>
      </w:r>
      <w:r>
        <w:t xml:space="preserve"> EOS-CG-2021: A Mixture Model for the Calculation of Thermodynamic Properties of CCS Mixtures — https://doi.org/10.1007/s10765-023-03263-6</w:t>
      </w:r>
    </w:p>
    <w:p>
      <w:pPr/>
      <w:r>
        <w:rPr>
          <w:b/>
        </w:rPr>
        <w:t>Shared claim-specific concepts:</w:t>
      </w:r>
      <w:r>
        <w:t xml:space="preserve"> show, ccs; EU scope not established. This is a provisional connection, not an outcome finding.</w:t>
      </w:r>
    </w:p>
    <w:p>
      <w:pPr>
        <w:pStyle w:val="SourceNote"/>
      </w:pPr>
      <w:r>
        <w:rPr>
          <w:b/>
        </w:rPr>
        <w:t>Available abstract (not full text):</w:t>
      </w:r>
      <w:r>
        <w:t xml:space="preserve"> Abstract Thermodynamic properties for CCS-relevant mixtures can be calculated with the fundamental equation of state presented in this work over wide ranges of pressure, temperature, and composition for gas, liquid, and supercritical states, as well as for phase equilibria. The mixture model is formulated in terms of the Helmholtz energy and is based on the EOS-CG model of Gernert and Span (J Chem Thermodyn 93:274, 2016]. The new model presented here (EOS-CG-2021) is an update and extension of the previous version, and covers the following sixteen components: carbon dioxide, water, nitrogen, oxygen, argon, carbon monoxide, hydrogen, methane, hydrogen sulfide, sulfur dioxide, monoethanolamine, diethanolamine, hydrogen chloride, chlorine, ammonia, and methyl diethanolamine. Previously published elements of the model are summarized, and new elements are validated and analyzed with the use of comparisons to experimental data and by assessing the physical and extrapolation behavior of the equations. A comprehensive study on the representation of multicomponent mixture data was carried out to show the high accuracy and application range of the EOS-CG-2021.</w:t>
      </w:r>
    </w:p>
    <w:p>
      <w:pPr/>
      <w:r>
        <w:rPr>
          <w:b/>
        </w:rPr>
        <w:t>POSSIBLE 2023:</w:t>
      </w:r>
      <w:r>
        <w:t xml:space="preserve"> Modeling CO2 Pipeline Systems: An Analytical Lens for CCS Regulation — https://doi.org/10.5547/2160-5890.12.2.anic</w:t>
      </w:r>
    </w:p>
    <w:p>
      <w:pPr/>
      <w:r>
        <w:rPr>
          <w:b/>
        </w:rPr>
        <w:t>Shared claim-specific concepts:</w:t>
      </w:r>
      <w:r>
        <w:t xml:space="preserve"> show, ccs, production, co2, compared, emissions; EU scope not established. This is a provisional connection, not an outcome finding.</w:t>
      </w:r>
    </w:p>
    <w:p>
      <w:pPr>
        <w:pStyle w:val="SourceNote"/>
      </w:pPr>
      <w:r>
        <w:rPr>
          <w:b/>
        </w:rPr>
        <w:t>Available abstract (not full text):</w:t>
      </w:r>
      <w:r>
        <w:t xml:space="preserve"> Carbon Capture and Storage (CCS) is regularly depicted as a crucial technology to reduce the social cost of achieving carbon neutrality.However, its deployment critically depends on the installation of CO 2 infrastructures.As the regulatory procedures governing their provision are yet to be clarified, this paper aims to assess the social and environmental impacts of such regulations.We show how the engineering equations of a CO 2 pipeline implicitly define a Cobb-Douglas production function.We then infer that the resulting cost function exhibits economies of scale and verifies the technological condition for a natural monopoly.As the possible exertion of market power is a concern, we evaluate the social distortion of the unregulated monopoly and the average-cost pricing solution, which we compare to the outcomes of the welfare-maximizing solution.While the deadweight loss obtained under average-cost pricing remains lower than 5% compared to the firstbest solution, our findings indicate that allocative efficiency is an issue, with more than a quarter of the CO 2 emissions not being transported.This analysis will usefully inform the emerging regulatory policy debates on CCS by providing the first analytically determined cost function of a CO 2 pipeline.</w:t>
      </w:r>
    </w:p>
    <w:p>
      <w:pPr/>
      <w:r>
        <w:rPr>
          <w:b/>
        </w:rPr>
        <w:t>POSSIBLE 2022:</w:t>
      </w:r>
      <w:r>
        <w:t xml:space="preserve"> The development of carbon capture and storage (CCS) in India: A critical review — https://doi.org/10.1016/j.ccst.2022.100036</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Carbon capture and sequestration (CCS) is a three-tier process- carbon capture, transport andstorage. The capture consists of pre-combustion, oxy-combustion and post-combustion capture.Transport of CO2 is most viable through pipelines.The biotic CO2storage occurs throughterrestrial or oceanic pathways and can be simulated naturally or artificially. The abiotic/geologicstorage is achieved through sequestering CO2 in depleting/depleted hydrocarbon reserves, indeep saline aquifers or through mineral carbonation. At the district level, 64 out of 641 districts(2013 government reports) accounted for ~ 60% of the total CO2 emissions. Controlling CO2emissions comes with the challenge of sustainable socio-economic growth of the country- ademanding task for the economy. Indian organizations have made international collaborations.India holds a substantial geological sequestration potential in its basaltic rocks, coal seams,depleted oil reserves, soils, deep saline aquifers and sedimentary basins. At this point, no carboncapture and storage / clean development mechanism projects are operational in the country. Thenext 10-15 years would be very crucial for India to attain technological advancement to deploylarge-scale CCS projects.</w:t>
      </w:r>
    </w:p>
    <w:p>
      <w:pPr/>
      <w:r>
        <w:rPr>
          <w:b/>
        </w:rPr>
        <w:t>POSSIBLE 2022:</w:t>
      </w:r>
      <w:r>
        <w:t xml:space="preserve"> Cost estimation of CCS integration into thermal power plants in Japan — https://doi.org/10.1299/mej.22-00028</w:t>
      </w:r>
    </w:p>
    <w:p>
      <w:pPr/>
      <w:r>
        <w:rPr>
          <w:b/>
        </w:rPr>
        <w:t>Shared claim-specific concepts:</w:t>
      </w:r>
      <w:r>
        <w:t xml:space="preserve"> ccs, co2, reductions, emissions; EU scope visible. This is a provisional connection, not an outcome finding.</w:t>
      </w:r>
    </w:p>
    <w:p>
      <w:pPr>
        <w:pStyle w:val="SourceNote"/>
      </w:pPr>
      <w:r>
        <w:rPr>
          <w:b/>
        </w:rPr>
        <w:t>Available abstract (not full text):</w:t>
      </w:r>
      <w:r>
        <w:t xml:space="preserve"> full chain') is necessary to realize CO2 emissions reductions.Notably, there are multiple technological options to realize each sub-process, with the 'optimal' option being case-dependent.For example, in North America, onshore storage sites are abundant, and an existing CO2 pipeline network provides relatively low-cost transport (GCCSI, 2021).On the other hand, in Europe and Japan, the potential storage sites are primarily offshore, making shipping of CO2 more feasible than pipelines (Baroudi et al., 2021).Despite the abundance of technological solutions available, CCS has not been deployed at the rate expected by modelers (Peters et al., 2017) or required by pledges of CO2 emissions reductions (Wang et al., 2021).It is often stated that the main barrier hindering the rapid implementation of CCS is its high cost.Naturally, if the price of polluting (e.g.,</w:t>
      </w:r>
    </w:p>
    <w:p>
      <w:pPr/>
      <w:r>
        <w:rPr>
          <w:b/>
        </w:rPr>
        <w:t>POSSIBLE 2021:</w:t>
      </w:r>
      <w:r>
        <w:t xml:space="preserve"> Promoting CCS in Europe: A Case for Green Strategic Trade Policy? — https://doi.org/10.5547/01956574.43.6.faun</w:t>
      </w:r>
    </w:p>
    <w:p>
      <w:pPr/>
      <w:r>
        <w:rPr>
          <w:b/>
        </w:rPr>
        <w:t>Shared claim-specific concepts:</w:t>
      </w:r>
      <w:r>
        <w:t xml:space="preserve"> ccs, production, co2, emissions, current; EU scope visible. This is a provisional connection, not an outcome finding.</w:t>
      </w:r>
    </w:p>
    <w:p>
      <w:pPr>
        <w:pStyle w:val="SourceNote"/>
      </w:pPr>
      <w:r>
        <w:rPr>
          <w:b/>
        </w:rPr>
        <w:t>Available abstract (not full text):</w:t>
      </w:r>
      <w:r>
        <w:t xml:space="preserve"> According to IEA (2018), there is a huge gap between the first-best social optimal utilization of Carbon Capture and Storage (CCS) technologies to lower global CO2 emissions and the current, negligible diffusion of this technology. This calls for a financial support mechanism for CCS. We study to what extent promotion of CCS in Europe should be through subsidizing development and production of CCS technologies—an upstream subsidy—or by subsidising the purchasers of CCS technologies—a downstream subsidy. This question is examined theoretically in a stylized model and numerically by using a new approach that integrates strategic trade policy with an economic model of the European energy markets. The theory model suggests that upstream subsidies should clearly be preferred, and this is confirmed by the numerical simulations. For the European power market, the numerical simulations suggest that subsidies to CCS coal power should exceed subsidies to CCS gas power.</w:t>
      </w:r>
    </w:p>
    <w:p>
      <w:pPr>
        <w:pStyle w:val="Heading2"/>
      </w:pPr>
      <w:r>
        <w:t>622.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r>
        <w:rPr>
          <w:b/>
        </w:rPr>
        <w:t>POSSIBLE 2023:</w:t>
      </w:r>
      <w:r>
        <w:t xml:space="preserve"> Did COVID-19 Blur Partisan Boundaries? A Comparison of Partisan Affinity and Source Heterophily in Online Alternative News-Sharing Networks Before and During the COVID-19 Pandemic — https://doi.org/10.1177/20563051231192963</w:t>
      </w:r>
    </w:p>
    <w:p>
      <w:pPr/>
      <w:r>
        <w:rPr>
          <w:b/>
        </w:rPr>
        <w:t>Shared claim-specific concepts:</w:t>
      </w:r>
      <w:r>
        <w:t xml:space="preserve"> finally, drawing, covid-19, pandemic, across; EU scope visible. This is a provisional connection, not an outcome finding.</w:t>
      </w:r>
    </w:p>
    <w:p>
      <w:pPr>
        <w:pStyle w:val="SourceNote"/>
      </w:pPr>
      <w:r>
        <w:rPr>
          <w:b/>
        </w:rPr>
        <w:t>Available abstract (not full text):</w:t>
      </w:r>
      <w:r>
        <w:t xml:space="preserve"> This study explores partisan and group heterophily within cross-platform online communities that share alternative news media content in Denmark, Sweden, Germany, and Austria. The analysis is related to the emergence of anti-systemic cross-partisan counter-publics in Europe that have gained momentum with the outbreak of COVID-19 and the subsequent resistance against government restrictions. Comparing two periods (before and after the outbreak of COVID-19), we investigate whether these developments foster cross-partisan information sharing in online communities that form around right-wing, left-wing, and anti-systemic alternative news media content. Drawing on a network-analytical approach, we study networks formed around URL sharing of alternative news content across Facebook, Instagram, Twitter, Reddit, Telegram, TikTok, YouTube, and VKontakte. Data include 30 million social media posts from January 2019 to September 2021. The results show that overall source heterophily in online alternative news networks increases slightly with the COVID-19 pandemic, mainly due to the increased proliferation of anti-system news. This increase is, however, not an expression of a more profound collapse of bi-partisan, left-right cleavages and is contingent on country contexts. Except for the time of the initial outbreak, the overall sharing of COVID-19-related content tends to increase rather </w:t>
      </w:r>
    </w:p>
    <w:p>
      <w:pPr/>
      <w:r>
        <w:rPr>
          <w:b/>
        </w:rPr>
        <w:t>POSSIBLE 2022:</w:t>
      </w:r>
      <w:r>
        <w:t xml:space="preserve"> COVID‐19 and European Multi‐Level Democracy — https://doi.org/10.1111/jcms.13417</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The COVID-19 pandemic that hit Europe in early 2020 radically reshaped the political agenda at all levels of Europe's multi-level system within a matter of weeks. It continued to overshadow all other public concerns throughout 2021. The single most important development that distinguished the second year of the pandemic from the first was that, from early 2021, COVID-19 vaccines became widely available and were rolled out throughout Europe. Early hopes that vaccination might offer full protection against infection were soon dashed. However, the availability of vaccines propelled governments to reorient policy from strict containment to approaches that meant 'learning to live with the virus'. This shift was not linear. Partly driven by the emergence of new COVID-19 'variants of interest and concern', policy changes and reversals were frequent. But during 2021, restrictions on individual and civil liberties justified on public health grounds became complemented by the reliance on vaccination as the chief means to combat the pandemic. Vaccination meant that public policies became increasingly differentiated between the (fully) vaccinated and the non-vaccinated (for details, see Hale et al., 2022), often provoking intensive protest. The year 2021 was also when the full political and institutional implications of the pandemic became ever more apparent, as the long-term nature of the</w:t>
      </w:r>
    </w:p>
    <w:p>
      <w:pPr/>
      <w:r>
        <w:rPr>
          <w:b/>
        </w:rPr>
        <w:t>POSSIBLE 2022:</w:t>
      </w:r>
      <w:r>
        <w:t xml:space="preserve"> Children’s representations of the COVID-19 lockdown and pandemic through drawings — https://doi.org/10.3389/fpsyg.2022.960893</w:t>
      </w:r>
    </w:p>
    <w:p>
      <w:pPr/>
      <w:r>
        <w:rPr>
          <w:b/>
        </w:rPr>
        <w:t>Shared claim-specific concepts:</w:t>
      </w:r>
      <w:r>
        <w:t xml:space="preserve"> drawing, covid-19, pandemic, exploring, explore; EU scope visible. This is a provisional connection, not an outcome finding.</w:t>
      </w:r>
    </w:p>
    <w:p>
      <w:pPr>
        <w:pStyle w:val="SourceNote"/>
      </w:pPr>
      <w:r>
        <w:rPr>
          <w:b/>
        </w:rPr>
        <w:t>Available abstract (not full text):</w:t>
      </w:r>
      <w:r>
        <w:t xml:space="preserve"> The COVID-19 pandemic and the measures to face it have placed children and their caregivers in front of many challenges that could represent sources of stress. This work aims to explore the point of view of children through drawing, as a spontaneous means of expression, relating it to parents' perceptions of children's difficulties, strengths, and mentalization skills. The sample consists of 18 children (mean age = 8.22, SD = 1.79). Parents were asked to complete: a socio-demographic questionnaire with information on the impact of COVID-19 on the family, the Strengths and Difficulties Questionnaire, and the Everyday Mindreading Scale. Children were asked to draw three moments: "Before" the pandemic, "During" the lockdown, and "After," when the COVID-19 will be passed. The drawings were coded by constructing a content and expressive analysis grid, adapting coding systems found in the literature. Data were collected at the beginning of the summer of 2020, just after the first lockdown period (from March to May 2020 in Italy). The results of the present work are in line with previous studies that reported experiences of wellbeing and tranquility of children in time spent at home with family during the pandemic. From the drawings emerges that children feel sufficiently able to master the situation, as reflected by including themselves in drawings and providing many details of the h</w:t>
      </w:r>
    </w:p>
    <w:p>
      <w:pPr/>
      <w:r>
        <w:rPr>
          <w:b/>
        </w:rPr>
        <w:t>POSSIBLE 2022:</w:t>
      </w:r>
      <w:r>
        <w:t xml:space="preserve"> Advances in COVID-19 mRNA vaccine development — https://doi.org/10.1038/s41392-022-00950-y</w:t>
      </w:r>
    </w:p>
    <w:p>
      <w:pPr/>
      <w:r>
        <w:rPr>
          <w:b/>
        </w:rPr>
        <w:t>Shared claim-specific concepts:</w:t>
      </w:r>
      <w:r>
        <w:t xml:space="preserve"> drawing, covid-19, pandemic, capacity; EU scope not established. This is a provisional connection, not an outcome finding.</w:t>
      </w:r>
    </w:p>
    <w:p>
      <w:pPr>
        <w:pStyle w:val="SourceNote"/>
      </w:pPr>
      <w:r>
        <w:rPr>
          <w:b/>
        </w:rPr>
        <w:t>Available abstract (not full text):</w:t>
      </w:r>
      <w:r>
        <w:t xml:space="preserve"> To date, the coronavirus disease 2019 (COVID-19) caused by severe acute respiratory syndrome coronavirus 2 (SARS-CoV-2) has determined 399,600,607 cases and 5,757,562 deaths worldwide. COVID-19 is a serious threat to human health globally. The World Health Organization (WHO) has declared COVID-19 pandemic a major public health emergency. Vaccination is the most effective and economical intervention for controlling the spread of epidemics, and consequently saving lives and protecting the health of the population. Various techniques have been employed in the development of COVID-19 vaccines. Among these, the COVID-19 messenger RNA (mRNA) vaccine has been drawing increasing attention owing to its great application prospects and advantages, which include short development cycle, easy industrialization, simple production process, flexibility to respond to new variants, and the capacity to induce better immune response. This review summarizes current knowledge on the structural characteristics, antigen design strategies, delivery systems, industrialization potential, quality control, latest clinical trials and real-world data of COVID-19 mRNA vaccines as well as mRNA technology. Current challenges and future directions in the development of preventive mRNA vaccines for major infectious diseases are also discussed.</w:t>
      </w:r>
    </w:p>
    <w:p>
      <w:pPr/>
      <w:r>
        <w:rPr>
          <w:b/>
        </w:rPr>
        <w:t>POSSIBLE 2021:</w:t>
      </w:r>
      <w:r>
        <w:t xml:space="preserve"> Understanding the effectiveness of government interventions against the resurgence of COVID-19 in Europe — https://doi.org/10.1038/s41467-021-26013-4</w:t>
      </w:r>
    </w:p>
    <w:p>
      <w:pPr/>
      <w:r>
        <w:rPr>
          <w:b/>
        </w:rPr>
        <w:t>Shared claim-specific concepts:</w:t>
      </w:r>
      <w:r>
        <w:t xml:space="preserve"> covid-19, pandemic, modelling; EU scope visible. This is a provisional connection, not an outcome finding.</w:t>
      </w:r>
    </w:p>
    <w:p>
      <w:pPr>
        <w:pStyle w:val="SourceNote"/>
      </w:pPr>
      <w:r>
        <w:rPr>
          <w:b/>
        </w:rPr>
        <w:t>Available abstract (not full text):</w:t>
      </w:r>
      <w:r>
        <w:t xml:space="preserve"> Abstract As European governments face resurging waves of COVID-19, non-pharmaceutical interventions (NPIs) continue to be the primary tool for infection control. However, updated estimates of their relative effectiveness have been absent for Europe’s second wave, largely due to a lack of collated data that considers the increased subnational variation and diversity of NPIs. We collect the largest dataset of NPI implementation dates in Europe, spanning 114 subnational areas in 7 countries, with a systematic categorisation of interventions tailored to the second wave. Using a hierarchical Bayesian transmission model, we estimate the effectiveness of 17 NPIs from local case and death data. We manually validate the data, address limitations in modelling from previous studies, and extensively test the robustness of our estimates. The combined effect of all NPIs was smaller relative to estimates from the first half of 2020, indicating the strong influence of safety measures and individual protective behaviours--such as distancing--that persisted after the first wave. Closing specific businesses was highly effective. Gathering restrictions were highly effective but only for the strictest limits. We find smaller effects for closing educational institutions compared to the first wave, suggesting that safer operation of schools was possible with a set of stringent safety measures includi</w:t>
      </w:r>
    </w:p>
    <w:p>
      <w:pPr/>
      <w:r>
        <w:rPr>
          <w:b/>
        </w:rPr>
        <w:t>POSSIBLE 2021:</w:t>
      </w:r>
      <w:r>
        <w:t xml:space="preserve"> War Metaphors in Political Communication on Covid-19 — https://doi.org/10.3389/fsoc.2020.583680</w:t>
      </w:r>
    </w:p>
    <w:p>
      <w:pPr/>
      <w:r>
        <w:rPr>
          <w:b/>
        </w:rPr>
        <w:t>Shared claim-specific concepts:</w:t>
      </w:r>
      <w:r>
        <w:t xml:space="preserve"> finally, drawing, covid-19, pandemic, discuss, expand; EU scope not established. This is a provisional connection, not an outcome finding.</w:t>
      </w:r>
    </w:p>
    <w:p>
      <w:pPr>
        <w:pStyle w:val="SourceNote"/>
      </w:pPr>
      <w:r>
        <w:rPr>
          <w:b/>
        </w:rPr>
        <w:t>Available abstract (not full text):</w:t>
      </w:r>
      <w:r>
        <w:t xml:space="preserve"> Although militaristic metaphors have been pervasive during health crisis in political and science communication, few works have examined how these linguistic devices may influence crisis communication. Drawing on critical discourse analysis (CDA) and on crisis communication literature, I show how political representatives have used the war metaphor for very different purposes in terms of crisis communication and management of the current Covid-19 pandemic. I suggest that these findings challenge previous criticisms of the war metaphor as inherently negative and damaging. Finally, I discuss possibilities of using CDA, and specifically, metaphor analysis to inform and expand crisis communication.</w:t>
      </w:r>
    </w:p>
    <w:p>
      <w:pPr/>
      <w:r>
        <w:rPr>
          <w:b/>
        </w:rPr>
        <w:t>POSSIBLE 2021:</w:t>
      </w:r>
      <w:r>
        <w:t xml:space="preserve"> Regulating the health workforce in Europe: implications of the COVID-19 pandemic — https://doi.org/10.1186/s12960-021-00624-w</w:t>
      </w:r>
    </w:p>
    <w:p>
      <w:pPr/>
      <w:r>
        <w:rPr>
          <w:b/>
        </w:rPr>
        <w:t>Shared claim-specific concepts:</w:t>
      </w:r>
      <w:r>
        <w:t xml:space="preserve"> drawing, covid-19, pandemic, need, zone, across; EU scope visible. This is a provisional connection, not an outcome finding.</w:t>
      </w:r>
    </w:p>
    <w:p>
      <w:pPr>
        <w:pStyle w:val="SourceNote"/>
      </w:pPr>
      <w:r>
        <w:rPr>
          <w:b/>
        </w:rPr>
        <w:t>Available abstract (not full text):</w:t>
      </w:r>
      <w:r>
        <w:t xml:space="preserve"> In the European free movement zone, various mechanisms aim to harmonize how the competence of physicians and nurses is developed and maintained to facilitate the cross-country movement of professionals. This commentary addresses these mechanisms and discusses their implications during the COVID-19 pandemic, drawing lessons for future policy. It argues that EU-wide regulatory mechanisms should be reviewed to ensure that they provide an adequate foundation for determining competence and enabling health workforce flexibility during health system shocks. Currently, EU regulation focuses on the automatic recognition of the primary education of physicians and nurses. New, flexible mechanisms should be developed for specializations, such as intensive or emergency care. Documenting new skills, such as the ones acquired during rapid training in the pandemic, in a manner that is comparable across countries should be explored, both for usual practice and in light of outbreak preparedness. Initiatives to strengthen continuing education and professional development should be supported further. Funding under the EU4Health programme should be dedicated to this endeavour, along with revisiting the scope of necessary skills following the experience of COVID-19. Mechanisms for cross-country sharing of information on violations of good practice standards should be maintained and strengthened to e</w:t>
      </w:r>
    </w:p>
    <w:p>
      <w:pPr/>
      <w:r>
        <w:rPr>
          <w:b/>
        </w:rPr>
        <w:t>POSSIBLE 2021:</w:t>
      </w:r>
      <w:r>
        <w:t xml:space="preserve"> COVID-19 Pandemic and Drawing Lessons for Future Crises to Indian Federalism — https://openalex.org/W7219388642</w:t>
      </w:r>
    </w:p>
    <w:p>
      <w:pPr/>
      <w:r>
        <w:rPr>
          <w:b/>
        </w:rPr>
        <w:t>Shared claim-specific concepts:</w:t>
      </w:r>
      <w:r>
        <w:t xml:space="preserve"> drawing, covid-19, pandemic; EU scope not established. This is a provisional connection, not an outcome finding.</w:t>
      </w:r>
    </w:p>
    <w:p>
      <w:pPr>
        <w:pStyle w:val="SourceNote"/>
      </w:pPr>
      <w:r>
        <w:rPr>
          <w:b/>
        </w:rPr>
        <w:t>Available abstract (not full text):</w:t>
      </w:r>
      <w:r>
        <w:t xml:space="preserve"> In the past year-and-a-half, the COVID-19 pandemic has laid bare the strengths and weaknesses of all forms of political systems and structures: democratic and authoritarian; unitary and federal; and every model in-between. This paper focuses on federalism. Given the diffused and decentralised overall pathway followed by a federal structure of government, there were legitimate concerns over how countries with such a system could handle a rapidly spreading pandemic of a highly infectious disease. It acquired a serious tone when the pandemic began exposing the vulnerabilities of the United States (US), a federal country that has what is generally presumed to be an advanced healthcare system that will be able to withstand such an emergency. Analysts raised concerns about what they said were the inherent disadvantages of a federal political system against a pandemic that requires rapid and unitary response.Indeed, political analysts in the US started calling on the government to abandon the rigid dual federal system where health is an exclusive domain of states and local governments. Observers contrasted the US’s early experience against China’s swift response in Wuhan, as proof of the efficacy of a centralised response.</w:t>
      </w:r>
    </w:p>
    <w:p>
      <w:pPr>
        <w:pStyle w:val="Heading2"/>
      </w:pPr>
      <w:r>
        <w:t>623.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2023:</w:t>
      </w:r>
      <w:r>
        <w:t xml:space="preserve"> The Energy Price Shock—Impact, Policy Responses, and Reform Options — https://doi.org/10.5089/9798400246135.018</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The surge in energy prices due to Russia’s war in Ukraine inflicted a sharp terms of trade shock on the UK economy. While energy prices have since declined, the future energy price path remains uncertain, with futures-implied prices substantially above their levels prior to October 2021, when Russian natural gas imports to Europe began to be curtailed. In this context, section I analyzes the impact of the energy price shock on UK households and firms; section II describes the energy support measures introduced by the UK government; and section III provides staff’s assessment of these measures and sets out some options to optimize the policy response to a possible resurgence in energy prices. These include structural measures to ensure energy security and raise resilience to spikes in energy prices, and options to refine, especially the targeting of, support measures that could be introduced in response.</w:t>
      </w:r>
    </w:p>
    <w:p>
      <w:pPr/>
      <w:r>
        <w:rPr>
          <w:b/>
        </w:rPr>
        <w:t>POSSIBLE 2022:</w:t>
      </w:r>
      <w:r>
        <w:t xml:space="preserve"> European Union criminal procedure policy as part of the European Union's policy in the field of the fight against criminality — https://doi.org/10.24144/2788-6018.2021.03.35</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This article is devoted to finding the term that would be optimal for naming the procedural part of the European Union's policy in the field of the fight against criminality. The terms «EU policy in the field of the fight against criminality», «EU criminal policy», «EU law enforcement policy» are used to refer to a separate type of European Union policy. Adhering to the position of giving preference to the use of the term «policy in the field of the fight against criminality», it is seen that such a construction can be applied in the context of the European Union and, as we see, is in demand. However, it should be recognized that a significant number of European scholars use the term «criminal policy of the European Union». Thus, it is proposed to use the term «European Union policy in the field of the fight against criminality» as a generalized concept that better reflects its non-level, but namely complex structure and relatively independent but interconnected basic elements, parts, first of all, EU criminal policy and EU criminal procedure policy. Of course, we can talk about other parts of the European Union's policy in the field of the fight against criminality, in particular, criminology, but the primary interest in the study is its procedural component. There are various terminologies in the literature that define it. For example, the following options can be identified:</w:t>
      </w:r>
    </w:p>
    <w:p>
      <w:pPr/>
      <w:r>
        <w:rPr>
          <w:b/>
        </w:rPr>
        <w:t>POSSIBLE 2022:</w:t>
      </w:r>
      <w:r>
        <w:t xml:space="preserve"> Ukraine’s Balance Policy between European Union and Russia — https://doi.org/10.18276/ap.2022.54-07</w:t>
      </w:r>
    </w:p>
    <w:p>
      <w:pPr/>
      <w:r>
        <w:rPr>
          <w:b/>
        </w:rPr>
        <w:t>Shared claim-specific concepts:</w:t>
      </w:r>
      <w:r>
        <w:t xml:space="preserve"> terms, options, participation; EU scope visible. This is a provisional connection, not an outcome finding.</w:t>
      </w:r>
    </w:p>
    <w:p>
      <w:pPr>
        <w:pStyle w:val="SourceNote"/>
      </w:pPr>
      <w:r>
        <w:rPr>
          <w:b/>
        </w:rPr>
        <w:t>Available abstract (not full text):</w:t>
      </w:r>
      <w:r>
        <w:t xml:space="preserve"> Having declared independence in 1991, after the dissolution of the Soviet Union, Ukraine gained strategic importance in terms of its geographical location. It is regarded a “buffer zone” for both the European Union (EU) and Russia. There is a division within the country into the pro-Western and pro-Russian options. Ukraine’s aspiration for the UE membership has faced Russia’s objection since time immemorial. In the past, Ukraine preferred to pursue a balance policy between Russia and the EU. Ukraine’s attempt to approach the West with the Orange Revolution, its inclusion in the European Neighbourhood Policy, its participation in the Eastern Partnership program were perceived as a threat by Russia. The Ukrainian crisis, in particular, brought these two countries face to face. This crisis also deeply affected both the EU’s energy policy and its relations with Russia. After all the developments that followed, the issue of Ukraine’s membership in the EU remains uncertain.</w:t>
      </w:r>
    </w:p>
    <w:p>
      <w:pPr/>
      <w:r>
        <w:rPr>
          <w:b/>
        </w:rPr>
        <w:t>POSSIBLE 2022:</w:t>
      </w:r>
      <w:r>
        <w:t xml:space="preserve"> Governing Europe's forests for multiple ecosystem services: Opportunities, challenges, and policy options — https://doi.org/10.1016/j.forpol.2022.102849</w:t>
      </w:r>
    </w:p>
    <w:p>
      <w:pPr/>
      <w:r>
        <w:rPr>
          <w:b/>
        </w:rPr>
        <w:t>Shared claim-specific concepts:</w:t>
      </w:r>
      <w:r>
        <w:t xml:space="preserve"> options, participation, among, integration; EU scope visible. This is a provisional connection, not an outcome finding.</w:t>
      </w:r>
    </w:p>
    <w:p>
      <w:pPr>
        <w:pStyle w:val="SourceNote"/>
      </w:pPr>
      <w:r>
        <w:rPr>
          <w:b/>
        </w:rPr>
        <w:t>Available abstract (not full text):</w:t>
      </w:r>
      <w:r>
        <w:t xml:space="preserve"> Europe's forest provide multiple ecosystem services for societies, ranging from provisioning (e.g. wood) and regulating (e.g. climate mitigation and biodiversity) to cultural (e.g. recreation) services. In this paper, we assess the state and prospects of forest ecosystem services provision in Europe, introducing new data from the European collaborative research projects SINCERE, NOBEL and CLEARING HOUSE, and combining it with findings from the literature. We identify six challenges (1 an insufficient alignment of FES supply and demand, 2 lacking policy integration, 3 ambiguous and conflicting regulatory frameworks, 4 a lack of precise information on FES demand and provision, and innovations to align both, 5 an increasing pressure to adapt to climate change, and 6 a striking diversity constraining European level policy solutions) and three opportunities (1 increasingly heterogenous forest owner objectives potentially matching pluralistic societal demands, 2 diversifying forest enterprises levering innovations in regulating and cultural ecosystem services provision, and 3 the potential of forests to mitigate climate change). Subsequently, we introduce four distinct but complimentary policy pathways for European forest policy to better align forest ecosystem services provision and demand: 1 Better monitoring of FES supply and demand, 2 Enhanced policy integration, 3 Payments for e</w:t>
      </w:r>
    </w:p>
    <w:p>
      <w:pPr/>
      <w:r>
        <w:rPr>
          <w:b/>
        </w:rPr>
        <w:t>POSSIBLE 2021:</w:t>
      </w:r>
      <w:r>
        <w:t xml:space="preserve"> Future options for organic farming policy support in Europe — https://openalex.org/W3200370314</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Policy support has been very important for the development of organic farming in Europe since the 1990s. Measures include regulations defining organic in the marketplace, support payments for organic conversion and maintenance, and action plans aimed at integrating market and rural development support. Such support has been justified in terms of the environmental and other societal benefits delivered, as well as the economic benefits of the market for organic food. While the evidence for public benefits from organic farming is clear and increasing, the mechanisms for rewarding these benefits have been focused, as other agri-environment measures, on income foregone and costs incurred. With the introduction of a new CAP, involving Member State Strategic Plans and Ecoschemes, the focus of policy is shifting to results. This paper explores the implications of the for future organic farming support, including how public benefits from complex, multi-functional systems can be identified, quantified and valued at an affordable cost.</w:t>
      </w:r>
    </w:p>
    <w:p>
      <w:pPr>
        <w:pStyle w:val="Heading2"/>
      </w:pPr>
      <w:r>
        <w:t>624.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r>
        <w:rPr>
          <w:b/>
        </w:rPr>
        <w:t>POSSIBLE 2023:</w:t>
      </w:r>
      <w:r>
        <w:t xml:space="preserve"> THE EUROPEAN UNION: THE HISTORY OF ESTABLISHMENT AND SIGNIFICANCE FOR UKRAINE — https://doi.org/10.30970/vla.2023.76.015</w:t>
      </w:r>
    </w:p>
    <w:p>
      <w:pPr/>
      <w:r>
        <w:rPr>
          <w:b/>
        </w:rPr>
        <w:t>Shared claim-specific concepts:</w:t>
      </w:r>
      <w:r>
        <w:t xml:space="preserve"> establishment, powers, process, role, they, played; EU scope visible. This is a provisional connection, not an outcome finding.</w:t>
      </w:r>
    </w:p>
    <w:p>
      <w:pPr>
        <w:pStyle w:val="SourceNote"/>
      </w:pPr>
      <w:r>
        <w:rPr>
          <w:b/>
        </w:rPr>
        <w:t>Available abstract (not full text):</w:t>
      </w:r>
      <w:r>
        <w:t xml:space="preserve"> The article reveals the prerequisites for the formation and development of European integration, reveals the processes of creating the European Union as a new form of European integration, and analyzes the achievements of Ukraine in European integration processes. It is noted that the idea of uniting the peoples and states of Europe has a long history. In various historical periods, European rulers and politicians sought to implement the idea of European unification. The idea of European unity was developed and defended in their writings by philosophers, scientists, religious figures, etc. This idea is based on the principles of territorial and civilizational kinship and unity of Europeans and runs through the entire history of European nations. The formation and development of European integration institutions was the result of the consistent development of the unification process of the countries of Western Europe, which went through several stages in their development. Integration involved an active search for ways and means of political, legal, economic (and in some cases, social and cultural) unification of European states with the aim of establishing their close, first of all, economic cooperation. An important role in integration processes was and continues to be played by the economic basis of the development of states. European integration is based on economic integrat</w:t>
      </w:r>
    </w:p>
    <w:p>
      <w:pPr/>
      <w:r>
        <w:rPr>
          <w:b/>
        </w:rPr>
        <w:t>POSSIBLE 2022:</w:t>
      </w:r>
      <w:r>
        <w:t xml:space="preserve"> The relationship between Willy Brandt and the Norwegian Labor Party, and the process of change and establishment of Brandt’s thoughts seen from the publication of The Purpose of War of Great Powers and a New Europe — https://doi.org/10.17995/kjgs.2022.2.49.93</w:t>
      </w:r>
    </w:p>
    <w:p>
      <w:pPr/>
      <w:r>
        <w:rPr>
          <w:b/>
        </w:rPr>
        <w:t>Shared claim-specific concepts:</w:t>
      </w:r>
      <w:r>
        <w:t xml:space="preserve"> establishment, powers, relationship, process; EU scope visible. This is a provisional connection, not an outcome finding.</w:t>
      </w:r>
    </w:p>
    <w:p>
      <w:pPr>
        <w:pStyle w:val="SourceNote"/>
      </w:pPr>
      <w:r>
        <w:rPr>
          <w:b/>
        </w:rPr>
        <w:t>Available abstract (not full text):</w:t>
      </w:r>
      <w:r>
        <w:t xml:space="preserve"> 노르웨이 노동당은 브란트의 삶과 사상의 궤적에 큰 영향을 끼쳤다. 특히, 브란트가 사회주의, 자유, 민주주의, 유럽연방주의 사상을 정립해 가는 데 있어서 많은 자극과 영감을 주었다. 노르웨이 망명기간 동안 브란트는 그 곳 노동당의 도움을 많이 받았다. 그러면서 노르웨이 노동당의 노선과 실체에 대해 많은 것을 새롭게 느끼고 깨닫게 되었다. 그리하여 이 시기에 대한 연구는 청년 브란트의 사상과 삶, 국제 네트워크를 이해하는데 매우 유익하다. 특히, 코민테른과 소련에 대한 노르웨이 노동당과 빌리 브란트의 이해와 반응의 유사성이 매우 흥미롭다. 이 유사성들이 상호 관계에 크게 작용했음은 매우 주목할 만한 내용이다. 이 과정에서 브란트는 고향 뤼벡 시절에서와는 다르게 자유와 민주주의 그리고 유럽연방주의에 대한 개념을 더욱 깊게 하고 사회주의와의 관계를 체계화하였다. 이러한 과정과 결과들 이 『강대국의 전쟁목적과 새로운 유럽』 책 속에 녹아들어 갔다. 이 책을 통해 노르웨이 노동당과 빌리 브란트의 관계 그리고 그의 활동은 더욱 활 성화 될 것이었다. 그러나 나치 독일의 노르웨이 점령으로 그렇게 되지 못 하고 험난한 운명을 맞이했다.</w:t>
      </w:r>
    </w:p>
    <w:p>
      <w:pPr/>
      <w:r>
        <w:rPr>
          <w:b/>
        </w:rPr>
        <w:t>POSSIBLE 2022:</w:t>
      </w:r>
      <w:r>
        <w:t xml:space="preserve"> The Delegation of Powers to EU Agencies After the Financial Crisis — https://doi.org/10.15166/2499-8249/535</w:t>
      </w:r>
    </w:p>
    <w:p>
      <w:pPr/>
      <w:r>
        <w:rPr>
          <w:b/>
        </w:rPr>
        <w:t>Shared claim-specific concepts:</w:t>
      </w:r>
      <w:r>
        <w:t xml:space="preserve"> establishment, powers, role, they; EU scope visible. This is a provisional connection, not an outcome finding.</w:t>
      </w:r>
    </w:p>
    <w:p>
      <w:pPr>
        <w:pStyle w:val="SourceNote"/>
      </w:pPr>
      <w:r>
        <w:rPr>
          <w:b/>
        </w:rPr>
        <w:t>Available abstract (not full text):</w:t>
      </w:r>
      <w:r>
        <w:t xml:space="preserve"> The financial crisis has set new challenges for European integration, including the revision of priorities, principles and mechanisms of micro-prudential supervision of financial markets. Amongst the significant institutional reforms, the intensification of controls on financial markets has been pursued through the establishment of the European Supervisory Authorities in the financial markets (ESAs). This Article aims to analyse the role that these Authorities have been playing in shaping the EU legal order after the financial crisis. As a result of the EMU-related regulation aimed at enhancing EU financial stability after the crisis, the ESAs institutionalise administrative cooperation in micro-prudential supervision. The combination of agencification and crisis management is not new to the development of European integration nor specific to the case of financial markets. Nevertheless, the ESAs represent a peculiar regulatory experience, which share many characteristics of EU agencies, yet move towards an embryonic model of independent regulators. Compared to other EU agencies, in fact, they enjoy wider powers and a much more autonomous status from the Commission. They have acquired highly relevant competences that enhance their role in the internal market regulation. In addition, the CJEU engaged in a partial revision of the interpretative boundaries of the Meroni doctrine co</w:t>
      </w:r>
    </w:p>
    <w:p>
      <w:pPr/>
      <w:r>
        <w:rPr>
          <w:b/>
        </w:rPr>
        <w:t>POSSIBLE 2021:</w:t>
      </w:r>
      <w:r>
        <w:t xml:space="preserve"> The Emergence of New States in Eastern Europe in 1918—Lessons for All of Europe — https://doi.org/10.2478/bjes-2021-0001</w:t>
      </w:r>
    </w:p>
    <w:p>
      <w:pPr/>
      <w:r>
        <w:rPr>
          <w:b/>
        </w:rPr>
        <w:t>Shared claim-specific concepts:</w:t>
      </w:r>
      <w:r>
        <w:t xml:space="preserve"> establishment, powers, well, efforts, crucial, process; EU scope visible. This is a provisional connection, not an outcome finding.</w:t>
      </w:r>
    </w:p>
    <w:p>
      <w:pPr>
        <w:pStyle w:val="SourceNote"/>
      </w:pPr>
      <w:r>
        <w:rPr>
          <w:b/>
        </w:rPr>
        <w:t>Available abstract (not full text):</w:t>
      </w:r>
      <w:r>
        <w:t xml:space="preserve"> Abstract The year of 1918 was a crucial point in the history of Europe. Its importance does not only stem from the end of World War I, but also from the establishment of new states. Eastern Europe was particularly an arena where many new states emerged after the dissolution of tsarist Russia. The abovementioned process was correlated with the outcome of World War I (the defeat of the Central Powers on the Western Front and their victory on the Eastern Front against the tsarist Russia resulting in imposing their protectorate over Eastern Europe) but simultaneously it was influenced by the 1917 Bolshevik Revolution originating from a structural crisis of Russia. The legacy of nation-building processes, taking place in the period of 1917–1921 in the European part of the tsarist Russia— even when some of the states did not manage to survive— occupies a key role in the historical memories of those countries. The importance of this legacy originates from the fact that these states often constituted the most progressive nation-building efforts in the world. The wider context of these developments and the important interlinkages existing between them are very often unfamiliar to many Europeans today. Despite that, the state-building attempts, undertaken in Eastern Europe between 1917 and 1921, had a huge impact on the trajectory of European history. Contextualising this particular acad</w:t>
      </w:r>
    </w:p>
    <w:p>
      <w:pPr/>
      <w:r>
        <w:rPr>
          <w:b/>
        </w:rPr>
        <w:t>POSSIBLE 2021:</w:t>
      </w:r>
      <w:r>
        <w:t xml:space="preserve"> Philanthrocapitalism and the Separation of Powers — https://doi.org/10.1146/annurev-lawsocsci-120220-074323</w:t>
      </w:r>
    </w:p>
    <w:p>
      <w:pPr/>
      <w:r>
        <w:rPr>
          <w:b/>
        </w:rPr>
        <w:t>Shared claim-specific concepts:</w:t>
      </w:r>
      <w:r>
        <w:t xml:space="preserve"> powers, major; EU scope visible. This is a provisional connection, not an outcome finding.</w:t>
      </w:r>
    </w:p>
    <w:p>
      <w:pPr>
        <w:pStyle w:val="SourceNote"/>
      </w:pPr>
      <w:r>
        <w:rPr>
          <w:b/>
        </w:rPr>
        <w:t>Available abstract (not full text):</w:t>
      </w:r>
      <w:r>
        <w:t xml:space="preserve"> This article discusses the rise of an approach to philanthropic giving known as philanthrocapitalism. I relate it to a new paradigm in management theory that has claimed that private profit making naturally aligns with improved public welfare. I show how growing belief in the inherent “compatibility” of corporate missions and public benefits has led to new laws and contributed to major shifts in how giving practices are structured and legitimated. The original point made in this article is that the philanthrocapitalist turn is more than simply an organizational change in the structure of different philanthropic institutions. Rather, the belief that profit-making and public welfare are naturally aligned also has significant, undertheorized implications for different principles in European-American legal traditions. The ascendancy of the philanthrocapitalist approach represents a subtle but profound displacement of belief in the need for democratic checks and balances on the use of public funds for private enrichment.</w:t>
      </w:r>
    </w:p>
    <w:p>
      <w:pPr/>
      <w:r>
        <w:rPr>
          <w:b/>
        </w:rPr>
        <w:t>POSSIBLE 2021:</w:t>
      </w:r>
      <w:r>
        <w:t xml:space="preserve"> The EU’s ‘watchdogs’: assessing the powers of the European Ombudsman and European Court of Auditors — https://openalex.org/W3168197065</w:t>
      </w:r>
    </w:p>
    <w:p>
      <w:pPr/>
      <w:r>
        <w:rPr>
          <w:b/>
        </w:rPr>
        <w:t>Shared claim-specific concepts:</w:t>
      </w:r>
      <w:r>
        <w:t xml:space="preserve"> powers, assessing, role, they, play; EU scope visible. This is a provisional connection, not an outcome finding.</w:t>
      </w:r>
    </w:p>
    <w:p>
      <w:pPr>
        <w:pStyle w:val="SourceNote"/>
      </w:pPr>
      <w:r>
        <w:rPr>
          <w:b/>
        </w:rPr>
        <w:t>Available abstract (not full text):</w:t>
      </w:r>
      <w:r>
        <w:t xml:space="preserve"> The European Ombudsman and European Court of Auditors both play an important role in guaranteeing the EU’s transparency, accountability and integrity. Anchrit Wille and Mark Bovens argue that the key to understanding the impact of the two institutions lies in the use of their powers, rather than the formal remits they have been assigned.</w:t>
      </w:r>
    </w:p>
    <w:p>
      <w:pPr/>
      <w:r>
        <w:rPr>
          <w:b/>
        </w:rPr>
        <w:t>POSSIBLE 2021:</w:t>
      </w:r>
      <w:r>
        <w:t xml:space="preserve"> EU Operational Powers and Legal Protection: A Legal Theory Perspective on the Operational Powers of the European Border and Coast Guard — https://doi.org/10.1017/glj.2021.29</w:t>
      </w:r>
    </w:p>
    <w:p>
      <w:pPr/>
      <w:r>
        <w:rPr>
          <w:b/>
        </w:rPr>
        <w:t>Shared claim-specific concepts:</w:t>
      </w:r>
      <w:r>
        <w:t xml:space="preserve"> powers, process, they; EU scope visible. This is a provisional connection, not an outcome finding.</w:t>
      </w:r>
    </w:p>
    <w:p>
      <w:pPr>
        <w:pStyle w:val="SourceNote"/>
      </w:pPr>
      <w:r>
        <w:rPr>
          <w:b/>
        </w:rPr>
        <w:t>Available abstract (not full text):</w:t>
      </w:r>
      <w:r>
        <w:t xml:space="preserve"> Abstract For the first time in its history, the EU is in the process of acquiring significant and genuine permanent operational powers. A new Regulation on the European Border and Coast Guard provides Frontex with a permanent corps of 10,000 border guards—3,000 of which will be EU agents—its own equipment, and its own competences to intervene along the EU borders and beyond. The operational powers will allow the EU to directly and physically intervene in tangible reality. This Article argues that the conferral of operational powers on the EU poses a risk to individual legal protection. This is because once authorities have acquired operational powers of a certain extent and quality, they can afford to act against or without the law by simply overpowering or eluding the legal mechanisms that normally constrain the exercise of public power. So far, Members of the European Parliament and academics critical of Frontex and the new Regulation have overlooked this issue and concentrated exclusively on how to legally constrain the exercise of operational powers. This Article addresses this blind spot by examining whether and how public law should place legal constraints not only on the exercise but also on the build-up of operational powers.</w:t>
      </w:r>
    </w:p>
    <w:p>
      <w:pPr>
        <w:pStyle w:val="Heading2"/>
      </w:pPr>
      <w:r>
        <w:t>625.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2024:</w:t>
      </w:r>
      <w:r>
        <w:t xml:space="preserve"> “EUROPE”: A Patriotic Ballet for the First World War — https://doi.org/10.1080/19475020.2024.2352853</w:t>
      </w:r>
    </w:p>
    <w:p>
      <w:pPr/>
      <w:r>
        <w:rPr>
          <w:b/>
        </w:rPr>
        <w:t>Shared claim-specific concepts:</w:t>
      </w:r>
      <w:r>
        <w:t xml:space="preserve"> show, first, time, associated, however, within; EU scope visible. This is a provisional connection, not an outcome finding.</w:t>
      </w:r>
    </w:p>
    <w:p>
      <w:pPr>
        <w:pStyle w:val="SourceNote"/>
      </w:pPr>
      <w:r>
        <w:rPr>
          <w:b/>
        </w:rPr>
        <w:t>Available abstract (not full text):</w:t>
      </w:r>
      <w:r>
        <w:t xml:space="preserve"> From September 1914 to January 1915, the Empire Theatre in London staged what was billed as a patriotic ballet called Europe. In addition to its lengthy run in the capital, a second version of the show toured the country, appearing at theatres in Manchester, Newcastle, Glasgow, Sheffield, Liverpool, Bradford, Nottingham and Portsmouth. The show received unanimous praise in both national and regional newspapers. However, despite its reach, popularity and impact, Europe has been mostly forgotten. Since it was a dance-based performance, no script was submitted to the Lord Chamberlain’s office. Although the piece did include music, it produced no hit songs captured on gramophone records or sheet music. Moreover, once the reality of the First World War began to hit home, the manner in which the show trivialised and glorified the conflict quickly fell out of step with public opinion. Therefore, when Europe’s run ended, it was permanently shelved and assigned to the passing of time. Nevertheless, the show left an archival imprint scattered through newspapers, theatre programmes, magazines and autobiographies. The following article draws these fragments together to form a blueprint of this hitherto discarded piece of popular culture. This reconstruction reveals a strikingly complex and rich piece of theatre, both in terms of its technical construction and how cultural conventions were </w:t>
      </w:r>
    </w:p>
    <w:p>
      <w:pPr/>
      <w:r>
        <w:rPr>
          <w:b/>
        </w:rPr>
        <w:t>POSSIBLE 2023:</w:t>
      </w:r>
      <w:r>
        <w:t xml:space="preserve"> “The first difficulty is time”: The impact of gestational age limits on reproductive health and justice in the context of cross-border travel for abortion care in Europe — https://doi.org/10.1016/j.socscimed.2023.115760</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Drawing on qualitative and quantitative data collected during a 5-year multi-disciplinary European research project, in this article we show how restrictions on access to legal abortion, and particularly gestational age (GA) limits at the end of the first trimester of pregnancy, negatively affect women and pregnant people living in European countries where abortion is legal on request or on broad grounds. First, we examine why most European legislations establish GA limits, and illustrate how abortion is framed in national laws and in the current national and international legal and political debates on abortion rights. We then show, based on research data we collected during our 5-year project and contextualized with existing data and statistics, how these restrictions force thousands of people to travel across borders from European countries where abortion is legal, delaying access to care, and increasing pregnant people's health risks. Finally, we explore, from an anthropological perspective, how pregnant people who travel across borders for abortion care conceptualize abortion access, and the relationship between the right to abortion care and the GA restrictions that limit this right. Our study participants criticize the time restrictions established by the laws in their countries of residence as failing to meet pregnant people's needs, highlight the crucial importance of </w:t>
      </w:r>
    </w:p>
    <w:p>
      <w:pPr/>
      <w:r>
        <w:rPr>
          <w:b/>
        </w:rPr>
        <w:t>POSSIBLE 2022:</w:t>
      </w:r>
      <w:r>
        <w:t xml:space="preserve"> Impact of the first wave of the COVID-19 pandemic on birth rates in Europe: a time series analysis in 24 countries — https://doi.org/10.1093/humrep/deac215</w:t>
      </w:r>
    </w:p>
    <w:p>
      <w:pPr/>
      <w:r>
        <w:rPr>
          <w:b/>
        </w:rPr>
        <w:t>Shared claim-specific concepts:</w:t>
      </w:r>
      <w:r>
        <w:t xml:space="preserve"> first, time, power, differences, over, associated; EU scope visible. This is a provisional connection, not an outcome finding.</w:t>
      </w:r>
    </w:p>
    <w:p>
      <w:pPr>
        <w:pStyle w:val="SourceNote"/>
      </w:pPr>
      <w:r>
        <w:rPr>
          <w:b/>
        </w:rPr>
        <w:t>Available abstract (not full text):</w:t>
      </w:r>
      <w:r>
        <w:t xml:space="preserve"> STUDY QUESTION: Did the first wave of the COVID-19 pandemic have an impact on monthly birth rates in Europe? SUMMARY ANSWER: Using datasets on live births per month in Europe, collected from the Human Fertility Database, we found a -14.1% decline in live births in January 2021 (i.e. 9-10 months after the epidemic peaks and first lockdowns), compared to the average number of live births in January 2018 and 2019. WHAT IS KNOWN ALREADY: Previous pandemics in the 20th and 21st centuries have been associated with a decline in birth rates 9 months after their peak, and a rebound in births over time. Lockdowns were necessary to control the first wave of the COVID-19 pandemic and may have had an impact on subsequent birth rates. STUDY DESIGN, SIZE, DURATION: Monthly time series data on live births from January 2018 to March 2021 were extracted to provide a time-series analysis of birthrates during and after the first wave of the COVID-19 pandemic in 24 European countries. PARTICIPANTS/MATERIALS, SETTING, METHODS: We conducted a random-effect generalized least squares regression to assess the seasonality of births from January 2018 to March 2021, and to identify potential differences in monthly live births after the first wave of the COVID-19 pandemic, considering the seasonality of births. To quantify these potential differences, we estimated the variation rate between the monthly live</w:t>
      </w:r>
    </w:p>
    <w:p>
      <w:pPr/>
      <w:r>
        <w:rPr>
          <w:b/>
        </w:rPr>
        <w:t>POSSIBLE 2022:</w:t>
      </w:r>
      <w:r>
        <w:t xml:space="preserve"> High-Resolution Mapping of Winter Cereals in Europe by Time Series Landsat and Sentinel Images for 2016–2020 — https://doi.org/10.3390/rs14092120</w:t>
      </w:r>
    </w:p>
    <w:p>
      <w:pPr/>
      <w:r>
        <w:rPr>
          <w:b/>
        </w:rPr>
        <w:t>Shared claim-specific concepts:</w:t>
      </w:r>
      <w:r>
        <w:t xml:space="preserve"> show, first, time, total, over, respectively; EU scope visible. This is a provisional connection, not an outcome finding.</w:t>
      </w:r>
    </w:p>
    <w:p>
      <w:pPr>
        <w:pStyle w:val="SourceNote"/>
      </w:pPr>
      <w:r>
        <w:rPr>
          <w:b/>
        </w:rPr>
        <w:t>Available abstract (not full text):</w:t>
      </w:r>
      <w:r>
        <w:t xml:space="preserve">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show, first, time, power, total, energy;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Islam and space in Europe: the politics of race, time, and secularism — https://doi.org/10.1080/01419870.2021.1918739</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This introduction to the Special Issue “Rethinking Islam and Space in Europe” advocates for an analytical turn in the study of Islam in Europe by using space as a central conceptual lens. While spatial approaches are gaining traction in the study of religion, migration, ethnicity, and race, we argue that the critical potential of spatial approaches remains largely unexplored. This paper offers a threefold contribution. First, we show how combining spatial perspectives with local histories contributes to de-exceptionalising the contemporary study of Islam in urban contexts. Second, by “localising secularism” we can uncover concrete formations of exclusion and erasure, while also providing a more refined picture of the ways in which the agency of Muslims is negotiated. Third, we demonstrate how scrutinizing the nexus of time, race and Europe reveals colonial pasts and continuities that are disrupted and transformed by the movement of bodies through public spaces.</w:t>
      </w:r>
    </w:p>
    <w:p>
      <w:pPr/>
      <w:r>
        <w:rPr>
          <w:b/>
        </w:rPr>
        <w:t>POSSIBLE 2021:</w:t>
      </w:r>
      <w:r>
        <w:t xml:space="preserve"> Depression and loneliness of older adults in Europe and Israel after the first wave of covid-19 — https://doi.org/10.1007/s10433-021-00640-8</w:t>
      </w:r>
    </w:p>
    <w:p>
      <w:pPr/>
      <w:r>
        <w:rPr>
          <w:b/>
        </w:rPr>
        <w:t>Shared claim-specific concepts:</w:t>
      </w:r>
      <w:r>
        <w:t xml:space="preserve"> show, first, time, however; EU scope visible. This is a provisional connection, not an outcome finding.</w:t>
      </w:r>
    </w:p>
    <w:p>
      <w:pPr>
        <w:pStyle w:val="SourceNote"/>
      </w:pPr>
      <w:r>
        <w:rPr>
          <w:b/>
        </w:rPr>
        <w:t>Available abstract (not full text):</w:t>
      </w:r>
      <w:r>
        <w:t xml:space="preserve"> Epidemic control measures that aim to introduce social distancing help to decelerate the spread of the COVID-19 pandemic. However, their consequences in terms of mental well-being might be negative, especially for older adults. While existing studies mainly focus on the time during the first lockdown, we look at the weeks afterward in order to measure the medium-term consequences of the first wave of the pandemic. Using data from the SHARE Corona Survey, we include retired respondents aged 60 and above from 25 European countries plus Israel. Combining SHARE data with macro-data from the Oxford COVID-19 Government Response Tracker allows us to include macro-indicators at the country level, namely the number of deaths per 100,000 and the number of days with stringent epidemic control measures, in addition to individual characteristics. The findings show that both macro-indicators are influential for increased feelings of sadness/depression, but that individual factors are crucial for explaining increased feelings of loneliness in the time after the first lockdown. Models with interaction terms reveal that the included macro-indicators have negative well-being consequences, particularly for the oldest survey participants. Additionally, the results reveal that especially those living alone had a higher risk for increased loneliness in the time after the first COVID-19 wave. Supplem</w:t>
      </w:r>
    </w:p>
    <w:p>
      <w:pPr/>
      <w:r>
        <w:rPr>
          <w:b/>
        </w:rPr>
        <w:t>POSSIBLE 2021:</w:t>
      </w:r>
      <w:r>
        <w:t xml:space="preserve"> Time–Motion Analysis by Playing Positions of Male Handball Players during the European Championship 2020 — https://doi.org/10.3390/ijerph18062787</w:t>
      </w:r>
    </w:p>
    <w:p>
      <w:pPr/>
      <w:r>
        <w:rPr>
          <w:b/>
        </w:rPr>
        <w:t>Shared claim-specific concepts:</w:t>
      </w:r>
      <w:r>
        <w:t xml:space="preserve"> first, time, system, differences, total; EU scope visible. This is a provisional connection, not an outcome finding.</w:t>
      </w:r>
    </w:p>
    <w:p>
      <w:pPr>
        <w:pStyle w:val="SourceNote"/>
      </w:pPr>
      <w:r>
        <w:rPr>
          <w:b/>
        </w:rPr>
        <w:t>Available abstract (not full text):</w:t>
      </w:r>
      <w:r>
        <w:t xml:space="preserve"> The aim of this study was to analyze time–motion characteristics of elite male handball players during the last European Championship 2020. A total of 414 players from 24 national teams were analyzed during 65 matches using a local positioning system (LPS) for the first time in a European Championship. Players (n = 1865) covered significantly (p &lt; 0.001; ES = 0.48) more total distance in offense (1217.48 ± 699.33 m) and in all locomotion categories (p &lt; 0.001) than in defense (900.96 ± 538.95 m), with a similar average total time on court (13.40 ± 8.19 min in offense and 13.27 ± 8.59 min; p &gt; 0.05). The running pace was significantly higher in offense 96.53 ± 22.57 m/min than in defense 82.72 ± 43.28 m/min (p &lt; 0.001; ES = 0.47). By playing positions, the Left Wing players covered significantly (p &lt; 0.001) higher distances (2547.14 ± 1309.52) and showed longer playing time (32.08 ± 17.01). Center Back was the playing position that showed the highest global running pace (98.34 m/min). Players with higher running pace in offense (p &lt; 0.001) were Left Backs (105.95 ± 25.20) and the Center Backs in defense (95.76 ± 48.90). There were no significant differences between winners and losers or between top ranked and lower ranked teams in terms of time played, distance covered, and running pace. Specific physical conditioning is necessary to maximize performance and minimize fatigue whe</w:t>
      </w:r>
    </w:p>
    <w:p>
      <w:pPr>
        <w:pStyle w:val="Heading2"/>
      </w:pPr>
      <w:r>
        <w:t>626.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2023:</w:t>
      </w:r>
      <w:r>
        <w:t xml:space="preserve"> Uncertainty of atmospheric scattering functions relevant for Satellite Ocean Colour Radiometry in European Seas — https://doi.org/10.1080/01431161.2023.2247531</w:t>
      </w:r>
    </w:p>
    <w:p>
      <w:pPr/>
      <w:r>
        <w:rPr>
          <w:b/>
        </w:rPr>
        <w:t>Shared claim-specific concepts:</w:t>
      </w:r>
      <w:r>
        <w:t xml:space="preserve"> data, uncertainty, three, ocean; EU scope visible. This is a provisional connection, not an outcome finding.</w:t>
      </w:r>
    </w:p>
    <w:p>
      <w:pPr>
        <w:pStyle w:val="SourceNote"/>
      </w:pPr>
      <w:r>
        <w:rPr>
          <w:b/>
        </w:rPr>
        <w:t>Available abstract (not full text):</w:t>
      </w:r>
      <w:r>
        <w:t xml:space="preserve"> Uncertainty assessment of Ocean Colour Radiometry (OCR) usually relies on the comparison between satellite marine reflectance and concurrent in situ radiometric measurements. However, when dealing with the standard atmospheric correction (AC), uncertainty of marine reflectance originates fundamentally from two sources: (i) uncertainty of the Level-1 calibration at top of the atmosphere, and (ii) uncertainty of the atmospheric scattering functions computed by the AC (atmospheric path reflectance and transmittance). The aim of this alternative work is thus to assess the uncertainty of these scattering functions, thanks to inherent optical properties of aerosols extracted from the AErosol Robotic NETwork (AERONET) and ingested in a radiative transfer code. The study is conducted for the MEdium Resolution Imaging Spectrometer (MERIS), over three AERONET sites selected in European seas (Aqua Alta Oceanographic Tower, AAOT; Gustav Dalen Tower, GDT; Lampedusa) and Lanai in the Pacific Ocean as a reference. We develop an uncertainty budget based on the statistical analysis of the errors between MERIS and AERONET-derived data. At 443 nm, uncertainty of MERIS atmospheric path reflectance due to random effects is estimated around 2%, while that of total atmospheric transmittance is between 0.6% and 1%. Propagation of these uncertainties to OCR is achieved following metrological principles</w:t>
      </w:r>
    </w:p>
    <w:p>
      <w:pPr/>
      <w:r>
        <w:rPr>
          <w:b/>
        </w:rPr>
        <w:t>POSSIBLE 2023:</w:t>
      </w:r>
      <w:r>
        <w:t xml:space="preserve"> Data for paper "Magnetohydrodynamic Equilibrium Reconstruction with Consistent Uncertainties" — https://doi.org/10.5281/zenodo.8063360</w:t>
      </w:r>
    </w:p>
    <w:p>
      <w:pPr/>
      <w:r>
        <w:rPr>
          <w:b/>
        </w:rPr>
        <w:t>Shared claim-specific concepts:</w:t>
      </w:r>
      <w:r>
        <w:t xml:space="preserve"> data, uncertainty, low; EU scope visible. This is a provisional connection, not an outcome finding.</w:t>
      </w:r>
    </w:p>
    <w:p>
      <w:pPr>
        <w:pStyle w:val="SourceNote"/>
      </w:pPr>
      <w:r>
        <w:rPr>
          <w:b/>
        </w:rPr>
        <w:t>Available abstract (not full text):</w:t>
      </w:r>
      <w:r>
        <w:t xml:space="preserve"> Data and scripts for the conference paper "Magnetohydrodynamic Equilibrium Reconstruction with Consistent Uncertainties" for the 42nd International Workshop on Bayesian Inference and Maximum Entropy Methods in Science and Engineering. Abstract: We report on progress towards a probabilistic framework for consistent uncertainty quantification and propagation in analysis and numerical modeling of physics in magnetically confined plasmas with stellarator symmetry. A frequent starting point in this process is the calculation of a magnetohydrodynamic equilibrium from plasma profiles. Equilibrium and profiles are typically reconstructed from experimental data. What sets equilibrium reconstruction apart from usual inverse problems is that profiles are given as functions over a magnetic flux derived from the magnetic field, rather than spatial coordinates. This makes it a fixed-point problem that is traditionally left inconsistent or solved iteratively in a least-squares sense[1–3]. The aim here is towards a straightforward and transparent process to quantify and propagate uncertainties and their correlations for function-valued fields and profiles in this setting. We propose a framework that utilizes a low dimensional prior distribution of equilibria, constructed with principal component analysis. A surrogate of the forward model[4] is trained to enable faster sampling. Funding: The pr</w:t>
      </w:r>
    </w:p>
    <w:p>
      <w:pPr/>
      <w:r>
        <w:rPr>
          <w:b/>
        </w:rPr>
        <w:t>POSSIBLE 2022:</w:t>
      </w:r>
      <w:r>
        <w:t xml:space="preserve"> Validation of ocean color remote sensing reflectance data: Analysis of results at European coastal sites — https://doi.org/10.1016/j.rse.2022.113153</w:t>
      </w:r>
    </w:p>
    <w:p>
      <w:pPr/>
      <w:r>
        <w:rPr>
          <w:b/>
        </w:rPr>
        <w:t>Shared claim-specific concepts:</w:t>
      </w:r>
      <w:r>
        <w:t xml:space="preserve"> data, uncertainty, high, ocean; EU scope visible. This is a provisional connection, not an outcome finding.</w:t>
      </w:r>
    </w:p>
    <w:p>
      <w:pPr>
        <w:pStyle w:val="SourceNote"/>
      </w:pPr>
      <w:r>
        <w:rPr>
          <w:b/>
        </w:rPr>
        <w:t>Available abstract (not full text):</w:t>
      </w:r>
      <w:r>
        <w:t xml:space="preserve"> From its initial measurements 20 years ago, the Ocean Color component of the Aerosol Robotic Network (AERONET-OC) has produced large validation data sets to assess the ocean color satellite data records. This study, applied to the standard atmospheric correction algorithm l2gen of the National Aeronautics and Space Administration, analyses the populations of residuals (differences between matching satellite and field data) of remote sensing reflectance RRS and, secondarily, aerosol optical thickness τa, and their validation statistics associated with data collected at seven AERONET-OC sites located in European coastal regions for six satellite missions. Validation statistics do not appear particularly sensitive to observation conditions, represented by viewing and solar geometry, aerosol optical thickness τa, Ångström exponent or water properties indexed by RRS, the most obvious exceptions being a systematic increase of the residuals for high solar zenith angles for all missions and sites. Residuals of RRS and τa tend to be inversely correlated as deviations in aerosol radiance and water-leaving radiance compensate each other. The spectra of a RRS uncertainty estimate σ decrease in a monotonous manner from 0.7 to 1.5 10−3 sr−1 for wavelengths around 412 nm to 0.1–0.35 10−3 sr−1 around 667 nm, with σ usually relatively high for waters associated with high amplitudes of RRS. At 4</w:t>
      </w:r>
    </w:p>
    <w:p>
      <w:pPr/>
      <w:r>
        <w:rPr>
          <w:b/>
        </w:rPr>
        <w:t>POSSIBLE 2022:</w:t>
      </w:r>
      <w:r>
        <w:t xml:space="preserve"> Climate Change and Renewable Energy Generation in Europe—Long-Term Impact Assessment on Solar and Wind Energy Using High-Resolution Future Climate Data and Considering Climate Uncertainties — https://doi.org/10.3390/en15010302</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Climate change can strongly affect renewable energy production. The state of the art in projecting future renewable energy generation has focused on using regional climate prediction. However, regional climate prediction is characterized by inherent uncertainty due to the complexity of climate models. This work provides a comprehensive study to quantify the impact of climate uncertainties in projecting future renewable energy potential over five climate zones of Europe. Thirteen future climate scenarios, including five global climate models (GCMs) and three representative concentration pathways (RCPs), are downscaled by the RCA4 regional climate model (RCM) over 90 years (2010–2099), divided into three 30-year periods. Solar and wind energy production is projected considering short-/long-term climate variations and uncertainties in seven representative cities (Narvik, Gothenburg, Munich, Antwerp, Salzburg, Valencia, and Athens). The results showed that the uncertainty caused by GCMs has the most substantial impact on projecting renewable energy generation. The variations due to GCM selection can become even larger than long-term climate change variations over time. Climate change uncertainties lead to over 23% and 45% projection differences for solar PV and wind energy potential, respectively. While the signal of climate change in solar radiation is weak between scenarios and o</w:t>
      </w:r>
    </w:p>
    <w:p>
      <w:pPr/>
      <w:r>
        <w:rPr>
          <w:b/>
        </w:rPr>
        <w:t>POSSIBLE 2021:</w:t>
      </w:r>
      <w:r>
        <w:t xml:space="preserve"> Competitive balance measures and the uncertainty of outcome hypothesis in European football — https://doi.org/10.1093/imaman/dpab027</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Abstract Competitive balance is an important issue in professional sport in general and European football in particular. However, competitive balance is difficult to quantify because competitiveness is multi-dimensional and particular sports are distinctive. We aim to identify the most appropriate index for a holistic view of competitive balance in European football. We use data from eight domestic European football leagues over a time span of 60 years. The indices we consider are specifically designed to capture competitiveness at different levels of performance and in this way reflect the peculiarities of European football leagues. Our findings support the longstanding uncertainty of outcome hypothesis. A bivariate index that captures competitiveness in the top K places is shown to have the highest association with attendance. A seasonal index of champions’ domination is also found to have a large association with attendance. Finally, ranking mobility is found to have a slightly higher association with attendance than seasonal performance. These results imply that sports policy makers should use these indices to assess strategic decisions that may influence competitive balance.</w:t>
      </w:r>
    </w:p>
    <w:p>
      <w:pPr/>
      <w:r>
        <w:rPr>
          <w:b/>
        </w:rPr>
        <w:t>POSSIBLE 2021:</w:t>
      </w:r>
      <w:r>
        <w:t xml:space="preserve"> Data-Uncertainty Guided Multi-Phase Learning for Semi-Supervised Object Detection — https://doi.org/10.1109/cvpr46437.2021.00454</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In this paper, we delve into semi-supervised object detection where unlabeled images are leveraged to break through the upper bound of fully-supervised object detection. Previous semi-supervised methods based on pseudo labels are severely degenerated by noise and prone to overfit to noisy labels, thus are deficient in learning different unlabeled knowledge well. To address this issue, we propose a data-uncertainty guided multi-phase learning method for semisupervised object detection. We comprehensively consider divergent types of unlabeled images according to their difficulty levels, utilize them in different phases, and ensemble models from different phases together to generate ultimate results. Image uncertainty guided easy data selection and region uncertainty guided RoI Re-weighting are involved in multi-phase learning and enable the detector to concentrate on more certain knowledge. Through extensive experiments on PASCAL VOC and MS COCO, we demonstrate that our method behaves extraordinarily compared to baseline approaches and outperforms them by a large margin, more than 3% on VOC and 2% on COCO.</w:t>
      </w:r>
    </w:p>
    <w:p>
      <w:pPr/>
      <w:r>
        <w:rPr>
          <w:b/>
        </w:rPr>
        <w:t>POSSIBLE 2021:</w:t>
      </w:r>
      <w:r>
        <w:t xml:space="preserve"> An improved TROPOMI tropospheric NO 2 research product over Europe — https://doi.org/10.5194/amt-14-7297-2021</w:t>
      </w:r>
    </w:p>
    <w:p>
      <w:pPr/>
      <w:r>
        <w:rPr>
          <w:b/>
        </w:rPr>
        <w:t>Shared claim-specific concepts:</w:t>
      </w:r>
      <w:r>
        <w:t xml:space="preserve"> data, uncertainty, three, high, low, average; EU scope visible. This is a provisional connection, not an outcome finding.</w:t>
      </w:r>
    </w:p>
    <w:p>
      <w:pPr>
        <w:pStyle w:val="SourceNote"/>
      </w:pPr>
      <w:r>
        <w:rPr>
          <w:b/>
        </w:rPr>
        <w:t>Available abstract (not full text):</w:t>
      </w:r>
      <w:r>
        <w:t xml:space="preserve"> Abstract. Launched in October 2017, the TROPOspheric Monitoring Instrument (TROPOMI) aboard Sentinel-5 Precursor provides the potential to monitor air quality over point sources across the globe with a spatial resolution as high as 5.5 km × 3.5 km (7 km × 3.5 km before 6 August 2019). The nitrogen dioxide (NO2) retrieval algorithm for the TROPOMI instrument consists of three steps: the spectral fitting of the slant column, the separation of stratospheric and tropospheric contributions, and the conversion of the slant column to a vertical column using an air mass factor (AMF) calculation. In this work, an improved tropospheric NO2 retrieval algorithm from TROPOMI measurements over Europe is presented. The stratospheric estimation is implemented using the STRatospheric Estimation Algorithm from Mainz (STREAM), which was developed as a verification algorithm for TROPOMI and does not require chemistry transport model data as input. A directionally dependent STREAM (DSTREAM) is developed to correct for the dependency of the stratospheric NO2 on the viewing geometry by up to 2 × 1014 molec/cm2. Applied to synthetic TROPOMI data, the uncertainty in the stratospheric column is 3.5 × 1014 molec/cm2 for polluted conditions. Applied to actual measurements, the smooth variation of stratospheric NO2 at low latitudes is conserved, and stronger stratospheric variation at higher latitudes are </w:t>
      </w:r>
    </w:p>
    <w:p>
      <w:pPr>
        <w:pStyle w:val="Heading2"/>
      </w:pPr>
      <w:r>
        <w:t>627.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r>
        <w:rPr>
          <w:b/>
        </w:rPr>
        <w:t>POSSIBLE 2025:</w:t>
      </w:r>
      <w:r>
        <w:t xml:space="preserve"> Do Energy Security Crises Accelerate Decarbonisation? The Case of REPowerEU — https://doi.org/10.3390/en19010200</w:t>
      </w:r>
    </w:p>
    <w:p>
      <w:pPr/>
      <w:r>
        <w:rPr>
          <w:b/>
        </w:rPr>
        <w:t>Shared claim-specific concepts:</w:t>
      </w:r>
      <w:r>
        <w:t xml:space="preserve"> decarbonisation, renewable, energy; EU scope visible. This is a provisional connection, not an outcome finding.</w:t>
      </w:r>
    </w:p>
    <w:p>
      <w:pPr>
        <w:pStyle w:val="SourceNote"/>
      </w:pPr>
      <w:r>
        <w:rPr>
          <w:b/>
        </w:rPr>
        <w:t>Available abstract (not full text):</w:t>
      </w:r>
      <w:r>
        <w:t xml:space="preserve"> Energy security crises have historically been turning points for energy systems, exposing vulnerabilities, reshaping policy priorities, and boosting technological change. However, whether—and to what extent—such crises accelerate low-carbon transitions remains contested. This paper examines the effects of the 2022 energy crisis on the European Union (EU)’s energy transition, using policy analysis combined with a quantitative assessment of renewable energy trends, forecasts, and targets. We analyse the ambition, implementation, and outcomes of the REPowerEU plan, the main response to the crisis. In an unprecedented move, REPowerEU securitised renewable energy as a means to reduce dependence on Russian energy imports. However, the plan only moderately increased earlier renewable energy targets and did not reverse declining subsidies despite more forceful implementation measures. Its effects have been uneven across technologies. Already accelerating solar may overshoot its targets, onshore wind might only slightly accelerate beyond its current steady growth, and offshore wind remains constrained by economic and institutional uncertainties. Despite increased subsidies for fossil fuels, coal continued declining, oil remained stable, and natural gas dropped. Overall, REPowerEU sustained rather than transformed the EU’s low-carbon transition, illustrating both the potential and limits</w:t>
      </w:r>
    </w:p>
    <w:p>
      <w:pPr/>
      <w:r>
        <w:rPr>
          <w:b/>
        </w:rPr>
        <w:t>POSSIBLE 2025:</w:t>
      </w:r>
      <w:r>
        <w:t xml:space="preserve"> Decarbonisation and specialisation downgrading: The double harm of GVC integration — https://doi.org/10.1016/j.worlddev.2025.107047</w:t>
      </w:r>
    </w:p>
    <w:p>
      <w:pPr/>
      <w:r>
        <w:rPr>
          <w:b/>
        </w:rPr>
        <w:t>Shared claim-specific concepts:</w:t>
      </w:r>
      <w:r>
        <w:t xml:space="preserve"> decarbonisation, findings; EU scope not established. This is a provisional connection, not an outcome finding.</w:t>
      </w:r>
    </w:p>
    <w:p>
      <w:pPr>
        <w:pStyle w:val="SourceNote"/>
      </w:pPr>
      <w:r>
        <w:rPr>
          <w:b/>
        </w:rPr>
        <w:t>Available abstract (not full text):</w:t>
      </w:r>
      <w:r>
        <w:t xml:space="preserve"> This study explores the double harm of Global Value Chain (GVC) integration by analysing the link between the international division of productive activities and emissions. Methodologically, we propose a framework to disentangle the developmental and sectoral origins of CO 2 emissions within GVCs. By providing a granular decomposition of domestic and foreign contributions, we identify foreign backward linkages as the primary carriers of CO 2 emissions along GVCs, surpassing domestic inputs in their CO 2 footprint. From a within-country perspective, we examine how a country’s internal production structure shapes CO 2 emission profiles across development stages, shedding light on the interplay between economic growth and environmental sustainability. At the cross-country level, we analyse how the changing geography of production, and the ensuing sectoral specialisation, impacts global emissions. The relocation of low-tech and natural resources-based productions to developing countries via GVCs has jointly amplified worldwide emissions and reinforced patterns of industrial and ecological downgrading for developing nations. Implications of our findings entail the coupling of environmental, trade and industrial policies.</w:t>
      </w:r>
    </w:p>
    <w:p>
      <w:pPr/>
      <w:r>
        <w:rPr>
          <w:b/>
        </w:rPr>
        <w:t>POSSIBLE 2025:</w:t>
      </w:r>
      <w:r>
        <w:t xml:space="preserve"> The de-politicisation of decarbonisation through climate rent: a Marxist critique of the EU emissions trading system — https://doi.org/10.1017/elo.2024.41</w:t>
      </w:r>
    </w:p>
    <w:p>
      <w:pPr/>
      <w:r>
        <w:rPr>
          <w:b/>
        </w:rPr>
        <w:t>Shared claim-specific concepts:</w:t>
      </w:r>
      <w:r>
        <w:t xml:space="preserve"> two, decarbonisation; EU scope visible. This is a provisional connection, not an outcome finding.</w:t>
      </w:r>
    </w:p>
    <w:p>
      <w:pPr>
        <w:pStyle w:val="SourceNote"/>
      </w:pPr>
      <w:r>
        <w:rPr>
          <w:b/>
        </w:rPr>
        <w:t>Available abstract (not full text):</w:t>
      </w:r>
      <w:r>
        <w:t xml:space="preserve"> Abstract The European Union (EU) Emissions Trading System (ETS) is the cornerstone of the EU’s attempt to decarbonise economic production in Europe. This paper questions the power and class relations that are built into the EU’s choice to address the climate crisis through the legal construction of emissions trading. Drawing on Marxist theory, the paper argues that the cost of emission allowances imposed by the ETS is a form of climate rent . In both the choice of this system and its implementation, the EU prioritises capital accumulation in order to protect the competitiveness of EU firms on the global market. This paper argues that the ETS thus jeopardises the progress of decarbonisation on two grounds. First, the EU’s implementation of the ETS has tended to increase the economic wealth of capital by redistributing economic value away from workers and towards the capitalist class. By raising the cost of essential goods, the ETS will likely damage the reputation of climate action and thus jeopardise public support for decarbonisation. Second, the ETS is part of the EU’s indirect approach to climate policy, which seeks to shape the actions of private capital in the direction of climate objectives. However, the severity of climate change calls instead for the use of law and public power to directly and consciously shape the rapid decarbonisation of society.</w:t>
      </w:r>
    </w:p>
    <w:p>
      <w:pPr/>
      <w:r>
        <w:rPr>
          <w:b/>
        </w:rPr>
        <w:t>POSSIBLE 2025:</w:t>
      </w:r>
      <w:r>
        <w:t xml:space="preserve"> Discourse vs. Decarbonisation: Tracking the Alignment Between EU Climate Rhetoric and National Energy Patterns — https://doi.org/10.3390/en18195304</w:t>
      </w:r>
    </w:p>
    <w:p>
      <w:pPr/>
      <w:r>
        <w:rPr>
          <w:b/>
        </w:rPr>
        <w:t>Shared claim-specific concepts:</w:t>
      </w:r>
      <w:r>
        <w:t xml:space="preserve"> decarbonisation, key, show, energy; EU scope visible. This is a provisional connection, not an outcome finding.</w:t>
      </w:r>
    </w:p>
    <w:p>
      <w:pPr>
        <w:pStyle w:val="SourceNote"/>
      </w:pPr>
      <w:r>
        <w:rPr>
          <w:b/>
        </w:rPr>
        <w:t>Available abstract (not full text):</w:t>
      </w:r>
      <w:r>
        <w:t xml:space="preserve"> This study examines the alignment between the European Union’s climate policy rhetoric and the actual fossil fuel consumption behaviours of its Member States. By combining long-term and short-term time-series data with machine learning classification techniques, the analysis captures dynamic national energy trends and decarbonisation signals. Key innovations include the use of slope acceleration metrics and the identification of label reversals to detect volatility, acceleration, or stagnation in transition trajectories. The results show that, while some countries such as France and Denmark demonstrate consistent structural progress, others show deceleration or reversal, particularly in the use of gas and liquid fuels. This indicates that the relationship between EU-level policy ambition and national implementation is asymmetric and conditionally aligned. This study concludes that ongoing empirical monitoring and targeted diagnostics are essential to prevent conflating symbolic commitments with material change, and provides practical insights for improving climate policy accountability and adaptability across the EU.</w:t>
      </w:r>
    </w:p>
    <w:p>
      <w:pPr/>
      <w:r>
        <w:rPr>
          <w:b/>
        </w:rPr>
        <w:t>POSSIBLE 2024:</w:t>
      </w:r>
      <w:r>
        <w:t xml:space="preserve"> Decarbonisation scenarios for the European residential sector — https://doi.org/10.1016/j.buildenv.2024.112408</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pPr/>
      <w:r>
        <w:rPr>
          <w:b/>
        </w:rPr>
        <w:t>POSSIBLE 2024:</w:t>
      </w:r>
      <w:r>
        <w:t xml:space="preserve"> Tourism territories: challenges for decarbonisation — https://doi.org/10.4067/s0718-235x2024000200192</w:t>
      </w:r>
    </w:p>
    <w:p>
      <w:pPr/>
      <w:r>
        <w:rPr>
          <w:b/>
        </w:rPr>
        <w:t>Shared claim-specific concepts:</w:t>
      </w:r>
      <w:r>
        <w:t xml:space="preserve"> decarbonisation, commitment, show, energy; EU scope not established. This is a provisional connection, not an outcome finding.</w:t>
      </w:r>
    </w:p>
    <w:p>
      <w:pPr>
        <w:pStyle w:val="SourceNote"/>
      </w:pPr>
      <w:r>
        <w:rPr>
          <w:b/>
        </w:rPr>
        <w:t>Available abstract (not full text):</w:t>
      </w:r>
      <w:r>
        <w:t xml:space="preserve"> This paper aims to analyse the energy challenges faced by tourism territories in a critical climate scenario.The methodology is based on consulting secondary information sources from government reports, regulatory frameworks, and specialized bibliography.The results show that the main challenges for decarbonization are linked to the continued growth of tourism, the institutionalization of interests, policy formulation, difficulty in introducing improvements and radical changes, a focus on technologies, and the dissemination of scientific and institutional knowledge.Thus, it is concluded that current tourism appropriation is incompatible with global climate objectives, and to overcome the six challenges outlined above, a commitment from all stakeholders is needed.In addition, each territory presents different challenges to achieve this, as these transition processes involve different factors (economic, political, social, cultural, technological, and environmental) that affect each other and involve multiple actors with different interests, logics, and power capacities.</w:t>
      </w:r>
    </w:p>
    <w:p>
      <w:pPr/>
      <w:r>
        <w:rPr>
          <w:b/>
        </w:rPr>
        <w:t>POSSIBLE 2023:</w:t>
      </w:r>
      <w:r>
        <w:t xml:space="preserve"> Decarbonisation strategies in industry: going beyond clusters — https://doi.org/10.1007/s11625-023-01313-4</w:t>
      </w:r>
    </w:p>
    <w:p>
      <w:pPr/>
      <w:r>
        <w:rPr>
          <w:b/>
        </w:rPr>
        <w:t>Shared claim-specific concepts:</w:t>
      </w:r>
      <w:r>
        <w:t xml:space="preserve"> decarbonisation, findings, energy, carbon; EU scope not established. This is a provisional connection, not an outcome finding.</w:t>
      </w:r>
    </w:p>
    <w:p>
      <w:pPr>
        <w:pStyle w:val="SourceNote"/>
      </w:pPr>
      <w:r>
        <w:rPr>
          <w:b/>
        </w:rPr>
        <w:t>Available abstract (not full text):</w:t>
      </w:r>
      <w:r>
        <w:t xml:space="preserve"> Abstract An effective and just industrial transition is necessary both to mitigate climate change and protect jobs, and as a precursor to enable other sectors to decarbonise. Activity is at an early stage and examples of successful sector-wide interventions to decarbonise industry do not yet exist. Governments of industrialised countries are beginning to develop policy and provide funding to support deployment of carbon capture and low-carbon hydrogen infrastructures into high-emitting industrial clusters, but options for sites outside of clusters, denoted here as ‘dispersed sites’, are also required. This paper takes a mixed methods approach to provide the first analysis of the issues facing dispersed industrial sites on their route to decarbonisation and to suggest solutions to the challenges they face. Using the UK as a case study, it first characterises dispersed sites in terms of location, emissions released, sectors involved, and size of companies affected. It then shows how these features mean that simply expanding the geographical scope of the present UK decarbonisation strategy, which focuses on the provision of carbon capture and low-carbon hydrogen, would face a number of challenges and so will need to be broadened to include a wider range of abatement options and other considerations to meet the needs of dispersed sites. While the solutions for each place will be di</w:t>
      </w:r>
    </w:p>
    <w:p>
      <w:pPr/>
      <w:r>
        <w:rPr>
          <w:b/>
        </w:rPr>
        <w:t>POSSIBLE 2023:</w:t>
      </w:r>
      <w:r>
        <w:t xml:space="preserve"> Reinforcing the Paris Agreement: Ambitious scenarios for the decarbonisation of the Central Asian and Caspian region — https://doi.org/10.1016/j.rset.2023.100048</w:t>
      </w:r>
    </w:p>
    <w:p>
      <w:pPr/>
      <w:r>
        <w:rPr>
          <w:b/>
        </w:rPr>
        <w:t>Shared claim-specific concepts:</w:t>
      </w:r>
      <w:r>
        <w:t xml:space="preserve"> decarbonisation, show, energy, carbon; EU scope visible. This is a provisional connection, not an outcome finding.</w:t>
      </w:r>
    </w:p>
    <w:p>
      <w:pPr>
        <w:pStyle w:val="SourceNote"/>
      </w:pPr>
      <w:r>
        <w:rPr>
          <w:b/>
        </w:rPr>
        <w:t>Available abstract (not full text):</w:t>
      </w:r>
      <w:r>
        <w:t xml:space="preserve"> For its abundance of fossil resources, the Central Asia and Caspian region plays a crucial role in the energy security of major markets, such as Europe and China. However, this dependence on export added to a firm reliance on fossil fuels also for internal consumption represents a significant challenge for the decarbonisation of the region. In the frame of the Horizon 2020 “PARIS REINFORCE” project, in this paper Authors develop an energy scenario analysis of four major countries located in the region (Azerbaijan, Kazakhstan, Uzbekistan and Turkmenistan), aiming to investigate how ambitious the current regional decarbonisation targets are in the view of the Paris Agreement. A common net-zero emission pathway is also developed to reinforce the regional climate ambition in the long term. As a novelty in the literature, the scenario analysis is co-designed with regional stakeholders through an engagement process that the Authors have carried out from December 2020 to May 2021. The numerical analysis is performed with the support of the TIMES-CAC model, an energy system model dedicated to the Central Asian and Caspian regions and developed by E4SMA. Results show that current regional energy policies are insufficient for achieving ambitious climate targets in the long term. The region should start implementing a rigorous energy planning process today to undergo a radical and rapid e</w:t>
      </w:r>
    </w:p>
    <w:p>
      <w:pPr>
        <w:pStyle w:val="Heading2"/>
      </w:pPr>
      <w:r>
        <w:t>628.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2022:</w:t>
      </w:r>
      <w:r>
        <w:t xml:space="preserve"> The effectiveness of the sports management system in Europe: High achievements, public funding and a healthy lifestyle — https://doi.org/10.14254/2071-789x.2022/15-4/13</w:t>
      </w:r>
    </w:p>
    <w:p>
      <w:pPr/>
      <w:r>
        <w:rPr>
          <w:b/>
        </w:rPr>
        <w:t>Shared claim-specific concepts:</w:t>
      </w:r>
      <w:r>
        <w:t xml:space="preserve"> three, approach, engaged; EU scope visible. This is a provisional connection, not an outcome finding.</w:t>
      </w:r>
    </w:p>
    <w:p>
      <w:pPr>
        <w:pStyle w:val="SourceNote"/>
      </w:pPr>
      <w:r>
        <w:rPr>
          <w:b/>
        </w:rPr>
        <w:t>Available abstract (not full text):</w:t>
      </w:r>
      <w:r>
        <w:t xml:space="preserve"> The article proposes an original approach to evaluating the effectiveness of the sports management system, which differs from the classical linear and non-linear optimization methods due to its use of quantile regression models. Three main indicators were chosen for creating the quantile regressions: (i) number of participants in the Olympic Games - as a feature of the effectiveness of the high-achievement sports; (ii) total number of people engaged in sports - as a feature of an effective mass sports system, which ensures a healthy lifestyle of the population; and (iii) state expenses on recreational and sports services. The quality of quantile regressions was validated by the Fisher test and the two-factor variance analysis. The research focused on the data of 30 European countries, which officially and publicly provide access to statistical reports on these issues. The countries were divided into two groups with above-average and below-average effectiveness of the sports management system. Two hypotheses were proposed and tested in the study. Hypothesis H1 was that the effectiveness of high-achievement sports depends on the amount of state funding for developing the sports industry. Research results confirmed this hypothesis for countries with an above-average level of sports management system effectiveness, but refuted it for the other group. Hypothesis H2 stated that the m</w:t>
      </w:r>
    </w:p>
    <w:p>
      <w:pPr/>
      <w:r>
        <w:rPr>
          <w:b/>
        </w:rPr>
        <w:t>POSSIBLE 2022:</w:t>
      </w:r>
      <w:r>
        <w:t xml:space="preserve"> Collaborative development of composite indices from qualitative value judgements: The EURO-HEALTHY Population Health Index model — https://doi.org/10.1016/j.ejor.2022.05.037</w:t>
      </w:r>
    </w:p>
    <w:p>
      <w:pPr/>
      <w:r>
        <w:rPr>
          <w:b/>
        </w:rPr>
        <w:t>Shared claim-specific concepts:</w:t>
      </w:r>
      <w:r>
        <w:t xml:space="preserve"> euro-healthy, project, developed, key, inequalities, across; EU scope visible. This is a provisional connection, not an outcome finding.</w:t>
      </w:r>
    </w:p>
    <w:p>
      <w:pPr>
        <w:pStyle w:val="SourceNote"/>
      </w:pPr>
      <w:r>
        <w:rPr>
          <w:b/>
        </w:rPr>
        <w:t>Available abstract (not full text):</w:t>
      </w:r>
      <w:r>
        <w:t xml:space="preserve">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pPr/>
      <w:r>
        <w:rPr>
          <w:b/>
        </w:rPr>
        <w:t>POSSIBLE 2022:</w:t>
      </w:r>
      <w:r>
        <w:t xml:space="preserve"> (Healthy) Aging Patterns in Europe: A Multistate Health Transition Approach — https://doi.org/10.1007/s12062-022-09403-4</w:t>
      </w:r>
    </w:p>
    <w:p>
      <w:pPr/>
      <w:r>
        <w:rPr>
          <w:b/>
        </w:rPr>
        <w:t>Shared claim-specific concepts:</w:t>
      </w:r>
      <w:r>
        <w:t xml:space="preserve"> factors, across, approach; EU scope visible. This is a provisional connection, not an outcome finding.</w:t>
      </w:r>
    </w:p>
    <w:p>
      <w:pPr>
        <w:pStyle w:val="SourceNote"/>
      </w:pPr>
      <w:r>
        <w:rPr>
          <w:b/>
        </w:rPr>
        <w:t>Available abstract (not full text):</w:t>
      </w:r>
      <w:r>
        <w:t xml:space="preserve"> We explore patterns and determinants of health transition probabilities by combining outcomes of morbidity and mortality to examine different aging patterns across Europe, and to ascertain how individual socio-demographic characteristics modify these patterns. We use panel data from the Survey of Health, Ageing and Retirement in Europe (2004- 2017) for 76,536 individuals aged 50 + in 20 European countries who participated in at least two waves. All transition probabilities were calculated applying a multistate analytical approach. Our findings show significant gender, education, and cohort differences in health transition probabilities and marked cross-country group differences. Central and Northern European countries present lower probabilities of health deterioration than Southern and, especially, Eastern European countries. Having a high level of education, living in Central Europe, and being younger are associated with lower probabilities of health deterioration and, if any, a higher probability of being restored to good health. We found less evidence of differences when transitions end in death. Our study contributes to this line of research by implementing a multistate approach using European harmonized panel dataset, to examine the effects of birth cohort, educational attainment and gender differences on health transitions. Our findings point to the need to consider the </w:t>
      </w:r>
    </w:p>
    <w:p>
      <w:pPr/>
      <w:r>
        <w:rPr>
          <w:b/>
        </w:rPr>
        <w:t>POSSIBLE 2021:</w:t>
      </w:r>
      <w:r>
        <w:t xml:space="preserve"> PeRsOnalised nutriTion for hEalthy livINg: The PROTEIN project — https://doi.org/10.1111/nbu.12482</w:t>
      </w:r>
    </w:p>
    <w:p>
      <w:pPr/>
      <w:r>
        <w:rPr>
          <w:b/>
        </w:rPr>
        <w:t>Shared claim-specific concepts:</w:t>
      </w:r>
      <w:r>
        <w:t xml:space="preserve"> project, funded, developed, approach; EU scope visible. This is a provisional connection, not an outcome finding.</w:t>
      </w:r>
    </w:p>
    <w:p>
      <w:pPr>
        <w:pStyle w:val="SourceNote"/>
      </w:pPr>
      <w:r>
        <w:rPr>
          <w:b/>
        </w:rPr>
        <w:t>Available abstract (not full text):</w:t>
      </w:r>
      <w:r>
        <w:t xml:space="preserve"> Abstract Personalised nutrition is a novel public health strategy aiming to promote positive diet and lifestyle changes. Tailored dietary and physical activity advice may be more appropriate than a generalised ‘one‐size‐fits‐all’ approach as it is more biologically relevant to the individual. Information and computing technology, smartphones and mobile applications have become an integral part of modern life and thereby present the opportunity for novel methods to encourage individuals to lead a healthier lifestyle. This article introduces the European Union‐funded PROTEIN project (PeRsOnalised nutriTion for hEalthy livINg) consortium and introduces the associated work packages. The primary objective of the PROTEIN project is to produce a novel adaptable mobile application suite based on sound nutrition and physical activity advice from experts in their field, accessible to all population groups, with differing health outcomes, whose behaviour can be tracked with a variety of sensors and health hazard perception. The mobile application ‘ecosystem’ that will be developed by the consortium includes a platform, mobile suite, cloud services, artificial intelligence advisor, game suite, modelling of expert’s knowledge, users’ behaviour data collection, data analysis and a dashboard for healthcare professionals. It is proposed that users will find the provision of personalised nutrit</w:t>
      </w:r>
    </w:p>
    <w:p>
      <w:pPr/>
      <w:r>
        <w:rPr>
          <w:b/>
        </w:rPr>
        <w:t>POSSIBLE 2021:</w:t>
      </w:r>
      <w:r>
        <w:t xml:space="preserve"> Citizen preferences regarding the public funding of projects promoting a healthy body weight among people with a low income — https://doi.org/10.1016/j.socscimed.2021.114015</w:t>
      </w:r>
    </w:p>
    <w:p>
      <w:pPr/>
      <w:r>
        <w:rPr>
          <w:b/>
        </w:rPr>
        <w:t>Shared claim-specific concepts:</w:t>
      </w:r>
      <w:r>
        <w:t xml:space="preserve"> project, funded, three; EU scope not established. This is a provisional connection, not an outcome finding.</w:t>
      </w:r>
    </w:p>
    <w:p>
      <w:pPr>
        <w:pStyle w:val="SourceNote"/>
      </w:pPr>
      <w:r>
        <w:rPr>
          <w:b/>
        </w:rPr>
        <w:t>Available abstract (not full text):</w:t>
      </w:r>
      <w:r>
        <w:t xml:space="preserve"> Overweight and obesity are a growing problem, especially among people with a low income. Policymakers aspire to alleviate this problem by implementing publicly funded projects. This study has three aims: 1) to explore citizen preferences regarding the public funding of projects promoting a healthy body weight among people with a low income, 2) to identify whether such preferences differ between citizens with a low income and those with a higher income, and 3) to identify the reasons underlying these preferences. We conducted a Participatory Value Evaluation (PVE) among 1053 Dutch citizens to achieve these aims. In an online choice experiment, respondents were asked to advise on the implementation of eight different projects that encourage a healthy body weight among citizens with a low income, with a total resource constraint of 100,000 euros. The projects were 1) lifestyle coaching including sports, 2) lifestyle coaching without sports, 3) local sports coach, 4) fruit and vegetable boxes, 5) bariatric surgery, 6) improving the living environment, 7) courses on healthy lifestyles, and 8) sports vouchers. We used the "Multiple Discrete-Continuous Extreme Value" model to estimate the preferences of respondents towards these eight projects. Fruit and vegetable boxes and sports vouchers were the most popular projects, while bariatric surgery was least popular. Respondents with a lo</w:t>
      </w:r>
    </w:p>
    <w:p>
      <w:pPr>
        <w:pStyle w:val="Heading2"/>
      </w:pPr>
      <w:r>
        <w:t>629.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2022:</w:t>
      </w:r>
      <w:r>
        <w:t xml:space="preserve"> The Regional Development Trap in Europe — https://doi.org/10.1080/00130095.2022.2080655</w:t>
      </w:r>
    </w:p>
    <w:p>
      <w:pPr/>
      <w:r>
        <w:rPr>
          <w:b/>
        </w:rPr>
        <w:t>Shared claim-specific concepts:</w:t>
      </w:r>
      <w:r>
        <w:t xml:space="preserve"> identify, regional;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Nature-Based Solutions in Urban Areas: A European Analysis — https://doi.org/10.3390/app13010168</w:t>
      </w:r>
    </w:p>
    <w:p>
      <w:pPr/>
      <w:r>
        <w:rPr>
          <w:b/>
        </w:rPr>
        <w:t>Shared claim-specific concepts:</w:t>
      </w:r>
      <w:r>
        <w:t xml:space="preserve"> therefore, purpose, identify, within;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2022:</w:t>
      </w:r>
      <w:r>
        <w:t xml:space="preserve"> Soil Governance in current European Union Law and in the European Green Deal — https://doi.org/10.1016/j.soisec.2022.100053</w:t>
      </w:r>
    </w:p>
    <w:p>
      <w:pPr/>
      <w:r>
        <w:rPr>
          <w:b/>
        </w:rPr>
        <w:t>Shared claim-specific concepts:</w:t>
      </w:r>
      <w:r>
        <w:t xml:space="preserve"> therefore, purpose, set; EU scope visible. This is a provisional connection, not an outcome finding.</w:t>
      </w:r>
    </w:p>
    <w:p>
      <w:pPr>
        <w:pStyle w:val="SourceNote"/>
      </w:pPr>
      <w:r>
        <w:rPr>
          <w:b/>
        </w:rPr>
        <w:t>Available abstract (not full text):</w:t>
      </w:r>
      <w:r>
        <w:t xml:space="preserve"> The chapter deals with the system of soil governance in the European Union and focuses on legal instruments for the protection and sustainable use of soil. In addition, other aspects of soil governance, like the policies, strategies, and the processes of decision-making, are addressed. Reference points for this assessment are the identified soil threats in the EU and the need for soil protection, based on the results of scientific studies, especially of the Intergovernmental Platform on Climate Change ( IPCC 2019 ) and the Intergovernmental Science-Policy Platform on Biodiversity and Ecosystem Services ( IP-BES 2018 ). Currently, there is no comprehensive directive to address soil threats and soil-related issues in a coherent way in the European Union, although several legal instruments refer to certain soil threats, mainly in the field of soil pollution. The European Union has the competence for soil legislation and, on the basis of the principle of subsidiarity, would be legally able to enact it. Therefore, the current mosaic of approaches can be overcome and replaced by an overall harmonised and comprehensive EU soil protection framework. This is all the more true as the United Nations' 2030 Agenda has set in motion a process that will have far-reaching implications for connected thinking: Sustainable Development Goal 15 and its target 15.3 stipulate that land degradation ne</w:t>
      </w:r>
    </w:p>
    <w:p>
      <w:pPr/>
      <w:r>
        <w:rPr>
          <w:b/>
        </w:rPr>
        <w:t>POSSIBLE 2021:</w:t>
      </w:r>
      <w:r>
        <w:t xml:space="preserve"> The Reinvention of Development Banking in the European Union — https://doi.org/10.1093/oso/9780198859703.001.0001</w:t>
      </w:r>
    </w:p>
    <w:p>
      <w:pPr/>
      <w:r>
        <w:rPr>
          <w:b/>
        </w:rPr>
        <w:t>Shared claim-specific concepts:</w:t>
      </w:r>
      <w:r>
        <w:t xml:space="preserve"> therefore, identify, within; EU scope visible. This is a provisional connection, not an outcome finding.</w:t>
      </w:r>
    </w:p>
    <w:p>
      <w:pPr>
        <w:pStyle w:val="SourceNote"/>
      </w:pPr>
      <w:r>
        <w:rPr>
          <w:b/>
        </w:rPr>
        <w:t>Available abstract (not full text):</w:t>
      </w:r>
      <w:r>
        <w:t xml:space="preserve"> National development banks (NDBs) have transformed from outdated relics of national industrial policy to central pillars of the European Union’s economic project. This trend, which accelerated after the Financial Crisis of 2007, has led to a proliferation of NDBs with an expanded size and scope. However, it is surprising that the EU—which has championed market-oriented governance and strict competition policy—has actually advocated an expansion of NDBs. This book therefore asks, why has the EU supported an increased role for NDBs, and how can we understand the dynamics between NDBs and European incentives and constraints? In order to answer these questions, this book analyzes the formation and evolution of a field of development banking within the EU. We identify a new field around an innovative conceptualization of state-backed financing for the purposes of policy implementation. However, rather than focusing solely on national development banks, we instead broaden the focus to the entire ecosystem of the field of development banking, which includes political institutions (both in Brussels and in the Member States), financing vehicles (such as the Juncker Plan), regulatory bodies (DG Competition, DG ECFIN), and commercial actors. Seven in-depth case studies on European NDBs, along with three chapters on European-level actors, detail this field of development banking, and answe</w:t>
      </w:r>
    </w:p>
    <w:p>
      <w:pPr/>
      <w:r>
        <w:rPr>
          <w:b/>
        </w:rPr>
        <w:t>POSSIBLE 2021:</w:t>
      </w:r>
      <w:r>
        <w:t xml:space="preserve"> Implication of multi drought definitions to identify streamflow drought across Europe — https://doi.org/10.5194/egusphere-egu21-4063</w:t>
      </w:r>
    </w:p>
    <w:p>
      <w:pPr/>
      <w:r>
        <w:rPr>
          <w:b/>
        </w:rPr>
        <w:t>Shared claim-specific concepts:</w:t>
      </w:r>
      <w:r>
        <w:t xml:space="preserve"> therefore, identify, within, region; EU scope visible. This is a provisional connection, not an outcome finding.</w:t>
      </w:r>
    </w:p>
    <w:p>
      <w:pPr>
        <w:pStyle w:val="SourceNote"/>
      </w:pPr>
      <w:r>
        <w:rPr>
          <w:b/>
        </w:rPr>
        <w:t>Available abstract (not full text):</w:t>
      </w:r>
      <w:r>
        <w:t xml:space="preserve"> Several approaches to identify hydrological drought exist, which result in differences in drought frequency, timing, duration, and deficit volume (drought characteristics) using the same hydrometeorological data as input. This has created confusion within the hydro-meteorological community, as well as in operational water management services on the difference in drought characteristics obtained with the different approaches. The aim of this study, therefore, is to provide a comprehensive overview of the differences of hydrological drought, i.e. streamflow drought, using different identification approaches for the pan-European river network (&gt;10,000 river grid cells). Time series of daily streamflow data were obtained from the LISFLOOD hydrological model forced with gridded meteorological observations from 1990 to 2018. Streamflow droughts were detected using the daily and monthly Variable Threshold methods (VTD and VTM), daily and monthly Fixed Threshold methods (FTD and FTM), and the Standardized Streamflow Index with 1-month accumulation period (SSI-1). For the threshold methods the Q80 (flow that is equaled or exceeded 80 percent of the time) is applied, whereas for the SSI a threshold of about -1 is used. We applied a centered 30-day moving average (30DMA) smoothing technique to the daily flow data to reduce the number of minor droughts. This is the first study that compare</w:t>
      </w:r>
    </w:p>
    <w:p>
      <w:pPr>
        <w:pStyle w:val="Heading2"/>
      </w:pPr>
      <w:r>
        <w:t>630.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pStyle w:val="Heading2"/>
      </w:pPr>
      <w:r>
        <w:t>631.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Carbon Peaking and Neutrality Pathways for Beijing’s Power Sector — https://doi.org/10.54097/hset.v50i.8464</w:t>
      </w:r>
    </w:p>
    <w:p>
      <w:pPr/>
      <w:r>
        <w:rPr>
          <w:b/>
        </w:rPr>
        <w:t>Shared claim-specific concepts:</w:t>
      </w:r>
      <w:r>
        <w:t xml:space="preserve"> pathways, power, sector, potential, electricity, transport; EU scope not established. This is a provisional connection, not an outcome finding.</w:t>
      </w:r>
    </w:p>
    <w:p>
      <w:pPr>
        <w:pStyle w:val="SourceNote"/>
      </w:pPr>
      <w:r>
        <w:rPr>
          <w:b/>
        </w:rPr>
        <w:t>Available abstract (not full text):</w:t>
      </w:r>
      <w:r>
        <w:t xml:space="preserve"> The power sector is an important area for achieving the 'double carbon' target.To achieve the "double carbon target" in Beijing as early as possible, this thesis is based on the LEAP model, which is a bottom-up study of the carbon peaking and carbon neutral pathways in the power sector from the perspective of the whole chain of source, grid, load and storage. It also combines scenario analysis, taking into account emission reduction targets, electricity demand and resource deployment, to design four comparison scenarios. These are the basic scenario, the energy efficiency improvement scenario, the transport electrification scenario and the renewable energy development scenario. The study focuses on the potential for emission reduction and feasible paths for the energy transition in Beijing's power sector. Finally, policy recommendations are made to promote the energy transition in Beijing.</w:t>
      </w:r>
    </w:p>
    <w:p>
      <w:pPr/>
      <w:r>
        <w:rPr>
          <w:b/>
        </w:rPr>
        <w:t>POSSIBLE 2022:</w:t>
      </w:r>
      <w:r>
        <w:t xml:space="preserve"> Volumetric treatment of uterine fibroids using ultrasound-guided, power- and pathway-controlled, pulsed-type high-intensity focused ultrasound — https://doi.org/10.25289/ml.2022.11.3.148</w:t>
      </w:r>
    </w:p>
    <w:p>
      <w:pPr/>
      <w:r>
        <w:rPr>
          <w:b/>
        </w:rPr>
        <w:t>Shared claim-specific concepts:</w:t>
      </w:r>
      <w:r>
        <w:t xml:space="preserve"> pathways, power, including; EU scope not established. This is a provisional connection, not an outcome finding.</w:t>
      </w:r>
    </w:p>
    <w:p>
      <w:pPr>
        <w:pStyle w:val="SourceNote"/>
      </w:pPr>
      <w:r>
        <w:rPr>
          <w:b/>
        </w:rPr>
        <w:t>Available abstract (not full text):</w:t>
      </w:r>
      <w:r>
        <w:t xml:space="preserve"> Lasers 148Volumetric treatment of uterine fibroids using ultrasound-guided, power-and pathway-controlled, pulsed-type high-intensity focused ultrasound Background and Objectives Non-invasive high-intensity focused ultrasound (HIFU) treatments are used widely to relieve uterine fibroid (UF)-related symptoms without general anesthesia and long hospitalization.This study evaluated the effectiveness and safety of power, pathway-controlled, cumulative, pulsed-type HIFU treatments for symptomatic UF lesions. Materials and MethodsA total of 633 UF lesions in 300 patients were treated with a single HIFU session.Reductions in the UF size and volume were evaluated at 1, 3, 6, and 12 months after the HIFU treatments. ResultsHypoenhancing ultrasonographic findings were obtained by treating UF lesions with HIFU at an average HIFU power of 389.1 ± 81.6 W, an energy/ therapeutic point of 49.5 ± 2.6 J/pulse, a total of 2.8 ± 1.1 therapeutic pathways, and a total sonication energy of 28,016.4± 10,622.2J.The volume of the overall UFs decreased significantly to 72.1% of their original volume during the 12-month follow-up.Among four different UF size groups, significant differences were found in the final HIFU settings, including power, total number of therapeutic pathways, total sonication energy, and sonication time, but not energy/therapeutic point.Linear mixed model analysis revealed significa</w:t>
      </w:r>
    </w:p>
    <w:p>
      <w:pPr/>
      <w:r>
        <w:rPr>
          <w:b/>
        </w:rPr>
        <w:t>POSSIBLE 2022:</w:t>
      </w:r>
      <w:r>
        <w:t xml:space="preserve"> Incentive structures for power-to-X and e-fuel pathways for transport in EU and member states — https://doi.org/10.1016/j.enpol.2022.113121</w:t>
      </w:r>
    </w:p>
    <w:p>
      <w:pPr/>
      <w:r>
        <w:rPr>
          <w:b/>
        </w:rPr>
        <w:t>Shared claim-specific concepts:</w:t>
      </w:r>
      <w:r>
        <w:t xml:space="preserve"> pathways, sector, potential, increasing, transport; EU scope visible. This is a provisional connection, not an outcome finding.</w:t>
      </w:r>
    </w:p>
    <w:p>
      <w:pPr>
        <w:pStyle w:val="SourceNote"/>
      </w:pPr>
      <w:r>
        <w:rPr>
          <w:b/>
        </w:rPr>
        <w:t>Available abstract (not full text):</w:t>
      </w:r>
      <w:r>
        <w:t xml:space="preserve"> Though Power-to-X pathways, primarily Power-to-Liquids, attract interest as solutions for decarbonising parts of the transport sector that are not suitable for electrification, the regulatory framework until recently slowed down their implementation. This paper examines the updates in the main aspects of the legal framework in the European Union from 2019 to the beginning of 2022 related to Power-to-X: support schemes, specific targets, and potential barriers. The results show increasing interest and market entrance of electrolysis and push from the different actors and regulatory parties to establish solutions that will enable faster upscaling. However, it is visible from the National Energy and Climate Plans and hydrogen strategies that the most emphasis is still on hydrogen as an end fuel for personal vehicles or power-to-gas. On the other hand, few countries have implemented legal frameworks facilitating diverse PtX pathways without focusing solely on hydrogen. Nevertheless, revisions of RED II have finally set up specific targets for electrofuels and Fit for 55 has introduced new actions supporting electrofuels in aviation and marine transport.</w:t>
      </w:r>
    </w:p>
    <w:p>
      <w:pPr/>
      <w:r>
        <w:rPr>
          <w:b/>
        </w:rPr>
        <w:t>POSSIBLE 2022:</w:t>
      </w:r>
      <w:r>
        <w:t xml:space="preserve"> PaLM: Scaling Language Modeling with Pathways — https://doi.org/10.48550/arxiv.2204.02311</w:t>
      </w:r>
    </w:p>
    <w:p>
      <w:pPr/>
      <w:r>
        <w:rPr>
          <w:b/>
        </w:rPr>
        <w:t>Shared claim-specific concepts:</w:t>
      </w:r>
      <w:r>
        <w:t xml:space="preserve"> pathways, potential, performance;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2022:</w:t>
      </w:r>
      <w:r>
        <w:t xml:space="preserve"> Pathways to net zero emissions for the Indian power sector — https://doi.org/10.1016/j.esr.2022.101042</w:t>
      </w:r>
    </w:p>
    <w:p>
      <w:pPr/>
      <w:r>
        <w:rPr>
          <w:b/>
        </w:rPr>
        <w:t>Shared claim-specific concepts:</w:t>
      </w:r>
      <w:r>
        <w:t xml:space="preserve"> pathways, power, sector, electricity, three; EU scope not established. This is a provisional connection, not an outcome finding.</w:t>
      </w:r>
    </w:p>
    <w:p>
      <w:pPr>
        <w:pStyle w:val="SourceNote"/>
      </w:pPr>
      <w:r>
        <w:rPr>
          <w:b/>
        </w:rPr>
        <w:t>Available abstract (not full text):</w:t>
      </w:r>
      <w:r>
        <w:t xml:space="preserve"> At COP26, India has committed to achieve net zero emissions by 2070. For economy wide net zero, the power system should be first to attain it. This paper explores the role of different technologies, CO2 capture and storage (CCS), nuclear, solar PV and thermal, battery storage, pumped storage, hydro etc. along with energy efficiency in doing so by different target years, 2050 and 2060 and their economic implications. With more intermittent renewables, the issue of balancing hourly demand-supply of both energy and power becomes critical for ensuring the feasibility of a pathway. Hourly availability of different renewable technologies is considered along with hourly variations in electricity demand. Three scenarios are analysed, Business-as-Usual (BAU) scenario assumes current policies to continue, and two Net Zero (NZ) scenarios to achieve net zero emissions by 2050 and 2060. Solar PV, wind onshore and offshore, battery storage are the dominant technologies in achieving net zero emissions. Solar and wind together contribute 85% and 90% of the total generation capacity in 2050 and 2060, respectively. Dispatchable technologies like Coal plant with CCS and nuclear are also important. Results specify Battery with storage hour specifications (1 h, 2 h etc.), so one can plan storage in details. Decarbonisation has significant additional cost and investment requirement over the Business</w:t>
      </w:r>
    </w:p>
    <w:p>
      <w:pPr/>
      <w:r>
        <w:rPr>
          <w:b/>
        </w:rPr>
        <w:t>POSSIBLE 2022:</w:t>
      </w:r>
      <w:r>
        <w:t xml:space="preserve"> Power generation expansion pathways: A policy analysis of the Cameroon power system — https://doi.org/10.1016/j.esr.2022.101004</w:t>
      </w:r>
    </w:p>
    <w:p>
      <w:pPr/>
      <w:r>
        <w:rPr>
          <w:b/>
        </w:rPr>
        <w:t>Shared claim-specific concepts:</w:t>
      </w:r>
      <w:r>
        <w:t xml:space="preserve"> pathways, power, sector, potential, electricity, three; EU scope not established. This is a provisional connection, not an outcome finding.</w:t>
      </w:r>
    </w:p>
    <w:p>
      <w:pPr>
        <w:pStyle w:val="SourceNote"/>
      </w:pPr>
      <w:r>
        <w:rPr>
          <w:b/>
        </w:rPr>
        <w:t>Available abstract (not full text):</w:t>
      </w:r>
      <w:r>
        <w:t xml:space="preserve"> The Cameroon electricity sector is currently plagued by inadequate generation capacity. The electricity supply deficit has had dire consequences on attaining the country's industrialization, socioeconomic and developmental objectives enshrined in her Vision 2035. However, there are sustainable solutions that minimizes the required new capacity planned by the government. This paper analyses the implications of these sustainable policies on the electricity generation system of Cameroon. An adaptation of the Schwartz's methodology and the Low Emissions Analysis Platform (LEAP), integrated with the Next Energy Modelling system for Optimization (NEMO) was used to develop least-costs scenarios of Cameroon from 2016 to 2045. These scenarios are based on the key factors that would influence the electricity supply/demand of Cameroon. In addition to the business-as-usual scenario which defines the least-cost pathway with no policy interventions, the three alternative scenario categories are: power losses, demand side energy efficiency measures and carbon dioxide emission targets. Results show the alternative scenarios have significant benefits in avoided installed capacity, financial savings and avoided greenhouse gas emissions. This is emphasized by capacity savings of up to 44%, translating to possible economic benefits of up to 25% depending on government's commitment to reducing powe</w:t>
      </w:r>
    </w:p>
    <w:p>
      <w:pPr/>
      <w:r>
        <w:rPr>
          <w:b/>
        </w:rPr>
        <w:t>POSSIBLE 2021:</w:t>
      </w:r>
      <w:r>
        <w:t xml:space="preserve"> Decarbonization pathways for the power sector in Sumatra, Indonesia — https://doi.org/10.1016/j.rser.2021.111507</w:t>
      </w:r>
    </w:p>
    <w:p>
      <w:pPr/>
      <w:r>
        <w:rPr>
          <w:b/>
        </w:rPr>
        <w:t>Shared claim-specific concepts:</w:t>
      </w:r>
      <w:r>
        <w:t xml:space="preserve"> pathways, focus, power, sector, use, electricity; EU scope not established. This is a provisional connection, not an outcome finding.</w:t>
      </w:r>
    </w:p>
    <w:p>
      <w:pPr>
        <w:pStyle w:val="SourceNote"/>
      </w:pPr>
      <w:r>
        <w:rPr>
          <w:b/>
        </w:rPr>
        <w:t>Available abstract (not full text):</w:t>
      </w:r>
      <w:r>
        <w:t xml:space="preserve"> The Indonesian power sector faces the combined challenge to (i) satisfy growing electricity demand at an affordable cost and (ii) comply with the decarbonization targets committed under the Paris Agreement. In this study, we investigate cost-optimal pathways for the development of the power sector in line with climate targets. We used the Low Emissions Analysis Platform (LEAP) software tool to build a power-system expansion model for Sumatra and simulated four scenarios representing a business as usual development, the current development plans, and two mitigation pathways in line with the national climate targets. Particular focus is put on bioenergy, an energy source that has been often overlooked in previous studies and plans. The results show that, although the national plans consider mitigation actions, they do not reduce coal dependency. Besides, current development plans are not cost-effective and have high marginal abatement costs for emissions reduction. The two mitigation scenarios achieve better environmental results at lower system costs. Our results show that bioenergy deployment can contribute significantly to achieving the greenhouse gas (GHG) targets of 19% and 24% pledged by the Indonesian government. More efficient use of modern renewables and natural gas can reduce Sumatra's dependence on coal resources.</w:t>
      </w:r>
    </w:p>
    <w:p>
      <w:pPr>
        <w:pStyle w:val="Heading2"/>
      </w:pPr>
      <w:r>
        <w:t>632.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2023:</w:t>
      </w:r>
      <w:r>
        <w:t xml:space="preserve"> Preparing for Our Futures — https://doi.org/10.1093/med-psych/9780197609286.003.0015</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chapter covers Session 14 of the Juvenile Justice Anger Management (JJAM) Treatment for Girls. In this session the participants learn how they can prepare for their future after treatment. The session focuses on synthesizing the various skills and tools that the girls have learned during the program. The facilitators encourage the girls to practice applying these skills to real-life situations and to enlist others to help them use these skills in the future. The participants will identify their goals beyond the treatment. An activity is provided to help the girls feel more comfortable using the support systems that they have previously identified.</w:t>
      </w:r>
    </w:p>
    <w:p>
      <w:pPr/>
      <w:r>
        <w:rPr>
          <w:b/>
        </w:rPr>
        <w:t>POSSIBLE 2023:</w:t>
      </w:r>
      <w:r>
        <w:t xml:space="preserve"> Preparing for Our Futures — https://doi.org/10.1093/med-psych/9780197609286.003.0047</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This chapter provides the participant materials for Session 14 of the Juvenile Justice Anger Management (JJAM) Treatment for Girls. In this session the girls learn how to prepare plans for the future. This includes the process of figuring out how to tell important people about the anger management tools they learned and how to ask for help. Planning ahead means thinking about one’s goals and writing them down. An example of a goal is to get better grades in school by the end of the year. When a participant is angry and needs help remembering these tools, it is useful for her to talk to her building block support people.</w:t>
      </w:r>
    </w:p>
    <w:p>
      <w:pPr/>
      <w:r>
        <w:rPr>
          <w:b/>
        </w:rPr>
        <w:t>POSSIBLE 2023:</w:t>
      </w:r>
      <w:r>
        <w:t xml:space="preserve"> Big data can help prepare nurses and improve patient outcomes by improving quality, safety, and outcomes — https://doi.org/10.2478/fon-2023-0026</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Objectives Big data has revolutionized nursing and health care and raised concerns. This research aims to help nurses understand big data sets to provide better patient care. Methods This study used big data in nursing to improve patient care. Big data in nursing has sparked a global revolution and raised concerns, but few studies have focused on helping nurses understand big data to provide the best patient care. This systematic review was conducted based on PRISMA guidelines. PubMed, MEDLINE, CINAHL, Google Scholar, and ResearchGate were used for 2010–2020 studies. Results The most common use of big data in nursing was investigated in eight papers between 2015 and 2018. All research showed improvements in patient outcomes and healthcare delivery when big data was used in the medical-surgical, emergency department, critical care unit, community, systems biology, and leadership applications. Big data is not taught to nurses. Conclusions Big data applications in nursing and health care improve early intervention and decision-making. Big data provides a comprehensive view of a patient’s status and social determinants of health, allowing treatment using all metaparadigms and avoiding a singular focus. Big data can help prepare nurses and improve patient outcomes by improving quality, safety, and outcomes.</w:t>
      </w:r>
    </w:p>
    <w:p>
      <w:pPr/>
      <w:r>
        <w:rPr>
          <w:b/>
        </w:rPr>
        <w:t>POSSIBLE 2023:</w:t>
      </w:r>
      <w:r>
        <w:t xml:space="preserve"> Comparing scientific abstracts generated by ChatGPT to real abstracts with detectors and blinded human reviewers — https://doi.org/10.1038/s41746-023-00819-6</w:t>
      </w:r>
    </w:p>
    <w:p>
      <w:pPr/>
      <w:r>
        <w:rPr>
          <w:b/>
        </w:rPr>
        <w:t>Shared claim-specific concepts:</w:t>
      </w:r>
      <w:r>
        <w:t xml:space="preserve"> abstract, help, often, high, low; EU scope not established. This is a provisional connection, not an outcome finding.</w:t>
      </w:r>
    </w:p>
    <w:p>
      <w:pPr>
        <w:pStyle w:val="SourceNote"/>
      </w:pPr>
      <w:r>
        <w:rPr>
          <w:b/>
        </w:rPr>
        <w:t>Available abstract (not full text):</w:t>
      </w:r>
      <w:r>
        <w:t xml:space="preserve"> Abstract Background Large language models such as ChatGPT can produce increasingly realistic text, with unknown information on the accuracy and integrity of using these models in scientific writing. Methods We gathered ten research abstracts from five high impact factor medical journals (n=50) and asked ChatGPT to generate research abstracts based on their titles and journals. We evaluated the abstracts using an artificial intelligence (AI) output detector, plagiarism detector, and had blinded human reviewers try to distinguish whether abstracts were original or generated. Results All ChatGPT-generated abstracts were written clearly but only 8% correctly followed the specific journal’s formatting requirements. Most generated abstracts were detected using the AI output detector, with scores (higher meaning more likely to be generated) of median [interquartile range] of 99.98% [12.73, 99.98] compared with very low probability of AI-generated output in the original abstracts of 0.02% [0.02, 0.09]. The AUROC of the AI output detector was 0.94. Generated abstracts scored very high on originality using the plagiarism detector (100% [100, 100] originality). Generated abstracts had a similar patient cohort size as original abstracts, though the exact numbers were fabricated. When given a mixture of original and general abstracts, blinded human reviewers correctly identified 68% of gene</w:t>
      </w:r>
    </w:p>
    <w:p>
      <w:pPr/>
      <w:r>
        <w:rPr>
          <w:b/>
        </w:rPr>
        <w:t>POSSIBLE 2023:</w:t>
      </w:r>
      <w:r>
        <w:t xml:space="preserve"> Deciding for resilience: Utilizing water infrastructure investments to prepare for the future — https://doi.org/10.1002/wat2.1661</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Governments are increasingly faced with climate change realities and have also committed themselves to international agreements with objectives to tackle long‐term problems such as becoming climate neutral by 2050. Governments, therefore, will need to carefully consider how to contribute to combatting climate change, when investing in their water infrastructure that is reaching an end‐of‐lifetime due to technical aging or changing functional requirements. Such investments offer crucial windows of opportunity to create more resilient water systems, because large budgets are involved and lifespans of infrastructure are long and co‐determine possible futures. Based on a literature review, this article develops key ways of how infrastructure operators could adopt a long‐term perspective and choose water management strategies that increase absorptive, adaptive, and transformative capacities. With these perspectives and strategies, this article sets out a basis to help governments prepare for the future when they invest in water infrastructure. This article is categorized under: Human Water &gt; Water Governance Science of Water &gt; Water and Environmental Change Engineering Water &gt; Planning Water</w:t>
      </w:r>
    </w:p>
    <w:p>
      <w:pPr/>
      <w:r>
        <w:rPr>
          <w:b/>
        </w:rPr>
        <w:t>POSSIBLE 2021:</w:t>
      </w:r>
      <w:r>
        <w:t xml:space="preserve"> 12 A qualitative study of factors that helped prepare athletes for Special Olympics sport programs — https://doi.org/10.1093/pch/pxab061.008</w:t>
      </w:r>
    </w:p>
    <w:p>
      <w:pPr/>
      <w:r>
        <w:rPr>
          <w:b/>
        </w:rPr>
        <w:t>Shared claim-specific concepts:</w:t>
      </w:r>
      <w:r>
        <w:t xml:space="preserve"> abstract, help, prepare, four; EU scope not established. This is a provisional connection, not an outcome finding.</w:t>
      </w:r>
    </w:p>
    <w:p>
      <w:pPr>
        <w:pStyle w:val="SourceNote"/>
      </w:pPr>
      <w:r>
        <w:rPr>
          <w:b/>
        </w:rPr>
        <w:t>Available abstract (not full text):</w:t>
      </w:r>
      <w:r>
        <w:t xml:space="preserve"> Abstract Primary Subject area Developmental Paediatrics Background Special Olympics (SO) is working to introduce more child and youth programs provincially and improve currently available programs. To date, there is little research published surrounding the experiences of SO athletes. Given the aim of SO to improve and grow the experience and health of youth, the present study explores the experiences of SO athletes and caregivers to understand what prepares athletes for SO programs and competition. Objectives 1. To describe the experience of SO athletes and caregivers and understand what best prepared them for their involvement in organized sport and physical activity. 2. To offer evidence-based strategies for creating an inclusive and encouraging environment for sports and physical activity for healthy active living and/or preparation for SO involvement. Design/Methods Both athletes and caregivers participated in semi-structured, conversation-based interviews. Eight English-speaking athletes involved in a variety of sports from around the province were interviewed, and four of these interviews included caregivers. Interviews were transcribed and coded using thematic analysis. Results Five themes were identified throughout these interviews. The importance of a supportive environment emerged as a strong theme. Athletes valued the support of caregivers, coaches, and other player</w:t>
      </w:r>
    </w:p>
    <w:p>
      <w:pPr/>
      <w:r>
        <w:rPr>
          <w:b/>
        </w:rPr>
        <w:t>POSSIBLE 2021:</w:t>
      </w:r>
      <w:r>
        <w:t xml:space="preserve"> Preparing Indonesia for The Ocean Decade 2021-2030 — https://doi.org/10.1088/1755-1315/744/1/012025</w:t>
      </w:r>
    </w:p>
    <w:p>
      <w:pPr/>
      <w:r>
        <w:rPr>
          <w:b/>
        </w:rPr>
        <w:t>Shared claim-specific concepts:</w:t>
      </w:r>
      <w:r>
        <w:t xml:space="preserve"> abstract, help, prepare, scientists, stakeholders, natural; EU scope not established. This is a provisional connection, not an outcome finding.</w:t>
      </w:r>
    </w:p>
    <w:p>
      <w:pPr>
        <w:pStyle w:val="SourceNote"/>
      </w:pPr>
      <w:r>
        <w:rPr>
          <w:b/>
        </w:rPr>
        <w:t>Available abstract (not full text):</w:t>
      </w:r>
      <w:r>
        <w:t xml:space="preserve"> Abstract The Ocean Decade 2021-2030 was declared at the end of 2017. The Decade Declaration is aimed at accelerating the resolution of various social-ecological issues facing the oceans collectively and holistically by involving multi-stakeholders: natural and social scientists, governments, NGOs, private parties, and local communities. Indonesia as a large maritime country must play an important role in this Decade, both as a provider and as a beneficiary. The aims of this paper are to (1) convey important things about the Ocean Decade and (2) provide recommendations for carrying out three types of research to prepare for the Ocean Decade. This exploratory study is conducted qualitatively, using a literature review of UNESCO official documents as well as various other literature, such as scientific journal articles. An interview with a key informant was conducted for initial stakeholder analysis. The results of the analysis and the recommendations are expected to be used to help various stakeholders in Indonesia prepare to take part in the implementation of ‘The Ocean Decade’.</w:t>
      </w:r>
    </w:p>
    <w:p>
      <w:pPr>
        <w:pStyle w:val="Heading2"/>
      </w:pPr>
      <w:r>
        <w:t>633.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2023:</w:t>
      </w:r>
      <w:r>
        <w:t xml:space="preserve"> Income inequality and circular materials use: an analysis of European Union economies and implications for circular economy development — https://doi.org/10.1108/md-11-2022-1620</w:t>
      </w:r>
    </w:p>
    <w:p>
      <w:pPr/>
      <w:r>
        <w:rPr>
          <w:b/>
        </w:rPr>
        <w:t>Shared claim-specific concepts:</w:t>
      </w:r>
      <w:r>
        <w:t xml:space="preserve"> vast, circular, economy, occur, design, processes; EU scope visible. This is a provisional connection, not an outcome finding.</w:t>
      </w:r>
    </w:p>
    <w:p>
      <w:pPr>
        <w:pStyle w:val="SourceNote"/>
      </w:pPr>
      <w:r>
        <w:rPr>
          <w:b/>
        </w:rPr>
        <w:t>Available abstract (not full text):</w:t>
      </w:r>
      <w:r>
        <w:t xml:space="preserve"> Purpose The purpose of the research was to evaluate the relationship between income and the recycled materials used in order to rate the business related to circular repair services under the burden of economic development in the countries of the European Union. Design/methodology/approach The analytical processes explore data from 2010 to 2020. The countries were divided into clusters according to economic maturity (Human Development Index (HDI), real Gross domestic product (GDP) per capita). Subsequently, the relationships were evaluated through the income indicators (for the 13 population groups), and the circular materials use rate indicator. The three indicators decomposed into five specific metrics were employed. The commonly applied characteristics of the descriptive analysis, Pearson's correlation coefficient and the panel regression analysis were engaged in the investigation. Findings The results demonstrated the vast disparities between income and circular materials use. In the more economically developed countries, their levels were twice higher as the less-developed countries. However, there is a meaningful positive relationship between them. The greatest attention was paid to the panel regression analysis applied to the relationship between income and circular economy (CE) use. The results showed that in a majority of the cases (different income categories), there </w:t>
      </w:r>
    </w:p>
    <w:p>
      <w:pPr/>
      <w:r>
        <w:rPr>
          <w:b/>
        </w:rPr>
        <w:t>POSSIBLE 2023:</w:t>
      </w:r>
      <w:r>
        <w:t xml:space="preserve"> The Circular Economy Transformation of Airports: An Alternative Model for Retail Waste Management — https://doi.org/10.3390/su15043860</w:t>
      </w:r>
    </w:p>
    <w:p>
      <w:pPr/>
      <w:r>
        <w:rPr>
          <w:b/>
        </w:rPr>
        <w:t>Shared claim-specific concepts:</w:t>
      </w:r>
      <w:r>
        <w:t xml:space="preserve"> transformation, circular, economy, design, processes; EU scope not established. This is a provisional connection, not an outcome finding.</w:t>
      </w:r>
    </w:p>
    <w:p>
      <w:pPr>
        <w:pStyle w:val="SourceNote"/>
      </w:pPr>
      <w:r>
        <w:rPr>
          <w:b/>
        </w:rPr>
        <w:t>Available abstract (not full text):</w:t>
      </w:r>
      <w:r>
        <w:t xml:space="preserve"> Airport terminals worldwide generate approximately 6 million tons of passenger waste annually. Increased awareness of climate change and global interventions for environmental sustainability requires a reassessment of airports’ current methods of waste management. This paper proposes a new design concept solution called circular airport retail waste management (CAWM) for airport terminal retail waste processing, which aims to reduce and ideally eliminate airport waste ending up in landfill or incineration. Given the need for novelty and challenging the status-quo, the double diamond design process was adopted as the research method. The research began by collating the current practices of retail waste processing in airports via a literature review and field observations. Secondly, a critical analysis of the current processes was conducted to identify the intervention points. Thirdly, a concept solution was developed based on the circular economy (CE) 9R framework. Finally, the CAWM concept was delivered to airport waste management personnel for review. CAWM offers a structured way of airport retail waste management practices, including the segregation of nonrecyclable and recyclable waste (i.e., different bin designs, color coding, harmonization of waste colors, improved instructions and signage, various bin locations, training, and installing more liquid disposal and donation </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2022:</w:t>
      </w:r>
      <w:r>
        <w:t xml:space="preserve"> Circular cities: planning for circular development in European cities — https://doi.org/10.1080/09654313.2022.2060707</w:t>
      </w:r>
    </w:p>
    <w:p>
      <w:pPr/>
      <w:r>
        <w:rPr>
          <w:b/>
        </w:rPr>
        <w:t>Shared claim-specific concepts:</w:t>
      </w:r>
      <w:r>
        <w:t xml:space="preserve"> transformation, circular; EU scope visible. This is a provisional connection, not an outcome finding.</w:t>
      </w:r>
    </w:p>
    <w:p>
      <w:pPr>
        <w:pStyle w:val="SourceNote"/>
      </w:pPr>
      <w:r>
        <w:rPr>
          <w:b/>
        </w:rPr>
        <w:t>Available abstract (not full text):</w:t>
      </w:r>
      <w:r>
        <w:t xml:space="preserve"> Circular development could produce more resource efficient, ecologically regenerative and resilient cities. This development pathway offers many ecological, social and economic benefits. However, there are also many challenges to implementation, not least a heavy reliance on the market to transform urban systems of provision. A regulatory and policy framework is essential for a circular transformation, until circular activities become competitive within existing markets. Spatial and land-use planning can offer this framework. This paper provides insight into the circular development process. It discusses the role of planning in delivering circular development, using examples from four European cities. It identifies the tools for delivery and discusses the inherent limitations of using planning tools to deliver a circular transformation.</w:t>
      </w:r>
    </w:p>
    <w:p>
      <w:pPr/>
      <w:r>
        <w:rPr>
          <w:b/>
        </w:rPr>
        <w:t>POSSIBLE 2022:</w:t>
      </w:r>
      <w:r>
        <w:t xml:space="preserve"> The sustainable transformation of the Colombian cattle sector: Assessing its circularity — https://doi.org/10.1371/journal.pclm.0000074</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Circular food systems are increasingly acknowledged for their potential to contribute to the transition towards sustainable futures. In a circular food system, the use of finite and limited resources is minimized, and nutrients in residual streams and inedible biomass for humans are reused as inputs in the bioeconomy. Livestock has become relevant in this narrative for upcycling nutrients contained in food by-products and grass resources into nutritious food for humans without using human-edible resources. Evaluating on-going national sustainability initiatives in the livestock sector is key to determine if circularity elements are already represented and to identify new opportunities and pathways for the future. In this paper we synthetize the environmental actions promoted by different initiatives driving the sustainable transformation of Colombian cattle production systems and assess the inclusion of circularity elements in these actions. The proposed environmental actions were concentrated in the conservation of remaining natural ecosystems, zero-deforestation and the sustainable intensification of cattle production through silvopastoral and paddock rotational systems. Circularity was addressed by some initiatives via the use organic fertilizers and the use of manure as fertilizers or feedstock for bioenergy generation. However, given that cattle farming is often practiced </w:t>
      </w:r>
    </w:p>
    <w:p>
      <w:pPr/>
      <w:r>
        <w:rPr>
          <w:b/>
        </w:rPr>
        <w:t>POSSIBLE 2022:</w:t>
      </w:r>
      <w:r>
        <w:t xml:space="preserve"> Understanding circular economy transitions: The case of circular textiles — https://doi.org/10.1002/bse.3114</w:t>
      </w:r>
    </w:p>
    <w:p>
      <w:pPr/>
      <w:r>
        <w:rPr>
          <w:b/>
        </w:rPr>
        <w:t>Shared claim-specific concepts:</w:t>
      </w:r>
      <w:r>
        <w:t xml:space="preserve"> transformation, circular, economy, processes; EU scope visible. This is a provisional connection, not an outcome finding.</w:t>
      </w:r>
    </w:p>
    <w:p>
      <w:pPr>
        <w:pStyle w:val="SourceNote"/>
      </w:pPr>
      <w:r>
        <w:rPr>
          <w:b/>
        </w:rPr>
        <w:t>Available abstract (not full text):</w:t>
      </w:r>
      <w:r>
        <w:t xml:space="preserve"> Abstract The circular economy has been proposed to transform global textile supply chains which are currently challenged by a complex nexus of sustainability issues related to the dominant fast fashion trend. Research on circular economy in the textile sector often focuses on businesses or consumers as key enablers in circular transitions , yet it treats them as independent entities and thereby neglects the study of interactions that can provide insight at the systems level. The proclaimed “circular textile mission” in the Netherlands setting a national target for 100% circularity by 2050 is used as case study to address this research gap. We explore the circular textile transition processes found in the context of the Dutch mission and compare the development and interactions among various technical and non‐technological solutions produced by engaged actor constellations for assessing key factors driving and blocking the overall mission fulfilment. To these ends, we derive a theoretical framework based on innovation system theory and conceptualize the Dutch circular textile transition as a Mission‐oriented Innovation System ( MIS ). Analyzing the structure and functioning of the Dutch mission‐oriented innovation system, we show that (1) there is a good match between the formal Dutch circular textile mission and system actor perceptions; (2) system actors have formed structures</w:t>
      </w:r>
    </w:p>
    <w:p>
      <w:pPr/>
      <w:r>
        <w:rPr>
          <w:b/>
        </w:rPr>
        <w:t>POSSIBLE 2022:</w:t>
      </w:r>
      <w:r>
        <w:t xml:space="preserve"> Food system transformation for sustainable city-regions: exploring the potential of circular economies — https://doi.org/10.1080/00343404.2021.2021168</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Calls for food system transformation to strengthen synergies between socio-economic and environmental goals have been growing in recent years. As yet, however, insights from theoretical debates have not been tested against the actions and perceptions of food system actors. To add empirical weight to this debate, we focus on a region in the north of England where the Covid-19 crisis has challenged the embeddedness of linear thinking and siloed policy approaches. Based on an exploration of the potential of ‘circular food economies’, the analysis provides insights into the capacity of ‘city-regions’ to reorientate food system dynamics towards sustainability objectives.</w:t>
      </w:r>
    </w:p>
    <w:p>
      <w:pPr/>
      <w:r>
        <w:rPr>
          <w:b/>
        </w:rPr>
        <w:t>POSSIBLE 2022:</w:t>
      </w:r>
      <w:r>
        <w:t xml:space="preserve"> Circular Economy in the European Construction Sector: A Review of Strategies for Implementation in Building Renovation — https://doi.org/10.3390/en15134747</w:t>
      </w:r>
    </w:p>
    <w:p>
      <w:pPr/>
      <w:r>
        <w:rPr>
          <w:b/>
        </w:rPr>
        <w:t>Shared claim-specific concepts:</w:t>
      </w:r>
      <w:r>
        <w:t xml:space="preserve"> circular, economy, design; EU scope visible. This is a provisional connection, not an outcome finding.</w:t>
      </w:r>
    </w:p>
    <w:p>
      <w:pPr>
        <w:pStyle w:val="SourceNote"/>
      </w:pPr>
      <w:r>
        <w:rPr>
          <w:b/>
        </w:rPr>
        <w:t>Available abstract (not full text):</w:t>
      </w:r>
      <w:r>
        <w:t xml:space="preserve"> Building renovation was declared a key point for sustainable development, however, the renovation rate of residential buildings in the European Union is insufficient to meet the climate and energy targets set. This paper analyses the main circular economy models used in the construction sector, as well as the situation of the building renovation market, to set a framework for circular economy models in building renovation. Of all the existing strategies in this sector, design, material recovery, building renovation and end-of-life actions would be the best, respectively. It also includes a market analysis consisting of a literature review covering PEST perspectives (political, economic, social and technical) and a SWOT analysis (strengths, weaknesses, opportunities and threats), concluding with a market gap analysis. The results of these analyses allow the development of a series of suggestions and strategies to be followed in order to solve the main barriers that hinder the implementation of the circular economy in the building´s renovation sector.</w:t>
      </w:r>
    </w:p>
    <w:p>
      <w:pPr>
        <w:pStyle w:val="Heading2"/>
      </w:pPr>
      <w:r>
        <w:t>634.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2023:</w:t>
      </w:r>
      <w:r>
        <w:t xml:space="preserve"> Is the flood occurrence rate decreasing in Southeast Europe? — https://doi.org/10.5194/egusphere-egu23-6031</w:t>
      </w:r>
    </w:p>
    <w:p>
      <w:pPr/>
      <w:r>
        <w:rPr>
          <w:b/>
        </w:rPr>
        <w:t>Shared claim-specific concepts:</w:t>
      </w:r>
      <w:r>
        <w:t xml:space="preserve"> also, decrease, reduction, three, project; EU scope visible. This is a provisional connection, not an outcome finding.</w:t>
      </w:r>
    </w:p>
    <w:p>
      <w:pPr>
        <w:pStyle w:val="SourceNote"/>
      </w:pPr>
      <w:r>
        <w:rPr>
          <w:b/>
        </w:rPr>
        <w:t>Available abstract (not full text):</w:t>
      </w:r>
      <w:r>
        <w:t xml:space="preserve"> Floods are natural phenomena, which can turn into disasters and cause widespread damage, health problems and deaths. This is particularly the case where rivers have been denied from their natural floodplains and are limited by embankments, and where housing and industrial buildings have been constructed in areas that are naturally liable to flooding. However, during the last few decades, flood observations from different parts of Europe do not show a clear increase in flood occurrence rate (Blöschl et al., 2019). In the present paper we present longer-term records of winter and summer floods in one of the largest river of Southeast Europe, the Sava River for the 1926-2021 period. We analysed three group of events that were based on three flood protection levels in Republic of Serbia defined for Sremska Mitrovica station. Regular protection level is set at 4120 m3/s and emergency flood defense level which is set at 5120 m3/s, that is, minor events are up to the regular protection level, strong events are up to the emergency level and extreme events are above emergency flood defense level. For the past 95 years, we find a decrease in both summer and winter flood occurrence rates. The reduction in winter flood occurrence can partly be attributed to reduced amount of precipitation during this period of the year. Further, on the basis of these data and methods, we find that for the </w:t>
      </w:r>
    </w:p>
    <w:p>
      <w:pPr/>
      <w:r>
        <w:rPr>
          <w:b/>
        </w:rPr>
        <w:t>POSSIBLE 2023:</w:t>
      </w:r>
      <w:r>
        <w:t xml:space="preserve"> Decreasing trends of ammonia emissions over Europe seen from remote sensing and inverse modelling — https://doi.org/10.5194/acp-23-15235-2023</w:t>
      </w:r>
    </w:p>
    <w:p>
      <w:pPr/>
      <w:r>
        <w:rPr>
          <w:b/>
        </w:rPr>
        <w:t>Shared claim-specific concepts:</w:t>
      </w:r>
      <w:r>
        <w:t xml:space="preserve"> also, showed, emissions; EU scope visible. This is a provisional connection, not an outcome finding.</w:t>
      </w:r>
    </w:p>
    <w:p>
      <w:pPr>
        <w:pStyle w:val="SourceNote"/>
      </w:pPr>
      <w:r>
        <w:rPr>
          <w:b/>
        </w:rPr>
        <w:t>Available abstract (not full text):</w:t>
      </w:r>
      <w:r>
        <w:t xml:space="preserve"> Abstract. Ammonia (NH3), a significant precursor of particulate matter, affects not only biodiversity, ecosystems, and soil acidification but also climate and human health. In addition, its concentrations are constantly rising due to increasing feeding needs and the large use of fertilization and animal farming. Despite the significance of ammonia, its emissions are associated with large uncertainties, while its atmospheric abundance is difficult to measure. Nowadays, satellite products can effectively measure ammonia with low uncertainty and a global coverage. Here, we use satellite observations of column ammonia in combination with an inversion algorithm to derive ammonia emissions with a high resolution over Europe for the period 2013–2020. Ammonia emissions peak in northern Europe due to agricultural application and livestock management, in western Europe (industrial activity), and over Spain (pig farming). Emissions have decreased by −26 % since 2013 (from 5431 Gg in 2013 to 3994 Gg in 2020), showing that the abatement strategies adopted by the European Union have been very efficient. The slight increase (+4.4 %) in 2015 is also reproduced here and is attributed to some European countries exceeding annual emission targets. Ammonia emissions are low in winter (286 Gg) and peak in summer (563 Gg) and are dominated by the temperature-dependent volatilization of ammonia from t</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also, decrease, number;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Market Reaction As An Impact Of The Fed Interest Rate Decrease Announcement In Asian And European Areas — https://doi.org/10.24843/matrik:jmbk.2022.v16.i01.p03</w:t>
      </w:r>
    </w:p>
    <w:p>
      <w:pPr/>
      <w:r>
        <w:rPr>
          <w:b/>
        </w:rPr>
        <w:t>Shared claim-specific concepts:</w:t>
      </w:r>
      <w:r>
        <w:t xml:space="preserve"> also, decrease, reduction; EU scope visible. This is a provisional connection, not an outcome finding.</w:t>
      </w:r>
    </w:p>
    <w:p>
      <w:pPr>
        <w:pStyle w:val="SourceNote"/>
      </w:pPr>
      <w:r>
        <w:rPr>
          <w:b/>
        </w:rPr>
        <w:t>Available abstract (not full text):</w:t>
      </w:r>
      <w:r>
        <w:t xml:space="preserve"> Market Reaction As An Impact Of The Fed Interest Rate Decrease Announcement In Asian And European Areas ABSTRACT The announcement of the reduction in the Fed's interest rate on July 31, 2019 is a rare event since 2008. The Fed's rate cut will have a major impact on the global economy and conditions in the capital market.The purpose of this study is to determine whether there is a difference in the average abnormal return around the date of the announcement of the Fed's interest rate hike in Asia and the European region. The sample of this study was 18 emerging market countries' index indices in Asia and Europe with sample collection techniques using purposive sampling. This study uses One Way Anova analysis techniques and One Sample T-test. The results found that there was no difference in the average abnormal return before and after the announcement of the Fed's interest rate increase. This condition shows that markets in the two regions do not react significantly because markets in Asia and the European region are in an efficient condition in the form of half strong, where the market absorbs information quickly and is reflected in stock prices so there is no difference in the average abnormal return in both regions. The absence of a difference in the average abnormal return is also caused by the uncertainty of the global economy making investors more careful in making investm</w:t>
      </w:r>
    </w:p>
    <w:p>
      <w:pPr/>
      <w:r>
        <w:rPr>
          <w:b/>
        </w:rPr>
        <w:t>POSSIBLE 2022:</w:t>
      </w:r>
      <w:r>
        <w:t xml:space="preserve"> Flash drought drives rapid vegetation stress in arid regions in Europe — https://doi.org/10.1088/1748-9326/acae3a</w:t>
      </w:r>
    </w:p>
    <w:p>
      <w:pPr/>
      <w:r>
        <w:rPr>
          <w:b/>
        </w:rPr>
        <w:t>Shared claim-specific concepts:</w:t>
      </w:r>
      <w:r>
        <w:t xml:space="preserve"> also, decrease, about; EU scope visible. This is a provisional connection, not an outcome finding.</w:t>
      </w:r>
    </w:p>
    <w:p>
      <w:pPr>
        <w:pStyle w:val="SourceNote"/>
      </w:pPr>
      <w:r>
        <w:rPr>
          <w:b/>
        </w:rPr>
        <w:t>Available abstract (not full text):</w:t>
      </w:r>
      <w:r>
        <w:t xml:space="preserve"> Abstract Flash droughts are characterised by rapid onset, combined with the potential to severely impact agriculture and ecosystems. However, assessments of the ecological impacts of flash droughts, especially in Europe, are largely lacking. Here we investigate ecosystem responses to flash droughts in Europe between 2001 and 2019 using diverse observational data, including gross primary production (GPP) and leaf area index (LAI). We find that in arid regions an abrupt transition to water-stressed conditions occurs within a few weeks, which negatively affects vegetation status and reduces carbon uptake in the initial stages of drought; normalised anomalies of LAI and GPP decrease to about −0.5. By contrast, vegetation in humid regions is not as severely affected, given that soil moisture recovers relatively quickly. We also show that soil moisture status before the onset of drought significantly impacts the timing (1–5 pentads) and degree (−0.33 to −0.71 of normalised LAI and GPP anomalies) of drought-induced vegetation stress, particularly in arid regions. Our results highlight the regional characteristics of flash drought impacts for more informative monitoring and early warning systems.</w:t>
      </w:r>
    </w:p>
    <w:p>
      <w:pPr/>
      <w:r>
        <w:rPr>
          <w:b/>
        </w:rPr>
        <w:t>POSSIBLE 2022:</w:t>
      </w:r>
      <w:r>
        <w:t xml:space="preserve"> Decreasing trend of monkeypox cases in Europe and America shows hope for the world: Evidence from the latest epidemiological data — https://doi.org/10.1002/hsr2.1030</w:t>
      </w:r>
    </w:p>
    <w:p>
      <w:pPr/>
      <w:r>
        <w:rPr>
          <w:b/>
        </w:rPr>
        <w:t>Shared claim-specific concepts:</w:t>
      </w:r>
      <w:r>
        <w:t xml:space="preserve"> also, showed, decrease, number, three; EU scope visible. This is a provisional connection, not an outcome finding.</w:t>
      </w:r>
    </w:p>
    <w:p>
      <w:pPr>
        <w:pStyle w:val="SourceNote"/>
      </w:pPr>
      <w:r>
        <w:rPr>
          <w:b/>
        </w:rPr>
        <w:t>Available abstract (not full text):</w:t>
      </w:r>
      <w:r>
        <w:t xml:space="preserve"> Monkeypox (MPOX) is a zoonotic viral disease caused by an Orthopox DNA virus named mpox virus (MPOXV). Scientists first discovered MPOXV in a monkey transported from Singapore to Denmark for research purposes. However, at first, the virus's primary animal reservoir was rodents. In 1970, a 9-year-old child from the Democratic Republic of the Congo was first diagnosed with MPOX. Since then, 11 African nations have recorded human instances of MPOX.1 Between 1970 and 1979, six African countries reported only 48 confirmed human MPOX cases. However, African nations reported more than 400 human MPOX cases at a death rate close to 10% by 1986. Several minor MPOX outbreaks between 1991 and 1999 reported 500 MPOX cases in tropical Central and Western Africa.2 However, isolated cases have been discovered in countries outside of Africa since 2003. The United States of America (USA) had the first outbreak of MPOX outside of Africa in 2003.3 The multicountry MPOX outbreaks have been reported in nonendemic nations starting in early May 2022.4 Belgium, Sweden, and Italy detected their first confirmed MPOX cases on May 19, 2022. Australia reported the first case on May 20, 2022, in Sydney and Melbourne in persons who had visited Europe just before their detection. On May 20, 2022, France, Germany, and the Netherlands reported their first cases. In contrast, the United Arab Emirates announced th</w:t>
      </w:r>
    </w:p>
    <w:p>
      <w:pPr/>
      <w:r>
        <w:rPr>
          <w:b/>
        </w:rPr>
        <w:t>POSSIBLE 2022:</w:t>
      </w:r>
      <w:r>
        <w:t xml:space="preserve"> Osteoporosis in Europe: a compendium of country-specific reports — https://doi.org/10.1007/s11657-021-00969-8</w:t>
      </w:r>
    </w:p>
    <w:p>
      <w:pPr/>
      <w:r>
        <w:rPr>
          <w:b/>
        </w:rPr>
        <w:t>Shared claim-specific concepts:</w:t>
      </w:r>
      <w:r>
        <w:t xml:space="preserve"> also, number;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2021:</w:t>
      </w:r>
      <w:r>
        <w:t xml:space="preserve"> A 41‐year bioclimatology of thermal stress in Europe — https://doi.org/10.1002/joc.7051</w:t>
      </w:r>
    </w:p>
    <w:p>
      <w:pPr/>
      <w:r>
        <w:rPr>
          <w:b/>
        </w:rPr>
        <w:t>Shared claim-specific concepts:</w:t>
      </w:r>
      <w:r>
        <w:t xml:space="preserve"> also, showed, number; EU scope visible. This is a provisional connection, not an outcome finding.</w:t>
      </w:r>
    </w:p>
    <w:p>
      <w:pPr>
        <w:pStyle w:val="SourceNote"/>
      </w:pPr>
      <w:r>
        <w:rPr>
          <w:b/>
        </w:rPr>
        <w:t>Available abstract (not full text):</w:t>
      </w:r>
      <w:r>
        <w:t xml:space="preserve"> Abstract The bioclimatology of thermal stress over Europe between 1979 and 2019 was analysed using the Universal Thermal Climate Index (UTCI) derived from ERA5‐HEAT reanalysis. The bioclimatology of different European regions was assessed using Köppen–Geiger climate classification. The annual number of hours with heat stress (UTCI &gt; 32°C) increased significantly during the study period for all the analysed Köppen–Geiger climate subclasses, showing also a clear increase towards southern Europe. The highest percentage of hours (20% of all hours) with cold stress (UTCI &lt; −13°C) occur over northern Europe. A significant increasing trend (&gt;0.05 hr·year−1) in the number of hours with heat stress was observed for 23 out of 32 analysed European cities representative for the Köppen–Geiger climate subclasses. For these cities not only the number of hours with heat stress has increased but also the heat stress is more persistent, while the number of cases and the persistence of the periods with cold stress have decreased over the last four decades. The UTCI values showed a statistically significant increase between 0.6 and 3.2°C for all the analysed cities over the study period reflecting the rising of global mean temperatures.</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also, pm2, emissions,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635.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636.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2024:</w:t>
      </w:r>
      <w:r>
        <w:t xml:space="preserve"> Development of the international transportation projects in Russia – forecast until 2030 year — https://doi.org/10.64457/ru-science-2024-i03-a02</w:t>
      </w:r>
    </w:p>
    <w:p>
      <w:pPr/>
      <w:r>
        <w:rPr>
          <w:b/>
        </w:rPr>
        <w:t>Shared claim-specific concepts:</w:t>
      </w:r>
      <w:r>
        <w:t xml:space="preserve"> article, presents, forecasts, international, until; EU scope not established. This is a provisional connection, not an outcome finding.</w:t>
      </w:r>
    </w:p>
    <w:p>
      <w:pPr>
        <w:pStyle w:val="SourceNote"/>
      </w:pPr>
      <w:r>
        <w:rPr>
          <w:b/>
        </w:rPr>
        <w:t>Available abstract (not full text):</w:t>
      </w:r>
      <w:r>
        <w:t xml:space="preserve"> This article presents forecasts of the development of international infrastructure projects for the next decade. The author examines the transport infrastructure of Russia, sea and rail international transport corridors, highlighting the most promising areas for development. The article presents a retrospective of the formation of transport infrastructure from the beginning of the twentieth century to the present, and also examines promising areas for the development of transport logistics in modern realities. The historically established pattern is currently changing under the pressure of sanctions, and the political situation on the world stage is pushing to explore new directions and develop new international relations. In the article, the author tried to identify current trends in the development of the Russian transport network until 2030, considering examples of sea and rail transport routes.</w:t>
      </w:r>
    </w:p>
    <w:p>
      <w:pPr/>
      <w:r>
        <w:rPr>
          <w:b/>
        </w:rPr>
        <w:t>POSSIBLE 2024:</w:t>
      </w:r>
      <w:r>
        <w:t xml:space="preserve"> Machine Learning-Based Forecasting of Temperature and Solar Irradiance for Photovoltaic Systems — https://doi.org/10.3390/en17051124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integration of photovoltaic (PV) systems into the global energy landscape has been boosted in recent years, driven by environmental concerns and research into renewable energy sources. The accurate prediction of temperature and solar irradiance is essential for optimizing the performance and grid integration of PV systems. Machine learning (ML) has become an effective tool for improving the accuracy of these predictions. This comprehensive review explores the pioneer techniques and methodologies employed in the field of ML-based forecasting of temperature and solar irradiance for PV systems. This article presents a comparative study between various algorithms and techniques commonly used for temperature and solar radiation forecasting. These include regression models such as decision trees, random forest, XGBoost, and support vector machines (SVM). The beginning of this article highlights the importance of accurate weather forecasts for the operation of PV systems and the challenges associated with traditional meteorological models. Next, fundamental concepts of machine learning are explored, highlighting the benefits of improved accuracy in estimating the PV power generation for grid integration.</w:t>
      </w:r>
    </w:p>
    <w:p>
      <w:pPr/>
      <w:r>
        <w:rPr>
          <w:b/>
        </w:rPr>
        <w:t>POSSIBLE 2023:</w:t>
      </w:r>
      <w:r>
        <w:t xml:space="preserve"> PLANNING AND FORECASTING — https://doi.org/10.5281/zenodo.7818282</w:t>
      </w:r>
    </w:p>
    <w:p>
      <w:pPr/>
      <w:r>
        <w:rPr>
          <w:b/>
        </w:rPr>
        <w:t>Shared claim-specific concepts:</w:t>
      </w:r>
      <w:r>
        <w:t xml:space="preserve"> article, presents, need, related; EU scope not established. This is a provisional connection, not an outcome finding.</w:t>
      </w:r>
    </w:p>
    <w:p>
      <w:pPr>
        <w:pStyle w:val="SourceNote"/>
      </w:pPr>
      <w:r>
        <w:rPr>
          <w:b/>
        </w:rPr>
        <w:t>Available abstract (not full text):</w:t>
      </w:r>
      <w:r>
        <w:t xml:space="preserve"> The article presents scientific analyzes of the economic essence and the objective need for planning and forecasting in a market economy. In the article, in modern literature and manuals on economic planning, the scientific essence of theories and concepts related to the optimization and forecasting of data is explained.</w:t>
      </w:r>
    </w:p>
    <w:p>
      <w:pPr/>
      <w:r>
        <w:rPr>
          <w:b/>
        </w:rPr>
        <w:t>POSSIBLE 2023:</w:t>
      </w:r>
      <w:r>
        <w:t xml:space="preserve"> Improving the quality of the forecast through methods of combining forecasts — https://doi.org/10.18822/byusu20230346-51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Subject of research: The article is devoted to the comparison of forecasting methods and methods of combining forecasts when forecasting average monthly wages for some regions of the Russian Federation for the period from January 2013 to July 2022. Purpose of the study: To test the hypothesis of improving forecast quality through forecast pooling methods. Methods and objects of research: Time series of average monthly wages in the Khanty-Mansi Autonomous Okrug Yugra, Yamal-Nenets Autonomous Okrug and Sverdlovsk region are used to compare forecasting methods and methods of combining forecasts. The paper considers forecasting methods: TBATS, ARIMA, exponential smoothing, ETS, Theta, STL, polynomial regression and the approach in combining forecasts by the Granger-Ramanathan method. Main results of research: The paper presents the results of comparison of forecasting methods and approach in combining forecasts by Granger-Ramanathan method. Time series of average monthly wages were taken from statistical collections of Rosstat. The forecast horizon was set at 12, 18 and 24 points. The Granger-Ramanathan method showed that in most cases it is possible to improve the quality of the forecast by combining private forecasts.</w:t>
      </w:r>
    </w:p>
    <w:p>
      <w:pPr/>
      <w:r>
        <w:rPr>
          <w:b/>
        </w:rPr>
        <w:t>POSSIBLE 2023:</w:t>
      </w:r>
      <w:r>
        <w:t xml:space="preserve"> ENVIRONMENTAL SAFETY IN THE CONTEXT OF FORECASTS FOR THE DEVELOPMENT OF TRADITIONAL AND ALTERNATIVE ENERGY — https://doi.org/10.61260/2307-7476-2023-3-6-21</w:t>
      </w:r>
    </w:p>
    <w:p>
      <w:pPr/>
      <w:r>
        <w:rPr>
          <w:b/>
        </w:rPr>
        <w:t>Shared claim-specific concepts:</w:t>
      </w:r>
      <w:r>
        <w:t xml:space="preserve"> article, presents, forecasts, need, related; EU scope not established. This is a provisional connection, not an outcome finding.</w:t>
      </w:r>
    </w:p>
    <w:p>
      <w:pPr>
        <w:pStyle w:val="SourceNote"/>
      </w:pPr>
      <w:r>
        <w:rPr>
          <w:b/>
        </w:rPr>
        <w:t>Available abstract (not full text):</w:t>
      </w:r>
      <w:r>
        <w:t xml:space="preserve"> In the article, in connection with the problem of ensuring environmental safety and, in particular, in connection with the need to overcome the low level of environmental education and environmental culture of the population, the results of research on the development of energy, the use of renewable energy sources on a planetary scale and in Russia are considered. The research in the framework of this article was carried out, among other things, with the aim of further using the results obtained in the development of an educational and methodological manual at the department of security service of the Saint-Petersburg university of State fire service of EMERCOM of Russia, the content of which is related to the theoretical and practical study in classes on the disciplines of environmental orientation and life safety of the impact on ensuring environmental safety of alternative energy, separate renewable energy sources. This article presents forecast data in the field of energy development in the world, in individual countries and in Russia by 2050, published on the EES EAEC website. The prospects for the development of the electric power industry for the foreseeable future, up to 2050 in the whole world and Russia, are shown, according to which a significant increase in the use of renewable energy sources is expected and, consequently, a reduction in the negative impact on the e</w:t>
      </w:r>
    </w:p>
    <w:p>
      <w:pPr/>
      <w:r>
        <w:rPr>
          <w:b/>
        </w:rPr>
        <w:t>POSSIBLE 2023:</w:t>
      </w:r>
      <w:r>
        <w:t xml:space="preserve"> IMPORTANCE OF BUDGETING AND FORECASTING IN MANAGEMENT — https://openalex.org/W7216813823</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This article discusses the importance of budgeting and forecasting in management. It explains what budgeting and forecasting are, how to organize them, allocate resources, set goals, monitor progress, identify risks, and determine opportunities. The article also highlights some challenges and issues related to budgeting and forecasting, such as accuracy, uncertainty, and inconsistency, and proposes several solutions, including accepting variability and dynamic processes. It suggests using information sources and regularly reviewing and analyzing budgets and forecasts, leveraging technology, and improving accountability. Finally, the article presents literature reviews and comments on the budgeting and forecasting process in financial management.</w:t>
      </w:r>
    </w:p>
    <w:p>
      <w:pPr>
        <w:pStyle w:val="Heading2"/>
      </w:pPr>
      <w:r>
        <w:t>637. The implications of demographic and economic projections on public pension spending in the European Union</w:t>
      </w:r>
    </w:p>
    <w:p>
      <w:pPr>
        <w:pStyle w:val="SourceNote"/>
      </w:pPr>
      <w:r>
        <w:rPr>
          <w:b/>
        </w:rPr>
        <w:t>Original source (2020):</w:t>
      </w:r>
      <w:r>
        <w:t xml:space="preserve"> https://doi.org/10.1080/21699763.2017.1411288</w:t>
      </w:r>
    </w:p>
    <w:p>
      <w:pPr/>
      <w:r>
        <w:t>Original wording (abstract; indexed_source_text_not_full_document_verified): Abstract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r>
        <w:rPr>
          <w:b/>
        </w:rPr>
        <w:t>POSSIBLE 2023:</w:t>
      </w:r>
      <w:r>
        <w:t xml:space="preserve"> The new seismic hazard model ESHM20 of Europe: Investigating the implications to the seismic design and risk assessment of major industrial facilities across Europe — https://doi.org/10.1007/s10518-023-01661-7</w:t>
      </w:r>
    </w:p>
    <w:p>
      <w:pPr/>
      <w:r>
        <w:rPr>
          <w:b/>
        </w:rPr>
        <w:t>Shared claim-specific concepts:</w:t>
      </w:r>
      <w:r>
        <w:t xml:space="preserve"> abstract, analyses, implications, well; EU scope visible. This is a provisional connection, not an outcome finding.</w:t>
      </w:r>
    </w:p>
    <w:p>
      <w:pPr>
        <w:pStyle w:val="SourceNote"/>
      </w:pPr>
      <w:r>
        <w:rPr>
          <w:b/>
        </w:rPr>
        <w:t>Available abstract (not full text):</w:t>
      </w:r>
      <w:r>
        <w:t xml:space="preserve"> Abstract The seismic performance and safety of major European industrial facilities have a global interest for the whole of Europe and its citizens. However, the seismic design of these facilities is based on national, sometimes outdated seismic hazard analyses. The results of the commonly developed, fully harmonized newly released European Seismic Hazard Model ESHM20 provide a pertinent reference for seismic hazard at European scale and have been officially adopted as an “acceptable representation of the seismic hazard in Europe” in the ongoing revision of Eurocode 8. This study presents a large-scale investigation of the impact of the potential adoption of ESHM20 on the design of new industrial facilities as well as on the potential seismic risk of existing facilities at European level with respect to the current seismic codes. The horizontal elastic response spectra using ESHM20 in combination with the revised Eurocode 8 for selected industrial sites are compared with the respective response spectra of the national regulations for return periods of 475, 2500 and 5000 years. In addition, a single containment LNG tank is analysed for an industrial site in Germany using the design approach for liquid filled tanks according to the revised Eurocode 8. Furthermore, a deterministic and probabilistic seismic risk assessment of a vessel installed in a five-storey frame is performed f</w:t>
      </w:r>
    </w:p>
    <w:p>
      <w:pPr/>
      <w:r>
        <w:rPr>
          <w:b/>
        </w:rPr>
        <w:t>POSSIBLE 2022:</w:t>
      </w:r>
      <w:r>
        <w:t xml:space="preserve"> The Accession of European Union to the European Convention on Human Rights — https://openalex.org/W7135539752</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1 The Accession of the European Union to the European Convention on Human Rights 1. Abstract in English This diploma thesis focuses on the relationship between the European Union (EU) and the European Convention on Human Rights (Convention). Especially in the light of the renewed attempt of the EU's accession to the Convention. Introduction (First Chapter) explains in brief the current situation, motivation of the author and the goals of the thesis. Also, the sources and methods used are introduced. Second Chapter describes the rich history of both European Union and European Convention of Human rights, with respect to their interlocking nature in the area of human rights. Analyses instruments such as Lisbon Treaty and the Charter of fundamental rights of the European Union. Third Chapter analyses the Opinion 2/13 of the CJEU and its impact on the accession of the EU to the Convention. Situation before and after the adoption of the Opinion, with its implications for the future relationship between the EU and the Convention. The next major section of this Chapter are the most recent meetings between the EU and the Council of Europe and evaluation of the hitherto progress. Fourth Chapter compares level of protection procedurally. Fifth Chapter compares level of protection substantively, in relevant case-law...</w:t>
      </w:r>
    </w:p>
    <w:p>
      <w:pPr/>
      <w:r>
        <w:rPr>
          <w:b/>
        </w:rPr>
        <w:t>POSSIBLE 2021:</w:t>
      </w:r>
      <w:r>
        <w:t xml:space="preserve"> Paranoid styles and innumeracy: implications of a conspiracy mindset on Europeans' misperceptions about immigrants — https://doi.org/10.1017/ipo.2021.26</w:t>
      </w:r>
    </w:p>
    <w:p>
      <w:pPr/>
      <w:r>
        <w:rPr>
          <w:b/>
        </w:rPr>
        <w:t>Shared claim-specific concepts:</w:t>
      </w:r>
      <w:r>
        <w:t xml:space="preserve"> abstract, implications, facts, population; EU scope visible. This is a provisional connection, not an outcome finding.</w:t>
      </w:r>
    </w:p>
    <w:p>
      <w:pPr>
        <w:pStyle w:val="SourceNote"/>
      </w:pPr>
      <w:r>
        <w:rPr>
          <w:b/>
        </w:rPr>
        <w:t>Available abstract (not full text):</w:t>
      </w:r>
      <w:r>
        <w:t xml:space="preserve"> Abstract Innumeracy, that is, the inability to deal with numbers and provide correct estimates about political issues, is reported to be widespread among the public. Yet, despite the recognition that a conspiracy mindset is an increasingly common phenomenon in Western democracies, this has not been considered as a potential correlate of innumeracy. Using data from an online sample of respondents across 10 European countries, we show that those with a higher propensity to hold a conspiracy worldview tend to overestimate the actual share of the immigrant population living in their own country. This association holds true when accounting for country heterogeneity and other cognitive, affective and socio-demographic factors. Employing a comparative design and refined measurements, the article contributes to our understanding of how a conspiracy mentality may influence perceptions of relevant political facts, questioning basic processes of democratic accountability.</w:t>
      </w:r>
    </w:p>
    <w:p>
      <w:pPr/>
      <w:r>
        <w:rPr>
          <w:b/>
        </w:rPr>
        <w:t>POSSIBLE 2021:</w:t>
      </w:r>
      <w:r>
        <w:t xml:space="preserve"> Assessment and Valorization of Non-Wood Forest Products in Europe: A Quantitative Literature Review — https://doi.org/10.3390/su13063533</w:t>
      </w:r>
    </w:p>
    <w:p>
      <w:pPr/>
      <w:r>
        <w:rPr>
          <w:b/>
        </w:rPr>
        <w:t>Shared claim-specific concepts:</w:t>
      </w:r>
      <w:r>
        <w:t xml:space="preserve"> analyses, implications, trends; EU scope visible. This is a provisional connection, not an outcome finding.</w:t>
      </w:r>
    </w:p>
    <w:p>
      <w:pPr>
        <w:pStyle w:val="SourceNote"/>
      </w:pPr>
      <w:r>
        <w:rPr>
          <w:b/>
        </w:rPr>
        <w:t>Available abstract (not full text):</w:t>
      </w:r>
      <w:r>
        <w:t xml:space="preserve"> This article presents a quantitative review of non-wood forest products (NWFPs) at the regional scale in Europe. A text mining approach was applied to titles, abstracts, and keywords extracted from articles in the Scopus database. Different investigations, such as concept mapping and specificity analyses of textual corpus, were performed. Our search yielded a massive number of NWFP-related papers. Specifically, research was distributed in different countries, being more prevalent in the Mediterranean and Scandinavian contexts. Several NWFPs were analyzed, with mushrooms, resin, cork, and other forest fruit being the most common ones. Local socioeconomic improvement was one of the major aspects investigated in scientific literature. The proposed methodology applies specific scripts that can be updated, and the output of the present research can be compared with that of the future works. For instance, interest trends of products and methods can be investigated, and gap analyses performed. Finally, the potential implications of this review for researchers and stakeholders are discussed.</w:t>
      </w:r>
    </w:p>
    <w:p>
      <w:pPr>
        <w:pStyle w:val="Heading2"/>
      </w:pPr>
      <w:r>
        <w:t>638.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2024:</w:t>
      </w:r>
      <w:r>
        <w:t xml:space="preserve"> Managing CO2 under global and country-specific net-zero emissions targets in Europe — https://doi.org/10.48550/arxiv.2407.18653</w:t>
      </w:r>
    </w:p>
    <w:p>
      <w:pPr/>
      <w:r>
        <w:rPr>
          <w:b/>
        </w:rPr>
        <w:t>Shared claim-specific concepts:</w:t>
      </w:r>
      <w:r>
        <w:t xml:space="preserve"> targets, gas, network, carbon, methane; EU scope visible. This is a provisional connection, not an outcome finding.</w:t>
      </w:r>
    </w:p>
    <w:p>
      <w:pPr>
        <w:pStyle w:val="SourceNote"/>
      </w:pPr>
      <w:r>
        <w:rPr>
          <w:b/>
        </w:rPr>
        <w:t>Available abstract (not full text):</w:t>
      </w:r>
      <w:r>
        <w:t xml:space="preserve"> The European Union (EU) aims to reach carbon neutrality by 2050. This requires capturing CO2, eventually transporting it to different regions, and either converting it into valuable products or sequestering it underground. Although the target is set for the entire EU, in practice, most of the governance and strategy to attain it remains in the individual member states. Previous literature modelling how Europe can achieve carbon neutrality has either considered only a global CO2 limit or used coarse spatial and temporal representation without proper network modelling. Here, we use a highly-resolved open model of the European sector-coupled energy system, PyPSA-Eur, to explore the impacts of imposing net-zero emissions globally for the entire EU versus imposing carbon neutrality for each country. Forcing net-zero emissions in every country increases system cost by 1.4%, demands varied CO2 prices, and triggers higher investment in direct air capture and renewable capacities. Furthermore, in both scenarios, a significant portion of the captured CO2 is transported across Europe, either directly via CO2 pipelines or indirectly via solid biomass or synthetic methane gas, methanol, and oil. Our research enables quantifying the impact of following a collaborative or self-sufficient carbon management strategy to attain carbon neutrality.</w:t>
      </w:r>
    </w:p>
    <w:p>
      <w:pPr/>
      <w:r>
        <w:rPr>
          <w:b/>
        </w:rPr>
        <w:t>POSSIBLE 2024:</w:t>
      </w:r>
      <w:r>
        <w:t xml:space="preserve"> Net Zero Emissions and Positive Energy Districts: A Potential Solution to Achieve the European Climate Targets — https://doi.org/10.1109/eeeic/icpseurope61470.2024.10751307</w:t>
      </w:r>
    </w:p>
    <w:p>
      <w:pPr/>
      <w:r>
        <w:rPr>
          <w:b/>
        </w:rPr>
        <w:t>Shared claim-specific concepts:</w:t>
      </w:r>
      <w:r>
        <w:t xml:space="preserve"> net, zero, targets, network, developed, carbon; EU scope visible. This is a provisional connection, not an outcome finding.</w:t>
      </w:r>
    </w:p>
    <w:p>
      <w:pPr>
        <w:pStyle w:val="SourceNote"/>
      </w:pPr>
      <w:r>
        <w:rPr>
          <w:b/>
        </w:rPr>
        <w:t>Available abstract (not full text):</w:t>
      </w:r>
      <w:r>
        <w:t xml:space="preserve"> Net-zero emissions and positive energy districts are innovative urban planning solutions for reaching the decarbonization targets defined by the European Commission. Districts are gaining wide attention representing communities where different elements and energy systems are interconnected, leading to potential opportunities for achieving climate neutrality that may not be achievable at the level of individual buildings. In addition, the evaluation of the performances has shifted from a nearly zero-energy approach to more demanding and rigorous concepts of positive energy and zero climate emissions. To this end, the authors show and describe a case study related to a new district that will be built in Bologna (41 400 m2 of heated/cooled floor surface area). The theoretical energy demand plus the 5th generation district heating and cooling network supplying the buildings and the electricity produced by the on-site photovoltaic plant (and the associated climate profiles) are evaluated by a Fortran App specifically developed. The net balance approach (used for reaching carbon neutrality) was calculated using the process-based life cycle assessment method. The authors show the outcomes obtained and potential solutions for decarbonization.</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zero, targets, mean, carbon, need;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Business as Usual: Bank Net Zero Targets, Lending, and Engagement — https://doi.org/10.2139/ssrn.4663933</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Net Zero Policy Performance Measurement of European Countries — https://doi.org/10.37394/232033.2023.1.12</w:t>
      </w:r>
    </w:p>
    <w:p>
      <w:pPr/>
      <w:r>
        <w:rPr>
          <w:b/>
        </w:rPr>
        <w:t>Shared claim-specific concepts:</w:t>
      </w:r>
      <w:r>
        <w:t xml:space="preserve"> net, zero, order, gas, carbon; EU scope visible. This is a provisional connection, not an outcome finding.</w:t>
      </w:r>
    </w:p>
    <w:p>
      <w:pPr>
        <w:pStyle w:val="SourceNote"/>
      </w:pPr>
      <w:r>
        <w:rPr>
          <w:b/>
        </w:rPr>
        <w:t>Available abstract (not full text):</w:t>
      </w:r>
      <w:r>
        <w:t xml:space="preserve"> Net zero goal lays the foundation for a sustainable future. It is in question to keep global warming under control since at least carbon dioxide emissions are balanced with the net zero target. In order to avoid severe climate impacts, global greenhouse gas emissions should decrease by half by 2030 and reach zero by 2050. Thus, this study aims to measure the performance of European Countries based on carbon emissions. To measure performance, Data Envelopment Analysis (DEA) method is used. To use this method, decision-making units (DMUs), inputs, and outputs are determined. Input is identified as Primary Energy Consumption. Outputs are selected as Gross Domestic Product (GDP), Carbon dioxide (CO2) emission, and Nitrous Oxide (N2O) emission.</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hydrogen;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Net Zero: Science, Origins, and Implications — https://doi.org/10.1146/annurev-environ-112320-105050</w:t>
      </w:r>
    </w:p>
    <w:p>
      <w:pPr/>
      <w:r>
        <w:rPr>
          <w:b/>
        </w:rPr>
        <w:t>Shared claim-specific concepts:</w:t>
      </w:r>
      <w:r>
        <w:t xml:space="preserve"> net, zero, targets, gas, carbon; EU scope not established. This is a provisional connection, not an outcome finding.</w:t>
      </w:r>
    </w:p>
    <w:p>
      <w:pPr>
        <w:pStyle w:val="SourceNote"/>
      </w:pPr>
      <w:r>
        <w:rPr>
          <w:b/>
        </w:rPr>
        <w:t>Available abstract (not full text):</w:t>
      </w:r>
      <w:r>
        <w:t xml:space="preserve"> This review explains the science behind the drive for global net zero emissions and why this is needed to halt the ongoing rise in global temperatures. We document how the concept of net zero carbon dioxide (CO 2 ) emissions emerged from an earlier focus on stabilization of atmospheric greenhouse gas concentrations. Using simple conceptual models of the coupled climate–carbon cycle system, we explain why approximately net zero CO 2 emissions and declining net energy imbalance due to other climate drivers are required to halt global warming on multidecadal timescales, introducing important concepts, including the rate of adjustment to constant forcing and the rate of adjustment to zero emissions. The concept of net zero was taken up through the 5th Assessment Report of the Intergovernmental Panel on Climate Change and the United Nations Framework Convention on Climate Change (UNFCCC) Structured Expert Dialogue, culminating in Article 4of the 2015 Paris Agreement. Increasing numbers of net zero targets have since been adopted by countries, cities, corporations, and investors. The degree to which any entity can claim to have achieved net zero while continuing to rely on distinct removals to compensate for ongoing emissions is at the heart of current debates over carbon markets and offsetting both inside and outside the UNFCCC. We argue that what matters here is not the precise mak</w:t>
      </w:r>
    </w:p>
    <w:p>
      <w:pPr/>
      <w:r>
        <w:rPr>
          <w:b/>
        </w:rPr>
        <w:t>POSSIBLE 2021:</w:t>
      </w:r>
      <w:r>
        <w:t xml:space="preserve"> Can European electric utilities manage asset impairments arising from net zero carbon targets? — https://doi.org/10.1016/j.jcorpfin.2021.102075</w:t>
      </w:r>
    </w:p>
    <w:p>
      <w:pPr/>
      <w:r>
        <w:rPr>
          <w:b/>
        </w:rPr>
        <w:t>Shared claim-specific concepts:</w:t>
      </w:r>
      <w:r>
        <w:t xml:space="preserve"> net, zero, targets, carbon; EU scope visible. This is a provisional connection, not an outcome finding.</w:t>
      </w:r>
    </w:p>
    <w:p>
      <w:pPr>
        <w:pStyle w:val="SourceNote"/>
      </w:pPr>
      <w:r>
        <w:rPr>
          <w:b/>
        </w:rPr>
        <w:t>Available abstract (not full text):</w:t>
      </w:r>
      <w:r>
        <w:t xml:space="preserve"> Unavailable</w:t>
      </w:r>
    </w:p>
    <w:p>
      <w:pPr>
        <w:pStyle w:val="Heading2"/>
      </w:pPr>
      <w:r>
        <w:t>639.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2023:</w:t>
      </w:r>
      <w:r>
        <w:t xml:space="preserve"> Editors’ Note: Assembly, Gathering and Being with Dance — https://doi.org/10.1017/s0149767723000293</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Editors' Note: Assembly, Gathering and Being with DanceAssembly offers an affair of appearance in which people find common ground in public view or private space.Dance, social choreography, protests, and other forms of assembly are marked by actions that index shared beliefs about the self, the group, and broader social conditions.Assembly might be interpreted as expressing self-determination and the sovereignty of a commons-an ephemeral consolidation of bodies made manifest by the mutual decision to show up for something (Hardt and Negri 2017).That said, although spontaneous gatherings or carefully planned political protests might signal shared values through acts of popular will, copresence is not synonymous with homogeneity.Thus, an interest in the complexities of group formationthe processes and politics of gathering amid dance-drives this special issue of Dance Research Journal.Whereas assembly can be a strategy of turning the singular into the plural or the crowd into the collective, the practice of gathering-whether in a classroom, at a protest, or online-is rarely simple or straightforward.Sure, the presence of those gathered may be intentional, but a politics of belonging conditions the diverse experience of being together.Increasingly, gatherings are facilitated, framed, and disseminated by technological devices and artificial intelligence systems.We wondered, what ar</w:t>
      </w:r>
    </w:p>
    <w:p>
      <w:pPr/>
      <w:r>
        <w:rPr>
          <w:b/>
        </w:rPr>
        <w:t>POSSIBLE 2023:</w:t>
      </w:r>
      <w:r>
        <w:t xml:space="preserve"> Analyzing Communication Strategies in Polyglot Indonesia National Gathering Chapter Semarang: Ethnography of Communication Study — https://doi.org/10.55324/ijoms.v2i12.656</w:t>
      </w:r>
    </w:p>
    <w:p>
      <w:pPr/>
      <w:r>
        <w:rPr>
          <w:b/>
        </w:rPr>
        <w:t>Shared claim-specific concepts:</w:t>
      </w:r>
      <w:r>
        <w:t xml:space="preserve"> gathering, analyzing, article, used; EU scope not established. This is a provisional connection, not an outcome finding.</w:t>
      </w:r>
    </w:p>
    <w:p>
      <w:pPr>
        <w:pStyle w:val="SourceNote"/>
      </w:pPr>
      <w:r>
        <w:rPr>
          <w:b/>
        </w:rPr>
        <w:t>Available abstract (not full text):</w:t>
      </w:r>
      <w:r>
        <w:t xml:space="preserve"> This article presents the results of an ethnographic research on communication about the Indonesian Polyglot community, with a focus on the Semarang Chapter of the Indonesian Polyglot. Communication ethnography is used as an approach to understand the communication practices that occur in this community. This study involved an interview method with members of the Semarang Chapter of the Indonesian Polyglot as the main informant. The data collected was then analyzed using the Ethnographic Communication theory framework developed by Dell Hymes. This data analysis includes the communication practices, norms, and values found within this polyglot community. The results of the study show that communication within the Polyglot Indonesia Chapter Semarang community is very dynamic and is influenced by the diversity of languages owned by the members. Community members use various languages in their interactions, such as Indonesian, foreign languages, and regional languages. They also use effective communication strategies, such as code-switching, code-mixing, and body language, to facilitate understanding and successful communication. This study has important significance in the context of the study of cross-cultural and multilingual communication. In this era of globalization, cross-cultural communication is becoming increasingly relevant, and the study of polyglot communities can prov</w:t>
      </w:r>
    </w:p>
    <w:p>
      <w:pPr/>
      <w:r>
        <w:rPr>
          <w:b/>
        </w:rPr>
        <w:t>POSSIBLE 2022:</w:t>
      </w:r>
      <w:r>
        <w:t xml:space="preserve"> Edge Workload Trace Gathering and Analysis for Benchmarking — https://doi.org/10.1109/icfec54809.2022.00012</w:t>
      </w:r>
    </w:p>
    <w:p>
      <w:pPr/>
      <w:r>
        <w:rPr>
          <w:b/>
        </w:rPr>
        <w:t>Shared claim-specific concepts:</w:t>
      </w:r>
      <w:r>
        <w:t xml:space="preserve"> gathering, analyzing, diverse, tool; EU scope not established. This is a provisional connection, not an outcome finding.</w:t>
      </w:r>
    </w:p>
    <w:p>
      <w:pPr>
        <w:pStyle w:val="SourceNote"/>
      </w:pPr>
      <w:r>
        <w:rPr>
          <w:b/>
        </w:rPr>
        <w:t>Available abstract (not full text):</w:t>
      </w:r>
      <w:r>
        <w:t xml:space="preserve"> The emerging field of edge computing is suffering from a lack of representative data to evaluate rapidly introduced new algorithms or techniques. That is a critical issue as this complex paradigm has numerous different use cases which translate into a highly diverse set of workload types.In this work, within the context of the edge computing activity of SPEC RG Cloud, we continue working towards an edge benchmark by defining high-level workload classes as well as collecting and analyzing traces for three real-world edge applications, which, according to the existing literature, are the representatives of those classes. Moreover, we propose a practical and generic methodology for workload definition and gathering. The traces and gathering tool are provided open-source.In the analysis of the collected workloads, we detect discrepancies between the literature and the traces obtained, thus highlighting the need for a continuing effort into gathering and providing data from real applications, which can be done using the proposed trace gathering methodology. Additionally, we discuss various insights and future directions that rise to the surface through our analysis.</w:t>
      </w:r>
    </w:p>
    <w:p>
      <w:pPr/>
      <w:r>
        <w:rPr>
          <w:b/>
        </w:rPr>
        <w:t>POSSIBLE 2022:</w:t>
      </w:r>
      <w:r>
        <w:t xml:space="preserve"> MAJOR ISSUES AND DILEMMAS IN INTELLIGENCE GATHERING AND SHARING AS A COUNTERTERRORISM STRATEGY — https://doi.org/10.61426/sjbcm.v9i1.2191</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The central objective of this study was to identify major issues and dilemmas in intelligence gathering and sharing as a counterterrorism strategy.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Based on the design, a historical interrogation approach was applied to interrogate various facets of IG &amp; S and terrorism in Kenya whereby they were chronologically documented, and the changes that have occurred over time analyzed. Data analysis was done through mixed analysis method. The study found out that diverse security reforms that have been implemented in the country since independence which have helped to improve IG &amp; S. Major improvements were highlighted to have been streamlined in technology used, training and the information shared. Among the different forms of intelligence, human intelligence and signals intelligence were found to have played the greatest role in containing TT. The study concluded that the question of intelligenc</w:t>
      </w:r>
    </w:p>
    <w:p>
      <w:pPr/>
      <w:r>
        <w:rPr>
          <w:b/>
        </w:rPr>
        <w:t>POSSIBLE 2022:</w:t>
      </w:r>
      <w:r>
        <w:t xml:space="preserve"> STRENGTHENING INTELLIGENCE GATHERING AND SHARING IN REDUCING TERROR RELATED ACTS IN KENYA — https://doi.org/10.61426/sjbcm.v9i1.2192</w:t>
      </w:r>
    </w:p>
    <w:p>
      <w:pPr/>
      <w:r>
        <w:rPr>
          <w:b/>
        </w:rPr>
        <w:t>Shared claim-specific concepts:</w:t>
      </w:r>
      <w:r>
        <w:t xml:space="preserve"> gathering, diverse, here, used; EU scope not established. This is a provisional connection, not an outcome finding.</w:t>
      </w:r>
    </w:p>
    <w:p>
      <w:pPr>
        <w:pStyle w:val="SourceNote"/>
      </w:pPr>
      <w:r>
        <w:rPr>
          <w:b/>
        </w:rPr>
        <w:t>Available abstract (not full text):</w:t>
      </w:r>
      <w:r>
        <w:t xml:space="preserve"> This study explored appropriate measures for strengthening Intelligence Gathering &amp; Sharing in reducing terror related acts in Kenya.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Primary data was collected using open and close-ended questionnaires and interview guide. Data analysis done through mixed analysis method while quantitative data was analyzed through descriptive statistics. Qualitative data was analysed through content analysis. The findings revealed that TT has morphed overtime in terms of actors, motives and targets. Initial TT attacks in the country were indirect attacks on U.S and Israel interest but most subsequent attacks were direct targets to Kenya. The study found that diverse security reforms that have been implemented in the country since independence which have helped to improve IG &amp; S. Major improvements were highlighted to have been streamlined in technology used, training and the information shared. Among the</w:t>
      </w:r>
    </w:p>
    <w:p>
      <w:pPr/>
      <w:r>
        <w:rPr>
          <w:b/>
        </w:rPr>
        <w:t>POSSIBLE 2022:</w:t>
      </w:r>
      <w:r>
        <w:t xml:space="preserve"> Data Gathering Techniques in WSN: A Cross-Layer View — https://doi.org/10.3390/s22072650</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Wireless sensor networks (WSNs) have taken a giant leap in scale, expanding their applicability to a large variety of technological domains and applications, ranging from the Internet of things (IoT) for smart cities and smart homes to wearable technology healthcare applications, underwater, agricultural and environmental monitoring and many more. This expansion is rapidly growing every passing day in terms of the variety, heterogeneity and the number of devices which such applications support. Data collection is commonly the core application in WSN and IoT networks, which are typically composed of a large variety of devices, some constrained by their resources (e.g., processing, storage, energy) and some by highly diverse demands. Many challenges span all the conceptual communication layers, from the Physical to the Applicational. Many novel solutions devised in the past do not scale well with the exponential growth in the population of the devices and need to be adapted, revised, or new innovative solutions are required to comply with this massive growth. Furthermore, recent technological advances present new opportunities which can be leveraged in this context. This paper provides a cross-layer perspective and review of data gathering in WSN and IoT networks. We provide some background and essential milestones that have laid the foundation of many subsequent solutions sugges</w:t>
      </w:r>
    </w:p>
    <w:p>
      <w:pPr>
        <w:pStyle w:val="Heading2"/>
      </w:pPr>
      <w:r>
        <w:t>640.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r>
        <w:rPr>
          <w:b/>
        </w:rPr>
        <w:t>POSSIBLE 2024:</w:t>
      </w:r>
      <w:r>
        <w:t xml:space="preserve"> The effect of lab ageing on different types of fibre-reinforced bitumen — https://doi.org/10.1201/9781003402541-4</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Fibres have been introduced in the asphalt industry to improve the tensile strength and cracking resistance of pavement. In parallel, ageing is considered one of the causes of asphalt&amp;s;s deterioration. However, little research has described the effect of ageing when different types of fibres are incorporated into bitumen. Accordingly, this paper utilises different combinations of polypropylene, glass and basalt fibres in a conventional bituminous binder. Next, the fibre-reinforced binders are exposed to typical short- and long-term ageing protocols. A systematic evaluation of meaningful rheological indicators via a Dynamic Shear Rheometer (DSR) gives a more clear view of the role of each fibre type and the balance between the reinforcement potential and bitumen&amp;s;s degradation due to ageing. In parallel, the assessment of ageing-related indices by Fourier Transform Infrared (FTIR) spectrometer contributes to a better understanding of their rheological evaluation.</w:t>
      </w:r>
    </w:p>
    <w:p>
      <w:pPr/>
      <w:r>
        <w:rPr>
          <w:b/>
        </w:rPr>
        <w:t>POSSIBLE 2024:</w:t>
      </w:r>
      <w:r>
        <w:t xml:space="preserve"> Chemical and Rheological Evaluation of the Ageing Behaviour of High-Content Crumb Rubber Asphalt Binder — https://doi.org/10.3390/polym16213088</w:t>
      </w:r>
    </w:p>
    <w:p>
      <w:pPr/>
      <w:r>
        <w:rPr>
          <w:b/>
        </w:rPr>
        <w:t>Shared claim-specific concepts:</w:t>
      </w:r>
      <w:r>
        <w:t xml:space="preserve"> ageing, similar, but; EU scope not established. This is a provisional connection, not an outcome finding.</w:t>
      </w:r>
    </w:p>
    <w:p>
      <w:pPr>
        <w:pStyle w:val="SourceNote"/>
      </w:pPr>
      <w:r>
        <w:rPr>
          <w:b/>
        </w:rPr>
        <w:t>Available abstract (not full text):</w:t>
      </w:r>
      <w:r>
        <w:t xml:space="preserve"> High-Content Crumb Rubber Asphalt (HCRA) binder improves road performance and address waste tyre pollution, yet its ageing behaviour is not fully understood. In this study, 70# neat asphalt binder and HCRA with rubber contents of 35% and 50% were selected and aged through the Thin Film Oven Test (TFOT) and Pressure Ageing Vessel (PAV) tests. FTIR (Fourier Transform Infrared Spectroscopy) and DSR (Dynamic Shear Rheometer) were employed to investigate their chemical composition and rheological properties. The FTIR results show that HCRA's chemical test results are similar to those of 70#, but HCRA is more susceptible to ageing. I(C=C) strength decreases with age. The DSR results show that HCRA outperforms 70# neat asphalt binder in terms of viscoelasticity, high temperature performance and fatigue resistance, and exhibits greater resistance to ageing. The ageing index (AI) was obtained through a calculation using the formula, and overall, 70# neat asphalt binder is more sensitive to ageing behaviour and less resistant to ageing, and HCRA is particularly outstanding for fatigue resistance. A strong correlation is observed between chemical composition and some rheological property indicators. Therefore, we are able to predict the rheological properties using chemical composition indicators. This study provides insight into the ageing behaviour of a neat asphalt binder and an HCRA b</w:t>
      </w:r>
    </w:p>
    <w:p>
      <w:pPr/>
      <w:r>
        <w:rPr>
          <w:b/>
        </w:rPr>
        <w:t>POSSIBLE 2023:</w:t>
      </w:r>
      <w:r>
        <w:t xml:space="preserve"> Unveiling India's Ageing Mosaic: State-level Projections Revealing Regional Variations until 2031 — https://doi.org/10.21203/rs.3.rs-3118396/v1</w:t>
      </w:r>
    </w:p>
    <w:p>
      <w:pPr/>
      <w:r>
        <w:rPr>
          <w:b/>
        </w:rPr>
        <w:t>Shared claim-specific concepts:</w:t>
      </w:r>
      <w:r>
        <w:t xml:space="preserve"> different, ageing, indices, but, abstract, population; EU scope not established. This is a provisional connection, not an outcome finding.</w:t>
      </w:r>
    </w:p>
    <w:p>
      <w:pPr>
        <w:pStyle w:val="SourceNote"/>
      </w:pPr>
      <w:r>
        <w:rPr>
          <w:b/>
        </w:rPr>
        <w:t>Available abstract (not full text):</w:t>
      </w:r>
      <w:r>
        <w:t xml:space="preserve"> Abstract Population ageing is an inevitable consequence of demographic transitions and declining fertility causes a rising burden of ageing. The goal of the present study is to project the ageing index of various states across the country up to the year 2031. In addition, the study projects the year by which different states will reach the standard level of aging. Data for this study were taken from the 2001 and 2011 census of India. Using simple trend extrapolation techniques, we produced projections of ageing indices up to 2031; and then we projected when different states would reach the standard level of ageing (aging of Kerala in 2011). The results showed that there will be a change in the age structure of the population from 2011 to 2031, with an increase of 6% in the working-age group (15–59 years) and 5% in the older population (60 or more years), but a decline of 11.2% in the children ages 0–14 years. Southern and other states such as Punjab and Himachal Pradesh are likely to attain standard levels of ageing in the next few years. However, northern states are expected to take more years to achieve it.This is the time to start planning for the future burden of the old-age population across the country and arrange adequate health infrastructure for the older population in the future.</w:t>
      </w:r>
    </w:p>
    <w:p>
      <w:pPr/>
      <w:r>
        <w:rPr>
          <w:b/>
        </w:rPr>
        <w:t>POSSIBLE 2023:</w:t>
      </w:r>
      <w:r>
        <w:t xml:space="preserve"> Geospatial analysis of population ageing in Bosnia and Herzegovina — https://doi.org/10.5937/gp27-41960</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The aim of this research is to analyze the spatial distribution of the population ageing in Bosnia and Herzegovina and identify areas of the country that are particularly vulnerable to negative demographic trends. To achieve the goal of the study, data on the ageing coefficient and ageing index for the period 2013-2020 were used. The geospatial analysis of these indicators was performed using global (Global Moran's I and Getis-Ord General G) and local (Anselin Local Moran's I and Getis-Ord G*) indexes of spatial autocorrelation. The research results confirmed the clustering of both indicators. Ageing coefficient values are clustered in municipalities in western, northwestern, Eastern, and central Bosnia and Herzegovina. Ageing index values are clustered in municipalities in central, western, northwestern, and northeastern Bosnia and Herzegovina. This study provides insight into the research methods of spatial demographic trends and phenomena, and its findings can serve as a basis for future demographic research and development in Bosnia and Herzegovina.</w:t>
      </w:r>
    </w:p>
    <w:p>
      <w:pPr/>
      <w:r>
        <w:rPr>
          <w:b/>
        </w:rPr>
        <w:t>POSSIBLE 2022:</w:t>
      </w:r>
      <w:r>
        <w:t xml:space="preserve"> Relationship of Different Anthropometric Indices with Vascular Ageing in an Adult Population without Cardiovascular Disease—EVA Study — https://doi.org/10.3390/jcm11092671</w:t>
      </w:r>
    </w:p>
    <w:p>
      <w:pPr/>
      <w:r>
        <w:rPr>
          <w:b/>
        </w:rPr>
        <w:t>Shared claim-specific concepts:</w:t>
      </w:r>
      <w:r>
        <w:t xml:space="preserve"> different, ageing, indices, population, estimate; EU scope visible. This is a provisional connection, not an outcome finding.</w:t>
      </w:r>
    </w:p>
    <w:p>
      <w:pPr>
        <w:pStyle w:val="SourceNote"/>
      </w:pPr>
      <w:r>
        <w:rPr>
          <w:b/>
        </w:rPr>
        <w:t>Available abstract (not full text):</w:t>
      </w:r>
      <w:r>
        <w:t xml:space="preserve"> The objectives of this study were to analyse the capacity of different anthropometric indices to predict vascular ageing and this association in Spanish adult population without cardiovascular disease. A total of 501 individuals without cardiovascular disease residing in the capital of Salamanca (Spain) were selected (mean age: 55.9 years, 50.3% women), through stratified random sampling by age and sex. Starting from anthropometric measurements such as weight, height, and waist circumference, hip circumference, or biochemical parameters, we could estimate different indices that reflected general obesity, abdominal obesity, and body fat distribution. Arterial stiffness was evaluated by measuring carotid-femoral pulse wave velocity (cf-PWV) using a SphygmoCor® device. Vascular ageing was defined in three steps: Step 1: the participants with vascular injury were classified as early vascular ageing (EVA); Step 2: classification of the participants using the 10 and 90 percentiles of cf-PWV in the study population by age and sex in EVA, healthy vascular ageing (HVA) and normal vascular ageing (NVA); Step 3: re-classification of participants with arterial hypertension or type 2 diabetes mellitus included in HVA as NVA. The total prevalence of HVA and EVA was 8.4% and 21.4%, respectively. All the analysed anthropometric indices, except waist/hip ratio (WHpR), were associated with vascu</w:t>
      </w:r>
    </w:p>
    <w:p>
      <w:pPr/>
      <w:r>
        <w:rPr>
          <w:b/>
        </w:rPr>
        <w:t>POSSIBLE 2022:</w:t>
      </w:r>
      <w:r>
        <w:t xml:space="preserve"> State of the art: Multiscale evaluation of bitumen ageing behaviour — https://doi.org/10.1016/j.fuel.2022.125045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Ageing is a common phenomenon that seriously affects the performance and service life of asphalt pavements. In this paper, multiscale evaluations of bitumen ageing behaviour were reviewed to better understand the bitumen ageing mechanism and thereby contribute to future anti-ageing and binder rejuvenation work in this area. The paper initially looks at conventional as well as bespoke ageing methods before concentrating on bitumen ageing evaluation at different scales ranging from macro, meso, micro to nano scale. This is done by introducing the application of differential scanning calorimetry (DSC) and thermogravimetric analysis (TGA) in thermal indices; thin-layer chromatography-flame ionization detector (TLC-FID), gel permeation chromatography (GPC) and Fourier infrared spectrometer (FTIR) in components and functional groups; atomic force microscopy (AFM), optical spectroscopy and fluorescence spectroscopy (FM) in microstructural analysis; and, finally, nuclear magnetic resonance (NMR), time-of-flight secondary ion mass spectrometry (TOF-SIMS) and molecular dynamic simulations at the nanoscale. This review paper highlights the intricate correlations between the different hierarchical scales of bitumen ageing and the importance of a multiscale approach to provide a more comprehensive study and understanding of the ageing of bitumen.</w:t>
      </w:r>
    </w:p>
    <w:p>
      <w:pPr>
        <w:pStyle w:val="Heading2"/>
      </w:pPr>
      <w:r>
        <w:t>641.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r>
        <w:rPr>
          <w:b/>
        </w:rPr>
        <w:t>POSSIBLE 2024:</w:t>
      </w:r>
      <w:r>
        <w:t xml:space="preserve"> Measuring Digital Sustainability Paying Attention to the Economic, Social, and Environmental Dimensions: A European Perspective — https://doi.org/10.1007/s11205-024-03459-9</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Sustainability Pluralism in the Pharmaceutical Strategy for Europe: In Search of Social, Environmental and Economic Trends — https://doi.org/10.2139/ssrn.4991533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Valuing Public Sector Data in Scotland and Europe: Data Governance for Economic, Environmental and Social Development — https://doi.org/10.20933/100001329</w:t>
      </w:r>
    </w:p>
    <w:p>
      <w:pPr/>
      <w:r>
        <w:rPr>
          <w:b/>
        </w:rPr>
        <w:t>Shared claim-specific concepts:</w:t>
      </w:r>
      <w:r>
        <w:t xml:space="preserve"> environmental, different, needs, explored, benefits; EU scope visible. This is a provisional connection, not an outcome finding.</w:t>
      </w:r>
    </w:p>
    <w:p>
      <w:pPr>
        <w:pStyle w:val="SourceNote"/>
      </w:pPr>
      <w:r>
        <w:rPr>
          <w:b/>
        </w:rPr>
        <w:t>Available abstract (not full text):</w:t>
      </w:r>
      <w:r>
        <w:t xml:space="preserve"> Data is collected by many different kinds of people and organisations, including the government and big businesses but also ordinary people. Data can give us many benefits and opportunities to improve society, the economy and the environment, and it can therefore meet the needs of diverse, plural publics. Doing this requires a good understanding of data and its uses in order to navigate this landscape, beginning with clarity about the range of issues and the definitional challenges around data and its rich complexities. The ‘Valuing Public Sector Data in Scotland and Europe: Data Governance for Economic, Environmental and Social Development’ Programme, funded by the (now retired) Scottish Universities Insight Institute between October 2023 and January 2024, was a timely exploration into public (sector) data’s benefits and challenges. During the programme, the nuances of ascribing value to data, and how that data may contribute in good – and bad – ways to the general public, were discussed and explored. We considered how ‘public data’ is gathered and used, and by whom, in Scotland, the European Union and beyond, identifying key insights to inform further research and policymaking in this area. Here we give some context for our programme on public data, before providing an overview of the workshops we ran and key insights which emerged from them. Against this backdrop, we present</w:t>
      </w:r>
    </w:p>
    <w:p>
      <w:pPr/>
      <w:r>
        <w:rPr>
          <w:b/>
        </w:rPr>
        <w:t>POSSIBLE 2023:</w:t>
      </w:r>
      <w:r>
        <w:t xml:space="preserve"> Advancing the European energy transition based on environmental, economic and social justice — https://doi.org/10.1016/j.spc.2023.10.013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Energy transition has implications not only for economic growth and social welfare but also for the planet. It is therefore important to provide a framework of quantifying how this transition might affect these aspects from a triple perspective. In this regard, an in-depth and critical analysis of the available reports, policy frameworks and initiatives on energy transition, under the sustainable and circular perspectives, has been developed. This manuscript provides a “know-how” framework to assist in decision making and to assess the effectiveness, gaps and future actions to be developed for an effective energy transition. It presents a set of indicators to assess the sustainable and circular potential of emerging technologies and renewable energy production schemes, focusing on the environmental, social and economic pillars. It also highlights the policies and initiatives that should be implemented to facilitate this transition, as well as analyzing a comparison between European countries on how to improve energy renewability in those with low scores in the energy transition indexes. This study provides a critical analysis of the implications on energy transition over environmental, social and economic sustainability, as well as on circularity. It provides a preselection of the most appropriate indicators (both quantitative and qualitative) to effectively analyze the transit</w:t>
      </w:r>
    </w:p>
    <w:p>
      <w:pPr/>
      <w:r>
        <w:rPr>
          <w:b/>
        </w:rPr>
        <w:t>POSSIBLE 2023:</w:t>
      </w:r>
      <w:r>
        <w:t xml:space="preserve"> Sustainable Development in Europe: A Review of the Forestry Sector's Social, Environmental, and Economic Dynamics — https://doi.org/10.56556/gssr.v2i3.585</w:t>
      </w:r>
    </w:p>
    <w:p>
      <w:pPr/>
      <w:r>
        <w:rPr>
          <w:b/>
        </w:rPr>
        <w:t>Shared claim-specific concepts:</w:t>
      </w:r>
      <w:r>
        <w:t xml:space="preserve"> environmental, wood, strategies, variety; EU scope visible. This is a provisional connection, not an outcome finding.</w:t>
      </w:r>
    </w:p>
    <w:p>
      <w:pPr>
        <w:pStyle w:val="SourceNote"/>
      </w:pPr>
      <w:r>
        <w:rPr>
          <w:b/>
        </w:rPr>
        <w:t>Available abstract (not full text):</w:t>
      </w:r>
      <w:r>
        <w:t xml:space="preserve"> Despite their resilience, forest ecosystems become increasingly impacted by extreme climatic events, fires, and pathogen outbursts, which have considerable economic repercussions. How forest management solves these difficulties will affect human health, environmental variety, productivity, and forest ecosystem recuperation from exogenic distresses. Assuming forests provide ecosystem services essential to society and humanity along with wood, a better understanding of forest ecosystems seems essential to defining a development policy that meets ecological safeguard and energy and climate goals. According to the UN 2030 Agenda's Sustainable Development Goals, European forest management practices still don't provide a clear picture of ecological conditions, monetary estimate, and biodiversity. In light of the existing research, this article reviews and discusses recent European forestry industry trends and the environmental-economic nexus' complexity. Wood use has social consequences for regions adapting to ecological change, from rising temperatures to landscape modifications. This paper confirms that the technical-economic dimensions of forestry affect short-term economic dynamics, sector growth prospects, supply chain organization, company interconnections, and investment strategies. Forestry practices conserve species and habitats while boosting sustainable timber production. </w:t>
      </w:r>
    </w:p>
    <w:p>
      <w:pPr/>
      <w:r>
        <w:rPr>
          <w:b/>
        </w:rPr>
        <w:t>POSSIBLE 2023:</w:t>
      </w:r>
      <w:r>
        <w:t xml:space="preserve"> Sustainability assessment of economic, environmental and social impacts, feed-food competition and economic robustness of dairy and beef farming systems in South Western Europe — https://doi.org/10.1016/j.spc.2023.01.022</w:t>
      </w:r>
    </w:p>
    <w:p>
      <w:pPr/>
      <w:r>
        <w:rPr>
          <w:b/>
        </w:rPr>
        <w:t>Shared claim-specific concepts:</w:t>
      </w:r>
      <w:r>
        <w:t xml:space="preserve"> environmental, impacts, different, needs, assessed, sustainability; EU scope visible. This is a provisional connection, not an outcome finding.</w:t>
      </w:r>
    </w:p>
    <w:p>
      <w:pPr>
        <w:pStyle w:val="SourceNote"/>
      </w:pPr>
      <w:r>
        <w:rPr>
          <w:b/>
        </w:rPr>
        <w:t>Available abstract (not full text):</w:t>
      </w:r>
      <w:r>
        <w:t xml:space="preserve"> The objective of this study was to evaluate the sustainability of cattle systems in South Western Europe by combining life cycle sustainability assessment (LCSA) with assessment of feed-food competition and economic robustness. We studied three cattle systems using different proportions of semi-natural pasture, and producing either only beef or milk and beef, i.e. a dairy system with Holstein breed in the lowlands of France with &lt;5% of the total land used being semi-natural pastures (HolSy), a dairy system with Montbeliarde breed in the highlands of France with approximately 25% of the total land used being semi-natural pastures (MonSy), and a pure beef system with Parda de Montana breed in the highlands of Spain with &gt;85% of the total land used being semi-natural pastures (ParSy). The functional unit for LCSA was 1000 kg protein of animal origin and the system boundary was from cradle to farmgate. The cattle production systems were assessed using 27 indicators (LCSA, feed-food competition and robustness). The results indicated that MonSy performed less well for 10 and ParSy for 14 out of the 27 indicators researched when compared to HolSy, the reference case. HolSy was less sensitive to a support payment decrease and had lower social impacts on farmers than the other two systems. MonSy had lower impacts on some environmental indicators, lower life cycle costs, lower social imp</w:t>
      </w:r>
    </w:p>
    <w:p>
      <w:pPr>
        <w:pStyle w:val="Heading2"/>
      </w:pPr>
      <w:r>
        <w:t>642.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action, climate, emission, reduction;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Biobased Innovation as a Fashion and Textile Design Must: A European Perspective — https://doi.org/10.3390/su14010570</w:t>
      </w:r>
    </w:p>
    <w:p>
      <w:pPr/>
      <w:r>
        <w:rPr>
          <w:b/>
        </w:rPr>
        <w:t>Shared claim-specific concepts:</w:t>
      </w:r>
      <w:r>
        <w:t xml:space="preserve"> must, possible, feasible; EU scope visible. This is a provisional connection, not an outcome finding.</w:t>
      </w:r>
    </w:p>
    <w:p>
      <w:pPr>
        <w:pStyle w:val="SourceNote"/>
      </w:pPr>
      <w:r>
        <w:rPr>
          <w:b/>
        </w:rPr>
        <w:t>Available abstract (not full text):</w:t>
      </w:r>
      <w:r>
        <w:t xml:space="preserve"> Fashion industry investments drive the choice for textile solutions characterized by radical experimentation and a firm commitment to sustainability. In the last five years, textile innovations have been strongly related to biobased textile solutions evolving to become effectively feasible and strategic. The produced qualitative knowledge implementations consider new production patterns, innovative technical and digital know-how, and new consumption scenarios. The directions the industry is tracing may provide new opportunities for future textile development in the circular biobased economy. This paper presents a map of current European practices. It discusses the possible passage through a holistic paradigm that goes beyond the boundaries of the old productive systems to accompany the sector towards a new sustainable and transversal state. It also presents three selected best practices that return the actual context in which the phenomenon occurs. A model is presented to demonstrate how these circular processes of biobased materials production enable more process innovations which are developed through implementing the process itself: companies’ search for rethinking and implementing the traditional practices or designing new ones (as determined by the doctoral research of one of the authors).</w:t>
      </w:r>
    </w:p>
    <w:p>
      <w:pPr/>
      <w:r>
        <w:rPr>
          <w:b/>
        </w:rPr>
        <w:t>POSSIBLE 2022:</w:t>
      </w:r>
      <w:r>
        <w:t xml:space="preserve"> Musical Responses to Western European Bureaucratic Action — https://doi.org/10.47611/jsrhs.v11i3.2902</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With the rise of popular culture music, as well as resurgence of traditional folk music in the late twentieth century, Western cultures, distinctly Western European states, saw the relations between music and politics emerge to its current state- a deeply intertwined dependency between the two, with its effect spreading across borders to reach greater populations. To look at how the relations between music and politics came to be, first the examination of the dependency between the two in the latter half of the twentieth century must occur. Across genres, artists drew inspiration from their current political climate, creating music as a response. Yet, political action also resulted from music, distinctly with songs coined as “protest soundtracks.” The multifaceted nature of the relationship allows for a greater understanding of the extremes of this relationship, distinctly with music censorship occurring in most European states, democratic and authoritative alike. The continued censorship of music from European states leads to the notion that the existence of music warrants political action, despite proven lack of substantive response of the music itself. To grant a greater autonomy to artists and develop an enhanced comprehension of the multifaceted relationship that is music and politics, the implementation of music-based lessons of core classes into secondary schools will wa</w:t>
      </w:r>
    </w:p>
    <w:p>
      <w:pPr/>
      <w:r>
        <w:rPr>
          <w:b/>
        </w:rPr>
        <w:t>POSSIBLE 2021:</w:t>
      </w:r>
      <w:r>
        <w:t xml:space="preserve"> Innovative actions in oceans and human health for Europe — https://doi.org/10.1093/heapro/daab203</w:t>
      </w:r>
    </w:p>
    <w:p>
      <w:pPr/>
      <w:r>
        <w:rPr>
          <w:b/>
        </w:rPr>
        <w:t>Shared claim-specific concepts:</w:t>
      </w:r>
      <w:r>
        <w:t xml:space="preserve"> action, climate, targets; EU scope visible. This is a provisional connection, not an outcome finding.</w:t>
      </w:r>
    </w:p>
    <w:p>
      <w:pPr>
        <w:pStyle w:val="SourceNote"/>
      </w:pPr>
      <w:r>
        <w:rPr>
          <w:b/>
        </w:rPr>
        <w:t>Available abstract (not full text):</w:t>
      </w:r>
      <w:r>
        <w:t xml:space="preserve"> Innovative actions are local initiatives which leverage the interactions between the ocean and human health to reduce the risks and enhance the benefits for the stakeholders and the natural environment. These initiatives can have strong positive effects on human health and wellbeing as well as on the marine environment. We analysed 150 such innovative actions in Europe. Using a combined case study and survey approach, innovative actions were identified using interviews and content analysis of websites and compiled into a database. Quantitative data were analysed according to the Drivers, Pressures, State, Impact and Response (DPSIR) framework, guided by selected in-depth interviews. Overall, the innovative actions provided a positive impact on the health of both the ocean and humans through increasing food provision, water quality and tourism opportunities; and addressing environmental issues such as commercial fish stock depletion, pollution and climate change. Innovative actions contributed to meeting various targets of the Sustainable Development Goals (SDGs) 3, 13 and 14. These actions played a potential role ahead of and alongside policy. Some of the innovative actions may have potential to be put in place elsewhere. Such up-scaling would need to be adapted to local circumstances and could be facilitated by an innovative action exchange platform.</w:t>
      </w:r>
    </w:p>
    <w:p>
      <w:pPr/>
      <w:r>
        <w:rPr>
          <w:b/>
        </w:rPr>
        <w:t>POSSIBLE 2021:</w:t>
      </w:r>
      <w:r>
        <w:t xml:space="preserve"> Climate Action at Public Health Schools in the European Region — https://doi.org/10.3390/ijerph18041518</w:t>
      </w:r>
    </w:p>
    <w:p>
      <w:pPr/>
      <w:r>
        <w:rPr>
          <w:b/>
        </w:rPr>
        <w:t>Shared claim-specific concepts:</w:t>
      </w:r>
      <w:r>
        <w:t xml:space="preserve"> action, taken, climate, strategy, show; EU scope visible. This is a provisional connection, not an outcome finding.</w:t>
      </w:r>
    </w:p>
    <w:p>
      <w:pPr>
        <w:pStyle w:val="SourceNote"/>
      </w:pPr>
      <w:r>
        <w:rPr>
          <w:b/>
        </w:rPr>
        <w:t>Available abstract (not full text):</w:t>
      </w:r>
      <w:r>
        <w:t xml:space="preserve"> Climate change is putting the achievement of all Sustainable Development Goals at risk and leads to negative impacts on human health and well-being. Consequently, tremendous social responsibility lies with public health professionals and their associations. Therefore, this study addressed the following question: "How can the Association of Schools of Public Health in the European Region (ASPHER) best support the goals of the European Green Deal through its network of public health schools and departments?" This study looked at the implementation of climate education in public health schools in the European region and climate action taken by these public health schools. An online survey among ASPHER members with a 51% overall response rate (excluding non-European members) shows that 64% of the responding schools provide climate-health educational offerings, while 63% consider these for the future. Additionally, most climate actions taken by the schools were ad hoc actions. These findings show that a systematic approach is missing, and there is a general lack of strategy in most schools. We consequently recommend that schools invest in climate and health education in their curricula and become exemplars for climate action to actively contribute to the achievement of Europe's climate goals.</w:t>
      </w:r>
    </w:p>
    <w:p>
      <w:pPr/>
      <w:r>
        <w:rPr>
          <w:b/>
        </w:rPr>
        <w:t>POSSIBLE 2020:</w:t>
      </w:r>
      <w:r>
        <w:t xml:space="preserve"> Analysing European Union circular economy policies: words versus actions — https://doi.org/10.1016/j.spc.2020.11.001</w:t>
      </w:r>
    </w:p>
    <w:p>
      <w:pPr/>
      <w:r>
        <w:rPr>
          <w:b/>
        </w:rPr>
        <w:t>Shared claim-specific concepts:</w:t>
      </w:r>
      <w:r>
        <w:t xml:space="preserve"> action, taken, show, increase; EU scope visible. This is a provisional connection, not an outcome finding.</w:t>
      </w:r>
    </w:p>
    <w:p>
      <w:pPr>
        <w:pStyle w:val="SourceNote"/>
      </w:pPr>
      <w:r>
        <w:rPr>
          <w:b/>
        </w:rPr>
        <w:t>Available abstract (not full text):</w:t>
      </w:r>
      <w:r>
        <w:t xml:space="preserve"> Since the publication of the European Union's Circular Economy Action Plan in 2015, this new sustainability paradigm has become a guiding force behind the environmental and economic policies of the Junker Commission. The European Union (EU) has taken a particular approach to circularity, with high expectations to increase competitiveness, promote economic growth and create jobs while reducing environmental impacts and resource dependency. However, the circular economy (CE) is a contested paradigm, for which many competing interpretations exist, each seeking varying degrees of social, ecological and political transformation. Considering the emerging and contested state of the academic literature on CE, the EU's embrace of the concept is a remarkable phenomenon, which remains poorly researched. The aim of this paper is thus to address this research gap by analysing the CE discourse and policies of the Junker Commission (2014-2019) in order to critically discuss their sustainability implications and develop key policy recommendations. To do so, this research uses a combination of qualitative and quantitative research methods. The paper first critically analyses the EU's discourse based on a typology of circularity discourses. It then reviews the complex set of concrete CE policies and actions adopted by the EU and compares them to its discourse. Results show a dichotomy between wo</w:t>
      </w:r>
    </w:p>
    <w:p>
      <w:pPr>
        <w:pStyle w:val="Heading2"/>
      </w:pPr>
      <w:r>
        <w:t>643.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Unlocking the Power of Crowds: Exploring Crowdsourcing and Crowdfunding Initiatives in Europe — https://doi.org/10.7336/academicus.2023.28.08</w:t>
      </w:r>
    </w:p>
    <w:p>
      <w:pPr/>
      <w:r>
        <w:rPr>
          <w:b/>
        </w:rPr>
        <w:t>Shared claim-specific concepts:</w:t>
      </w:r>
      <w:r>
        <w:t xml:space="preserve"> article, aims, exploring, between, support; EU scope visible. This is a provisional connection, not an outcome finding.</w:t>
      </w:r>
    </w:p>
    <w:p>
      <w:pPr>
        <w:pStyle w:val="SourceNote"/>
      </w:pPr>
      <w:r>
        <w:rPr>
          <w:b/>
        </w:rPr>
        <w:t>Available abstract (not full text):</w:t>
      </w:r>
      <w:r>
        <w:t xml:space="preserve"> The world of crowdsourcing and crowdfunding in Europe is a dynamic and transformative space that has been significantly impacted by the rapid growth of digital technologies. This innovative approach has become a game-changer for entrepreneurs, startups, and creative individuals as it harnesses the collective intelligence and financial support of people. Various platforms and mechanisms are driving crowdsourcing and crowdfunding initiatives in Europe, leading to success stories, emerging trends, and potential benefits for all partecipants. This article aims to analyze some of the various emerging trends in crowdsourcing and crowdfunding across Europe while highlighting their potential benefits for those seeking funding or collaboration opportunities. It further examines both crowdsourcing and crowdfunding advantages &amp; disadvantages. Ultimately, this article aims to unlock the full potential of collaboration between people from diverse backgrounds by exploring ways to leverage crowdsourcing &amp; crowdfunding effectively.</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article, exploring, understanding;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exploring, between;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2021:</w:t>
      </w:r>
      <w:r>
        <w:t xml:space="preserve"> Judicial Dialogue in Social Media Cases in Europe: Exploring the Role of Peers in Judicial Adjudication — https://doi.org/10.1017/glj.2021.57</w:t>
      </w:r>
    </w:p>
    <w:p>
      <w:pPr/>
      <w:r>
        <w:rPr>
          <w:b/>
        </w:rPr>
        <w:t>Shared claim-specific concepts:</w:t>
      </w:r>
      <w:r>
        <w:t xml:space="preserve"> article, aims, exploring; EU scope visible. This is a provisional connection, not an outcome finding.</w:t>
      </w:r>
    </w:p>
    <w:p>
      <w:pPr>
        <w:pStyle w:val="SourceNote"/>
      </w:pPr>
      <w:r>
        <w:rPr>
          <w:b/>
        </w:rPr>
        <w:t>Available abstract (not full text):</w:t>
      </w:r>
      <w:r>
        <w:t xml:space="preserve"> Abstract This Article aims to examine the social media jurisprudence of national courts in a selected set of EU Member States by focusing on judicial dialogue specifically via references to the case law of other courts. Do judges in social media cases engage with the case law of peers, and if so how and to what extent? The analysis investigates whether national judges draw on the jurisprudence of higher domestic courts, foreign courts and/or European supranational courts—the Court of Justice of the European Union (CJEU) and the European Court of Human Rights (ECtHR)—and explores the use of such jurisprudence. It is based on 147 cases from the constitutional and/or supreme courts of Bulgaria, Croatia, Greece, Italy, Latvia, Slovakia, and Slovenia. Although judicial dialogue is generally limited in the cases under study, the analysis illustrates the different ways in which courts interact with the rulings of peers and informs on the latter’s contribution to judicial assessment.</w:t>
      </w:r>
    </w:p>
    <w:p>
      <w:pPr/>
      <w:r>
        <w:rPr>
          <w:b/>
        </w:rPr>
        <w:t>POSSIBLE 2020:</w:t>
      </w:r>
      <w:r>
        <w:t xml:space="preserve"> Creative Connections: The power of contemporary art to explore European citizenship — https://doi.org/10.14324/lre.18.2.10</w:t>
      </w:r>
    </w:p>
    <w:p>
      <w:pPr/>
      <w:r>
        <w:rPr>
          <w:b/>
        </w:rPr>
        <w:t>Shared claim-specific concepts:</w:t>
      </w:r>
      <w:r>
        <w:t xml:space="preserve"> article, citizens, perceptions; EU scope visible. This is a provisional connection, not an outcome finding.</w:t>
      </w:r>
    </w:p>
    <w:p>
      <w:pPr>
        <w:pStyle w:val="SourceNote"/>
      </w:pPr>
      <w:r>
        <w:rPr>
          <w:b/>
        </w:rPr>
        <w:t>Available abstract (not full text):</w:t>
      </w:r>
      <w:r>
        <w:t xml:space="preserve"> Across Europe, educational institutions are essential in assisting exploration of politics, culture and history, and the use of creative arts appears crucial to supporting this aim. This article reports on Creative Connections, a multi-partner research project that facilitated exchanges for young people to explore their European identities using online art galleries and blogging technologies. Their multimodal conversations revealed an openness to consider artworks as sources of knowledge and experience. Participants did not focus on the nationality of the artist, but concentrated on the relationship that the subject matter of the work had with their own concerns. Anxiety related to populism, exclusive nationalism, social inequality and new forms of labour appeared to impact young European citizens’ relationships and their perceptions of democracy.</w:t>
      </w:r>
    </w:p>
    <w:p>
      <w:pPr/>
      <w:r>
        <w:rPr>
          <w:b/>
        </w:rPr>
        <w:t>POSSIBLE 2020:</w:t>
      </w:r>
      <w:r>
        <w:t xml:space="preserve"> The content and potential of the right to social assistance in light of Article 13 of the European Social Charter — https://doi.org/10.1177/1388262720908695</w:t>
      </w:r>
    </w:p>
    <w:p>
      <w:pPr/>
      <w:r>
        <w:rPr>
          <w:b/>
        </w:rPr>
        <w:t>Shared claim-specific concepts:</w:t>
      </w:r>
      <w:r>
        <w:t xml:space="preserve"> article, aims, support; EU scope visible. This is a provisional connection, not an outcome finding.</w:t>
      </w:r>
    </w:p>
    <w:p>
      <w:pPr>
        <w:pStyle w:val="SourceNote"/>
      </w:pPr>
      <w:r>
        <w:rPr>
          <w:b/>
        </w:rPr>
        <w:t>Available abstract (not full text):</w:t>
      </w:r>
      <w:r>
        <w:t xml:space="preserve"> This article explores the current development of the right to social assistance as well as its potential for improving income support policies. Focusing on Article 13 of the European Social Charter (ESC), it aims to shed light on the content of such provision by identifying a list of comprehensive defining standards from the monitoring activity conducted by the European Committee of Social Rights (ECSR). Secondly, it asks whether the right can effectively enhance access to social assistance in practice by studying the implementation of the right in two national cases, the UK and Spain. The article concludes that Article 13 ESC imposes clear obligations on States Parties regarding aspects of the implementation of assistance schemes, such as the level of assistance and the right to appeal. Nevertheless, practical aspects of implementation should be taken into account for the effective realisation of the right. The ESC provisions, as well as the ECSR’s Conclusions, should be enforced by States at the national level. Furthermore, the standards developed by the ECSR for Article 13 can be complemented by recommendations currently suggested by civil society, such as the increased flexibility of activation measures for households with parenting duties, and the splitting of payments to achieve financial independence.</w:t>
      </w:r>
    </w:p>
    <w:p>
      <w:pPr/>
      <w:r>
        <w:rPr>
          <w:b/>
        </w:rPr>
        <w:t>POSSIBLE 2020:</w:t>
      </w:r>
      <w:r>
        <w:t xml:space="preserve"> Who is Teleworking and Where from? Exploring the Main Determinants of Telework in Europe — https://doi.org/10.3390/su12218797</w:t>
      </w:r>
    </w:p>
    <w:p>
      <w:pPr/>
      <w:r>
        <w:rPr>
          <w:b/>
        </w:rPr>
        <w:t>Shared claim-specific concepts:</w:t>
      </w:r>
      <w:r>
        <w:t xml:space="preserve"> exploring, understanding, between, support, technological; EU scope visible. This is a provisional connection, not an outcome finding.</w:t>
      </w:r>
    </w:p>
    <w:p>
      <w:pPr>
        <w:pStyle w:val="SourceNote"/>
      </w:pPr>
      <w:r>
        <w:rPr>
          <w:b/>
        </w:rPr>
        <w:t>Available abstract (not full text):</w:t>
      </w:r>
      <w:r>
        <w:t xml:space="preserve">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pPr/>
      <w:r>
        <w:rPr>
          <w:b/>
        </w:rPr>
        <w:t>POSSIBLE 2020:</w:t>
      </w:r>
      <w:r>
        <w:t xml:space="preserve"> Exploring inclusive education across Europe: some insights from the European Agency Statistics on Inclusive Education — https://doi.org/10.32865/fire202061172</w:t>
      </w:r>
    </w:p>
    <w:p>
      <w:pPr/>
      <w:r>
        <w:rPr>
          <w:b/>
        </w:rPr>
        <w:t>Shared claim-specific concepts:</w:t>
      </w:r>
      <w:r>
        <w:t xml:space="preserve"> article, exploring, insights, between; EU scope visible. This is a provisional connection, not an outcome finding.</w:t>
      </w:r>
    </w:p>
    <w:p>
      <w:pPr>
        <w:pStyle w:val="SourceNote"/>
      </w:pPr>
      <w:r>
        <w:rPr>
          <w:b/>
        </w:rPr>
        <w:t>Available abstract (not full text):</w:t>
      </w:r>
      <w:r>
        <w:t xml:space="preserve"> The European Agency Statistics on Inclusive Education (EASIE) work focuses upon the collection and analysis of longitudinal, comparative national data related to inclusive education systems and learners with officially recognised special educational needs (SEN) among its 31 member countries. In this article, the EASIE work is discussed in relation to the key concepts of presence, placement, participation and progress within inclusive education systems.The findings of the EASIE work indicate differences and variations between countries in how they respond to all learners</w:t>
      </w:r>
    </w:p>
    <w:p>
      <w:pPr>
        <w:pStyle w:val="Heading2"/>
      </w:pPr>
      <w:r>
        <w:t>644.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2022:</w:t>
      </w:r>
      <w:r>
        <w:t xml:space="preserve"> The micro-macro interplay of economic factors in late-life loneliness: Evidence from Europe and China — https://doi.org/10.3389/fpubh.2022.968411</w:t>
      </w:r>
    </w:p>
    <w:p>
      <w:pPr/>
      <w:r>
        <w:rPr>
          <w:b/>
        </w:rPr>
        <w:t>Shared claim-specific concepts:</w:t>
      </w:r>
      <w:r>
        <w:t xml:space="preserve"> china, need, increase, low; EU scope visible. This is a provisional connection, not an outcome finding.</w:t>
      </w:r>
    </w:p>
    <w:p>
      <w:pPr>
        <w:pStyle w:val="SourceNote"/>
      </w:pPr>
      <w:r>
        <w:rPr>
          <w:b/>
        </w:rPr>
        <w:t>Available abstract (not full text):</w:t>
      </w:r>
      <w:r>
        <w:t xml:space="preserve"> Individual socioeconomic status has a significant impact on whether older adults can initiate and maintain social relationships and participate in society, hence it affects loneliness. At the macro level, income inequality is expected to increase the risk of loneliness by eroding social cohesion and trust, while welfare generosity might protect people from loneliness. The aim of the study is to explore whether income inequality and welfare generosity at the country level moderate the effect of socioeconomic status at the individual level on late-life loneliness. Data were obtained from the HRS family of surveys - the Survey of Health, Aging and Retirement in Europe (SHARE) (wave 5, 2011/12) and China Health and Retirement Longitudinal Study (CHARLS) (wave 2, 2012/13). Respondents aged 50 years and older from twelve European countries and China were included in the study. Logistic country fixed effect models were used in the analysis. The findings show a stronger effect of individual socioeconomic status on late-life loneliness in more income-unequal societies and a weaker effect in more welfare-generous societies. There is a need to consider the impact of income distribution and welfare spending on the risk of loneliness among those older adults with low socioeconomic status when tailoring preventive programs and interventions to reduce loneliness among this vulnerable group.</w:t>
      </w:r>
    </w:p>
    <w:p>
      <w:pPr/>
      <w:r>
        <w:rPr>
          <w:b/>
        </w:rPr>
        <w:t>POSSIBLE 2021:</w:t>
      </w:r>
      <w:r>
        <w:t xml:space="preserve"> Increased trade with China and Eastern Europe hardly affects Dutch workers — https://openalex.org/W3187283793</w:t>
      </w:r>
    </w:p>
    <w:p>
      <w:pPr/>
      <w:r>
        <w:rPr>
          <w:b/>
        </w:rPr>
        <w:t>Shared claim-specific concepts:</w:t>
      </w:r>
      <w:r>
        <w:t xml:space="preserve"> china, need, increase; EU scope visible. This is a provisional connection, not an outcome finding.</w:t>
      </w:r>
    </w:p>
    <w:p>
      <w:pPr>
        <w:pStyle w:val="SourceNote"/>
      </w:pPr>
      <w:r>
        <w:rPr>
          <w:b/>
        </w:rPr>
        <w:t>Available abstract (not full text):</w:t>
      </w:r>
      <w:r>
        <w:t xml:space="preserve"> Contrary to other studies, we find no robust effect of an increase in trade with China and Central European (CEE) countries on local employment, wages and inequality in the Netherlands. If there is an effect, it is small, with positive effects of increased exports counteracting the negative effects of increased imports. One of the reasons why we find different results for the Netherlands is the fact that the Dutch manufacturing industry was already undergoing changes well before the emergence of China and the CEE countries and became less sensitive to import competition from China or the CEE countries. In addition, the Netherlands has collective wage negotiations, which may help to explain that we do not find any effects on wages. While the effect of increased trade with China and the CEE countries on manufacturing jobs is limited, it can create uncertainty for workers. The negative effect of import competition and the positive impact of export opportunities on manufacturing jobs also point to adjustments across industries and regions. Transitioning workers to new types of work can be difficult for these workers, as they are (temporarily) unemployed and may need to move to other regions.</w:t>
      </w:r>
    </w:p>
    <w:p>
      <w:pPr/>
      <w:r>
        <w:rPr>
          <w:b/>
        </w:rPr>
        <w:t>POSSIBLE 2020:</w:t>
      </w:r>
      <w:r>
        <w:t xml:space="preserve"> Dealing with China: A European Perspective — https://doi.org/10.1080/13439006.2020.1826681</w:t>
      </w:r>
    </w:p>
    <w:p>
      <w:pPr/>
      <w:r>
        <w:rPr>
          <w:b/>
        </w:rPr>
        <w:t>Shared claim-specific concepts:</w:t>
      </w:r>
      <w:r>
        <w:t xml:space="preserve"> china, need, increase, investments; EU scope visible. This is a provisional connection, not an outcome finding.</w:t>
      </w:r>
    </w:p>
    <w:p>
      <w:pPr>
        <w:pStyle w:val="SourceNote"/>
      </w:pPr>
      <w:r>
        <w:rPr>
          <w:b/>
        </w:rPr>
        <w:t>Available abstract (not full text):</w:t>
      </w:r>
      <w:r>
        <w:t xml:space="preserve"> The EU faces international (how to tackle Russian and Turkish policies?) and internal challenges, primarily intra-EU cooperation on strategic policies which are not “common European policies.” This reflects in the EU’s China policy. Nonetheless, some progress has been made. European perspectives on China are gradually changing. There is a growing awareness on the part of European institutions of a need to exercise caution over Chinese investments into the European Union and to counterbalance China’s diplomatic initiatives where they oppose European interests. This has opened avenues for cooperation with Japan, which has long taken a cautious yet benevolent approach to China. EU institutions and member states of greater international influence such as France have been keen to increase cooperation with Japan as they worked to strengthen European and internal legal frameworks.</w:t>
      </w:r>
    </w:p>
    <w:p>
      <w:pPr/>
      <w:r>
        <w:rPr>
          <w:b/>
        </w:rPr>
        <w:t>POSSIBLE 2020:</w:t>
      </w:r>
      <w:r>
        <w:t xml:space="preserve"> The People’s Republic of China Connecting Europe? — https://openalex.org/W3084282394</w:t>
      </w:r>
    </w:p>
    <w:p>
      <w:pPr/>
      <w:r>
        <w:rPr>
          <w:b/>
        </w:rPr>
        <w:t>Shared claim-specific concepts:</w:t>
      </w:r>
      <w:r>
        <w:t xml:space="preserve"> china, need, increase, investments, relative; EU scope visible. This is a provisional connection, not an outcome finding.</w:t>
      </w:r>
    </w:p>
    <w:p>
      <w:pPr>
        <w:pStyle w:val="SourceNote"/>
      </w:pPr>
      <w:r>
        <w:rPr>
          <w:b/>
        </w:rPr>
        <w:t>Available abstract (not full text):</w:t>
      </w:r>
      <w:r>
        <w:t xml:space="preserve"> The significance of the Belt and Road Initiative (BRI) of the People's Republic of China (PRC) for Europe is increasing. The diplomatic initiative "16+1," comprising 11 Central and East European EU member states and five Western Balkan economies, expanded to a "17+1" format in April 2019, when Greece officially joined the cooperation forum. In relative terms, the Western Balkans are expected to benefit the most from the BRI, as they show particularly high deficiencies in infrastructure and to date have limited access to EU grants. The economic effects of infrastructure projects in CESEE would, however, trickle through European production and supply chains, with an impact on economies not directly subject to construction plans. EU initiatives presented in 2018 may help to increase complementarity between Chinese and European infrastructure development plans, as well as reducing risks for some European economies, such as unsustainable debt or the rise of new barriers resulting from increased competition for Chinese investments. The BRI is about to change physical and digital connectivity within Europe, while the EU has yet to become an active player engaging in the initiative, in order to enable improved connectivity in Europe to drive economic convergence and not political divergence. The need to establish a level playing field for trade, investment, and its financing has become</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china, need,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The foreign direct investment from China to Europe — https://openalex.org/W3145125818</w:t>
      </w:r>
    </w:p>
    <w:p>
      <w:pPr/>
      <w:r>
        <w:rPr>
          <w:b/>
        </w:rPr>
        <w:t>Shared claim-specific concepts:</w:t>
      </w:r>
      <w:r>
        <w:t xml:space="preserve"> china, need, increase, low, rapid; EU scope visible. This is a provisional connection, not an outcome finding.</w:t>
      </w:r>
    </w:p>
    <w:p>
      <w:pPr>
        <w:pStyle w:val="SourceNote"/>
      </w:pPr>
      <w:r>
        <w:rPr>
          <w:b/>
        </w:rPr>
        <w:t>Available abstract (not full text):</w:t>
      </w:r>
      <w:r>
        <w:t xml:space="preserve"> With the rapid development of China's economy, foreign trade and foreign investment have been taken to great achievements. As in 2000 the Chinese government Chinese actively encourage enterprises going out, and its positioning as a national strategy, China's foreign investment in recent years has entered a period of gold. According to statistics, 2015 annual our country's outward FDI flow of 73.508 million yuan RMB, an increase rate of 14.7%, by the end of the year, China's outward FDI stock accumulated up to 5.4 trillion yuan, which is sufficient to prove that, in our country both from the investment flow or investment stock has been entered the ranks of big country of foreign investment among. In contrast, the European Union and China is the EU's second largest trading partner, very close economic exchanges between China and EU development, but due to the 2008 financial crisis and the European debt crisis to the EU's economic development has brought hit, once malaise, so the current EU need absorb foreign capital to boost the economy and solid economic recovery and relieve the EU internal social and economic contradictions. But the flow and stock of China's FDI is still low compared with the volume of trade between the EU and China, so China still has a huge space for development of EU FDI. Therefore, it is of great significance to study how to further cooperation on investme</w:t>
      </w:r>
    </w:p>
    <w:p>
      <w:pPr>
        <w:pStyle w:val="Heading2"/>
      </w:pPr>
      <w:r>
        <w:t>645.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2020:</w:t>
      </w:r>
      <w:r>
        <w:t xml:space="preserve"> CH2018 – National climate scenarios for Switzerland: How to construct consistent multi-model projections from ensembles of opportunity — https://doi.org/10.1016/j.cliser.2020.100196</w:t>
      </w:r>
    </w:p>
    <w:p>
      <w:pPr/>
      <w:r>
        <w:rPr>
          <w:b/>
        </w:rPr>
        <w:t>Shared claim-specific concepts:</w:t>
      </w:r>
      <w:r>
        <w:t xml:space="preserve"> unique, multi-model, used, ensemble; EU scope visible. This is a provisional connection, not an outcome finding.</w:t>
      </w:r>
    </w:p>
    <w:p>
      <w:pPr>
        <w:pStyle w:val="SourceNote"/>
      </w:pPr>
      <w:r>
        <w:rPr>
          <w:b/>
        </w:rPr>
        <w:t>Available abstract (not full text):</w:t>
      </w:r>
      <w:r>
        <w:t xml:space="preserve"> The latest Swiss Climate Scenarios (CH2018), released in November 2018, consist of several datasets derived through various methods that provide robust and relevant information on climate change in Switzerland. The scenarios build upon the regional climate model projections for Europe produced through the internationally coordinated downscaling effort EURO-CORDEX. The simulations from EURO-CORDEX consist of simulations at two spatial horizontal resolutions, several global climate models, and three different emission scenarios. Even with this unique dataset of regional climate scenarios, a number of practical challenges regarding a consistent interpretation of the model ensemble arise. Here we present the methodological chain employed in CH2018 in order to generate a multi-model ensemble that is consistent across scenarios and is used as a basis for deriving the CH2018 products. The different steps involve a thorough evaluation of the full EURO-CORDEX model ensemble, the removal of doubtful and potentially erroneous simulations, a time-shift approach to account for an equal number of simulations for each emission scenario, and the multi-model combination of simulations with different spatial resolutions. Each component of this cascade of processing steps is associated with an uncertainty that eventually contributes to the overall scientific uncertainty of the derived scenario pr</w:t>
      </w:r>
    </w:p>
    <w:p>
      <w:pPr>
        <w:pStyle w:val="Heading2"/>
      </w:pPr>
      <w:r>
        <w:t>646.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2022:</w:t>
      </w:r>
      <w:r>
        <w:t xml:space="preserve"> Trends and gaps in photovoltaic power forecasting with machine learning — https://doi.org/10.1016/j.egyr.2022.11.208</w:t>
      </w:r>
    </w:p>
    <w:p>
      <w:pPr/>
      <w:r>
        <w:rPr>
          <w:b/>
        </w:rPr>
        <w:t>Shared claim-specific concepts:</w:t>
      </w:r>
      <w:r>
        <w:t xml:space="preserve"> trends, world, help; EU scope not established. This is a provisional connection, not an outcome finding.</w:t>
      </w:r>
    </w:p>
    <w:p>
      <w:pPr>
        <w:pStyle w:val="SourceNote"/>
      </w:pPr>
      <w:r>
        <w:rPr>
          <w:b/>
        </w:rPr>
        <w:t>Available abstract (not full text):</w:t>
      </w:r>
      <w:r>
        <w:t xml:space="preserve"> The share of solar energy in the electricity mix increases year after year. Knowing the production of photovoltaic (PV) power at each instant of time is crucial for its integration into the grid. However, due to meteorological phenomena, PV power output can be uncertain and continuously varying, which complicates yield prediction. In recent years, machine learning (ML) techniques have entered the world of PV power forecasting to help increase the accuracy of predictions. Researchers have seen great potential in this approach, creating a vast literature on the topic. This paper intends to identify the most popular approaches and the gaps in this discipline. To do so, a representative part of the literature consisting of 100 publications is classified based on different aspects such as ML family, location of PV systems, number of systems considered, features, etc. Via this classification, the main trends and gaps can be highlighted while offering advice to researchers interested in the topic.</w:t>
      </w:r>
    </w:p>
    <w:p>
      <w:pPr/>
      <w:r>
        <w:rPr>
          <w:b/>
        </w:rPr>
        <w:t>POSSIBLE 2020:</w:t>
      </w:r>
      <w:r>
        <w:t xml:space="preserve"> European Mortality Forecasts: Are the Targets Still Moving? — https://doi.org/10.1007/978-3-030-42472-5_9</w:t>
      </w:r>
    </w:p>
    <w:p>
      <w:pPr/>
      <w:r>
        <w:rPr>
          <w:b/>
        </w:rPr>
        <w:t>Shared claim-specific concepts:</w:t>
      </w:r>
      <w:r>
        <w:t xml:space="preserve"> forecasts, show, trends, life; EU scope visible. This is a provisional connection, not an outcome finding.</w:t>
      </w:r>
    </w:p>
    <w:p>
      <w:pPr>
        <w:pStyle w:val="SourceNote"/>
      </w:pPr>
      <w:r>
        <w:rPr>
          <w:b/>
        </w:rPr>
        <w:t>Available abstract (not full text):</w:t>
      </w:r>
      <w:r>
        <w:t xml:space="preserve"> Abstract Many statistical agencies routinely produce population forecasts, and revise these forecasts when new data become available, or when current demographic trends indicate that an update is necessary. When the forecaster strongly revises, from one forecast round to the next one, a forecast for a certain target year (for instance the life expectancy in 2050), this indicates large uncertainty connected to mortality predictions. The aim of this chapter is to shed more light on the uncertainty in mortality forecasts, by analysing the extent to which life expectancy predictions for 2030 and 2050 were revised in subsequent rounds of population forecasts published by statistical agencies in selected countries. It updates and extends earlier work that focused on United Nations and Eurostat forecasts published between 1994 and 2004 (Keilman et al. 2008). There the conclusion was that life expectancy forecasts for 18 European countries for the year 2050 had been revised upwards systematically, by around 2 years on average during the 10-year publication period. A recent analysis based on official population forecasts for Norway published in the period 1999–2018 led to the same conclusion (Keilman 2018). Here we will show that the period of upward revisions seems to have ended for some European countries.</w:t>
      </w:r>
    </w:p>
    <w:p>
      <w:pPr/>
      <w:r>
        <w:rPr>
          <w:b/>
        </w:rPr>
        <w:t>POSSIBLE 2020:</w:t>
      </w:r>
      <w:r>
        <w:t xml:space="preserve"> Trend Analysis and Forecasting of COVID-19 outbreak in India — https://doi.org/10.1101/2020.03.26.20044511</w:t>
      </w:r>
    </w:p>
    <w:p>
      <w:pPr/>
      <w:r>
        <w:rPr>
          <w:b/>
        </w:rPr>
        <w:t>Shared claim-specific concepts:</w:t>
      </w:r>
      <w:r>
        <w:t xml:space="preserve"> show, trends, world; EU scope not established. This is a provisional connection, not an outcome finding.</w:t>
      </w:r>
    </w:p>
    <w:p>
      <w:pPr>
        <w:pStyle w:val="SourceNote"/>
      </w:pPr>
      <w:r>
        <w:rPr>
          <w:b/>
        </w:rPr>
        <w:t>Available abstract (not full text):</w:t>
      </w:r>
      <w:r>
        <w:t xml:space="preserve"> A bstract COVID-19 is spreading really fast around the world. The current study describes the situation of the outbreak of this disease in India and predicts the number of cases expected to rise in India. The study also discusses the regional analysis of Indian states and presents the preparedness level of India in combating this outbreak. The study uses exploratory data analysis to report the current situation and uses time-series forecasting methods to predict the future trends. The data has been considered from the repository of John Hopkins University and covers up the time period from 30 th January 2020 when the first case occurred in India till the end of 24 th March 2020 when the Prime Minister of India declared a complete lockdown in the country for 21 days starting 25 th March 2020. The major findings show that number of infected cases in India is rising quickly with the average infected cases per day rising from 10 to 73 from the first case to the 300 th case. The current mortality rate for India stands around 1.9. Kerala and Maharashtra are the top two infected states in India with more than 100 infected cases reported in each state, respectively. A total of 25 states have reported at least one infected case, however only 8 of them have reported deaths due to COVID-19. The ARIMA model prediction shows that the infected cases in India may reach up to 700 thousands in </w:t>
      </w:r>
    </w:p>
    <w:p>
      <w:pPr>
        <w:pStyle w:val="Heading2"/>
      </w:pPr>
      <w:r>
        <w:t>647.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2021:</w:t>
      </w:r>
      <w:r>
        <w:t xml:space="preserve"> Overview of reported national greenhouse gas policies and measures in Europe in 2021 — https://doi.org/10.5281/zenodo.6020402</w:t>
      </w:r>
    </w:p>
    <w:p>
      <w:pPr/>
      <w:r>
        <w:rPr>
          <w:b/>
        </w:rPr>
        <w:t>Shared claim-specific concepts:</w:t>
      </w:r>
      <w:r>
        <w:t xml:space="preserve"> overview, national; EU scope visible. This is a provisional connection, not an outcome finding.</w:t>
      </w:r>
    </w:p>
    <w:p>
      <w:pPr>
        <w:pStyle w:val="SourceNote"/>
      </w:pPr>
      <w:r>
        <w:rPr>
          <w:b/>
        </w:rPr>
        <w:t>Available abstract (not full text):</w:t>
      </w:r>
      <w:r>
        <w:t xml:space="preserve"> Member States have to report every two years on their national greenhouse gas policies and measures. In 2021, EU Member States reported a total of 2 052 expired, existing and planned policies and measures. This is again a marked increase in the number of policies and measures reported by Member States, that partially can be explained by the implementation of the National Energy and Climate Plans. Quantitative evidence on the effectiveness and costs and benefits of these measures remains insufficiently reported.</w:t>
      </w:r>
    </w:p>
    <w:p>
      <w:pPr/>
      <w:r>
        <w:rPr>
          <w:b/>
        </w:rPr>
        <w:t>POSSIBLE 2020:</w:t>
      </w:r>
      <w:r>
        <w:t xml:space="preserve"> European Language Grid: An Overview — https://doi.org/10.48550/arxiv.2003.13551</w:t>
      </w:r>
    </w:p>
    <w:p>
      <w:pPr/>
      <w:r>
        <w:rPr>
          <w:b/>
        </w:rPr>
        <w:t>Shared claim-specific concepts:</w:t>
      </w:r>
      <w:r>
        <w:t xml:space="preserve"> overview, national, sectors; EU scope visible. This is a provisional connection, not an outcome finding.</w:t>
      </w:r>
    </w:p>
    <w:p>
      <w:pPr>
        <w:pStyle w:val="SourceNote"/>
      </w:pPr>
      <w:r>
        <w:rPr>
          <w:b/>
        </w:rPr>
        <w:t>Available abstract (not full text):</w:t>
      </w:r>
      <w:r>
        <w:t xml:space="preserve"> With 24 official EU and many additional languages, multilingualism in Europe and an inclusive Digital Single Market can only be enabled through Language Technologies (LTs). European LT business is dominated by hundreds of SMEs and a few large players. Many are world-class, with technologies that outperform the global players. However, European LT business is also fragmented, by nation states, languages, verticals and sectors, significantly holding back its impact. The European Language Grid (ELG) project addresses this fragmentation by establishing the ELG as the primary platform for LT in Europe. The ELG is a scalable cloud platform, providing, in an easy-to-integrate way, access to hundreds of commercial and non-commercial LTs for all European languages, including running tools and services as well as data sets and resources. Once fully operational, it will enable the commercial and non-commercial European LT community to deposit and upload their technologies and data sets into the ELG, to deploy them through the grid, and to connect with other resources. The ELG will boost the Multilingual Digital Single Market towards a thriving European LT community, creating new jobs and opportunities. Furthermore, the ELG project organises two open calls for up to 20 pilot projects. It also sets up 32 National Competence Centres (NCCs) and the European LT Council (LTC) for outreach and c</w:t>
      </w:r>
    </w:p>
    <w:p>
      <w:pPr/>
      <w:r>
        <w:rPr>
          <w:b/>
        </w:rPr>
        <w:t>POSSIBLE 2020:</w:t>
      </w:r>
      <w:r>
        <w:t xml:space="preserve"> Plant food anti-nutritional factors and their reduction strategies: an overview — https://doi.org/10.1186/s43014-020-0020-5</w:t>
      </w:r>
    </w:p>
    <w:p>
      <w:pPr/>
      <w:r>
        <w:rPr>
          <w:b/>
        </w:rPr>
        <w:t>Shared claim-specific concepts:</w:t>
      </w:r>
      <w:r>
        <w:t xml:space="preserve"> graphical, overview, factors; EU scope not established. This is a provisional connection, not an outcome finding.</w:t>
      </w:r>
    </w:p>
    <w:p>
      <w:pPr>
        <w:pStyle w:val="SourceNote"/>
      </w:pPr>
      <w:r>
        <w:rPr>
          <w:b/>
        </w:rPr>
        <w:t>Available abstract (not full text):</w:t>
      </w:r>
      <w:r>
        <w:t xml:space="preserve"> Abstract Legumes and cereals contain high amounts of macronutrients and micronutrients but also anti-nutritional factors. Major anti-nutritional factors, which are found in edible crops include saponins, tannins, phytic acid, gossypol, lectins, protease inhibitors, amylase inhibitor, and goitrogens. Anti-nutritional factors combine with nutrients and act as the major concern because of reduced nutrient bioavailability. Various other factors like trypsin inhibitors and phytates, which are present mainly in legumes and cereals, reduce the digestibility of proteins and mineral absorption. Anti-nutrients are one of the key factors, which reduce the bioavailability of various components of the cereals and legumes. These factors can cause micronutrient malnutrition and mineral deficiencies. There are various traditional methods and technologies, which can be used to reduce the levels of these anti-nutrient factors. Several processing techniques and methods such as fermentation, germination, debranning, autoclaving, soaking etc. are used to reduce the anti-nutrient contents in foods. By using various methods alone or in combinations, it is possible to reduce the level of anti-nutrients in foods. This review is focused on different types of anti-nutrients, and possible processing methods that can be used to reduce the level of these factors in food products. Graphical abstract A brief </w:t>
      </w:r>
    </w:p>
    <w:p>
      <w:pPr>
        <w:pStyle w:val="Heading2"/>
      </w:pPr>
      <w:r>
        <w:t>648.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Design and application of a key performance indicator (KPI) framework for autonomous shipping in Europe — https://doi.org/10.1016/j.martra.2023.100095</w:t>
      </w:r>
    </w:p>
    <w:p>
      <w:pPr/>
      <w:r>
        <w:rPr>
          <w:b/>
        </w:rPr>
        <w:t>Shared claim-specific concepts:</w:t>
      </w:r>
      <w:r>
        <w:t xml:space="preserve"> effect, key, systems; EU scope visible. This is a provisional connection, not an outcome finding.</w:t>
      </w:r>
    </w:p>
    <w:p>
      <w:pPr>
        <w:pStyle w:val="SourceNote"/>
      </w:pPr>
      <w:r>
        <w:rPr>
          <w:b/>
        </w:rPr>
        <w:t>Available abstract (not full text):</w:t>
      </w:r>
      <w:r>
        <w:t xml:space="preserve"> The European Union (EU) transport policy recognizes the importance of the waterborne transport systems as key elements for sustainable growth in Europe. By 2030, 30% of total road freight over 300 km should shift to rail or waterborne transport, and more than 50% by 2050. Thus far, this ambition has failed but there have been several project initiatives within the EU to address these issues. In one of these projects, we consider a new waterborne transport system for Europe that is green, robust, flexible, more automated and autonomous, and able to connect both rural and urban terminals. The purpose of this paper is to describe work and preliminary results from this project. To that effect, and in order to assess any solutions contemplated, a comprehensive set of Key Performance Indicators (KPIs) has been defined, and three specific use cases within Europe are examined and evaluated according to these KPIs. KPIs represent the criteria under which the set of solutions developed are evaluated, and also compared to non-autonomous solutions. They are grouped under economic, environmental and social KPIs. KPIs have been selected after a consultation process involving project partners and external Advisory Group members. Links to EU transport and other regulatory action are also discussed.</w:t>
      </w:r>
    </w:p>
    <w:p>
      <w:pPr/>
      <w:r>
        <w:rPr>
          <w:b/>
        </w:rPr>
        <w:t>POSSIBLE 2022:</w:t>
      </w:r>
      <w:r>
        <w:t xml:space="preserve"> European Citizens’ Happiness: Key Factors and the Mediating Effect of Quality of Life, a PLS Approach — https://doi.org/10.3390/math10030367</w:t>
      </w:r>
    </w:p>
    <w:p>
      <w:pPr/>
      <w:r>
        <w:rPr>
          <w:b/>
        </w:rPr>
        <w:t>Shared claim-specific concepts:</w:t>
      </w:r>
      <w:r>
        <w:t xml:space="preserve"> effect, key, population, increasing, show; EU scope visible. This is a provisional connection, not an outcome finding.</w:t>
      </w:r>
    </w:p>
    <w:p>
      <w:pPr>
        <w:pStyle w:val="SourceNote"/>
      </w:pPr>
      <w:r>
        <w:rPr>
          <w:b/>
        </w:rPr>
        <w:t>Available abstract (not full text):</w:t>
      </w:r>
      <w:r>
        <w:t xml:space="preserve"> Happiness is a very important aspect in the life and well-being of all citizens; as such, it has become a key factor in personal preferences. For these reasons, it is relevant to study what factors principally affect the happiness of the population. However, the difficulties involved in measuring this concept mean that there are no clear criteria as to which aspects should be promoted in order for citizens to achieve greater happiness. This paper uses variance-based structural equation modelling (SEM)—partial least squares path modelling (PLS)—to analyse the direct and indirect effects of European citizens’ assessment of different aspects of their city related to safety, environmental quality and urban planning on their happiness. The source of information used in this study is the Flash Eurobarometer 419 prepared by Eurostat in 2015, with a total of 9799 observations. The results show how quality of life, safety, the environment and city planning have a positive and significant influence on European citizens’ happiness, especially safety. In addition, quality of life acts as a mediating variable, primarily increasing the influence of urban planning on happiness. The findings of the study point to the relevant policies that governments should undertake to ensure the happiness of their citizens.</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effect, increasing, distribution, systems;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Assessing the energy potential of modernizing the European hydropower fleet — https://doi.org/10.1016/j.enconman.2021.114655</w:t>
      </w:r>
    </w:p>
    <w:p>
      <w:pPr/>
      <w:r>
        <w:rPr>
          <w:b/>
        </w:rPr>
        <w:t>Shared claim-specific concepts:</w:t>
      </w:r>
      <w:r>
        <w:t xml:space="preserve"> increasing, expected, potential; EU scope visible. This is a provisional connection, not an outcome finding.</w:t>
      </w:r>
    </w:p>
    <w:p>
      <w:pPr>
        <w:pStyle w:val="SourceNote"/>
      </w:pPr>
      <w:r>
        <w:rPr>
          <w:b/>
        </w:rPr>
        <w:t>Available abstract (not full text):</w:t>
      </w:r>
      <w:r>
        <w:t xml:space="preserve"> About 50% of all hydropower plants (HPPs) worldwide were originally commissioned more than 40 years ago, so that the advanced age of the fleet is a major concern across all continents, and especially in Europe. The modernization of HPPs can generate several benefits in terms of generation, flexibility, safety, operation, and may have neutral or even positive implications for the environment. In this work, we appraise several options for the modernization of existing plants, with the exclusion of measures expected to increase the hydro-morphological pressure on water bodies (e.g. increase of withdrawals or new parallel waterways): dam heightening, head loss reduction in waterways, increase of weighted efficiency of electro-mechanical equipment, digitalization and inflow forecast, and floating photovoltaic (evaporation reduction). We provide an indicative estimation of the additional power and annual generation that could be obtained compared to the current condition. We estimate that the overall energy generation could be increased by 8.4% for European Union and 9.4% for the whole Europe by implementing the above-mentioned strategies. The additional energy gain achievable by increasing the inflow was discussed but not included in the above mentioned overall indicator, because it is very site-specific. The additional energy storage achievable by reservoir interconnection and coor</w:t>
      </w:r>
    </w:p>
    <w:p>
      <w:pPr/>
      <w:r>
        <w:rPr>
          <w:b/>
        </w:rPr>
        <w:t>POSSIBLE 2021:</w:t>
      </w:r>
      <w:r>
        <w:t xml:space="preserve"> HIV seroprevalence in five key populations in Europe: a systematic literature review, 2009 to 2019 — https://doi.org/10.2807/1560-7917.es.2021.26.47.2100044</w:t>
      </w:r>
    </w:p>
    <w:p>
      <w:pPr/>
      <w:r>
        <w:rPr>
          <w:b/>
        </w:rPr>
        <w:t>Shared claim-specific concepts:</w:t>
      </w:r>
      <w:r>
        <w:t xml:space="preserve"> key, population, systems; EU scope visible. This is a provisional connection, not an outcome finding.</w:t>
      </w:r>
    </w:p>
    <w:p>
      <w:pPr>
        <w:pStyle w:val="SourceNote"/>
      </w:pPr>
      <w:r>
        <w:rPr>
          <w:b/>
        </w:rPr>
        <w:t>Available abstract (not full text):</w:t>
      </w:r>
      <w:r>
        <w:t xml:space="preserve"> BackgroundIn Europe, HIV disproportionately affects men who have sex with men (MSM), people who inject drugs (PWID), prisoners, sex workers, and transgender people. Epidemiological data are primarily available from national HIV case surveillance systems that rarely capture information on sex work, gender identity or imprisonment. Surveillance of HIV prevalence in key populations often occurs as independent studies with no established mechanism for collating such information at the European level.AimWe assessed HIV prevalence in MSM, PWID, prisoners, sex workers, and transgender people in the 30 European Union/European Economic Area countries and the United Kingdom.MethodsWe conducted a systematic literature review of peer-reviewed studies published during 2009-19, by searching PubMed, Embase and the Cochrane Library. Data are presented in forest plots by country, as simple prevalence or pooled across multiple studies.ResultsEighty-seven country- and population-specific studies were identified from 23 countries. The highest number of studies, and the largest variation in HIV prevalence, were identified for MSM, ranging from 2.4-29.0% (19 countries) and PWID, from 0.0-59.5% (13 countries). Prevalence ranged from 0.0-15.6% in prisoners (nine countries), 1.1-8.5% in sex workers (five countries) and was 10.9% in transgender people (one country). Individuals belonging to several key </w:t>
      </w:r>
    </w:p>
    <w:p>
      <w:pPr>
        <w:pStyle w:val="Heading2"/>
      </w:pPr>
      <w:r>
        <w:t>649.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pStyle w:val="Heading2"/>
      </w:pPr>
      <w:r>
        <w:t>650.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r>
        <w:rPr>
          <w:b/>
        </w:rPr>
        <w:t>POSSIBLE 2021:</w:t>
      </w:r>
      <w:r>
        <w:t xml:space="preserve"> Large Shareholder Portfolio Diversification and Voluntary Disclosure* — https://doi.org/10.1111/1911-3846.12707</w:t>
      </w:r>
    </w:p>
    <w:p>
      <w:pPr/>
      <w:r>
        <w:rPr>
          <w:b/>
        </w:rPr>
        <w:t>Shared claim-specific concepts:</w:t>
      </w:r>
      <w:r>
        <w:t xml:space="preserve"> relying, diversified, portfolio, benefit; EU scope not established. This is a provisional connection, not an outcome finding.</w:t>
      </w:r>
    </w:p>
    <w:p>
      <w:pPr>
        <w:pStyle w:val="SourceNote"/>
      </w:pPr>
      <w:r>
        <w:rPr>
          <w:b/>
        </w:rPr>
        <w:t>Available abstract (not full text):</w:t>
      </w:r>
      <w:r>
        <w:t xml:space="preserve"> ABSTRACT Although large shareholders have sufficient influence to engage privately with management, extant literature provides inconclusive evidence on the relation between large equity positions and corporate disclosure. This study examines whether large shareholders' portfolio diversification affects voluntary corporate disclosure. We define diversification as the extent to which investors spread investments among portfolio stocks. We predict that holding a diversified portfolio deters large shareholders from incurring the costs of private information gathering about a portfolio firm. We document that firms provide more voluntary disclosure when their large shareholders hold a more diversified portfolio, consistent with investors relying more on public disclosure about portfolio firms when their portfolio diversification is higher. Evidence from cross‐sectional analyses suggests that, as predicted, the positive relation between portfolio diversification and voluntary disclosure is weaker as the net benefit of acquiring private information increases for large shareholders (i.e., when portfolio firms are more connected, have alternative information channels, or are more complex). Overall, our results suggest that diversified large shareholders' preference for a richer public disclosure environment creates a positive externality of lowering the information costs for external sta</w:t>
      </w:r>
    </w:p>
    <w:p>
      <w:pPr>
        <w:pStyle w:val="Heading2"/>
      </w:pPr>
      <w:r>
        <w:t>651.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2023:</w:t>
      </w:r>
      <w:r>
        <w:t xml:space="preserve"> The Drivers of Emission Reductions in the European Carbon Market — https://openalex.org/W7111538042</w:t>
      </w:r>
    </w:p>
    <w:p>
      <w:pPr/>
      <w:r>
        <w:rPr>
          <w:b/>
        </w:rPr>
        <w:t>Shared claim-specific concepts:</w:t>
      </w:r>
      <w:r>
        <w:t xml:space="preserve"> find, emission, reductions, dominant, also; EU scope visible. This is a provisional connection, not an outcome finding.</w:t>
      </w:r>
    </w:p>
    <w:p>
      <w:pPr>
        <w:pStyle w:val="SourceNote"/>
      </w:pPr>
      <w:r>
        <w:rPr>
          <w:b/>
        </w:rPr>
        <w:t>Available abstract (not full text):</w:t>
      </w:r>
      <w:r>
        <w:t xml:space="preserve"> This paper studies the drivers of emission reductions in the carbon market of the European Union Emission Trading System (EU ETS) since its inception in 2005. We introduce a novel empirical framework that facilitates the joint identification of simultaneous demand and supply shocks underlying the European carbon market. We find that emission supply restrictions of the EU ETS were the dominant driver of emissions reductions, reducing emissions by 46%. However we also find that two opposing emission demand factors also played an important role. Demand from industrial economic activity increased emissions by 15%, while other demand-side factors, primarily reflecting the transition to low-carbon economies, reduced emissions by 21%.</w:t>
      </w:r>
    </w:p>
    <w:p>
      <w:pPr/>
      <w:r>
        <w:rPr>
          <w:b/>
        </w:rPr>
        <w:t>POSSIBLE 2023:</w:t>
      </w:r>
      <w:r>
        <w:t xml:space="preserve"> Emissions savings from equitable energy demand reduction — https://doi.org/10.1038/s41560-023-01283-y</w:t>
      </w:r>
    </w:p>
    <w:p>
      <w:pPr/>
      <w:r>
        <w:rPr>
          <w:b/>
        </w:rPr>
        <w:t>Shared claim-specific concepts:</w:t>
      </w:r>
      <w:r>
        <w:t xml:space="preserve"> reductions, energy, transport, climate; EU scope visible. This is a provisional connection, not an outcome finding.</w:t>
      </w:r>
    </w:p>
    <w:p>
      <w:pPr>
        <w:pStyle w:val="SourceNote"/>
      </w:pPr>
      <w:r>
        <w:rPr>
          <w:b/>
        </w:rPr>
        <w:t>Available abstract (not full text):</w:t>
      </w:r>
      <w:r>
        <w:t xml:space="preserve"> Abstract Energy demand reduction (EDR) will be required to reach climate targets in the Global North. To be compatible with just transitions principles, EDR needs to be equitable. Equitable EDR may involve targeting high energy users while ensuring the satisfaction of needs for all, which could require increasing consumption of low users. Emissions impacts of equitable EDR approaches have not yet been assessed. This Article finds that capping energy use of the top quintile of consumers across 27 European countries can achieve considerable greenhouse gas emissions reductions of 11.4% from domestic energy, 16.8% from transport and 9.7% from total energy consumption. Increasing consumption of low energy users in poverty reduces these savings by only 1.2, 0.9 and 1.4 percentage points, respectively. Additional high annual emissions cuts of 7.3–24.0% would be required for Europe to meet globally equitable 2050 emissions budgets. Equitable EDR could make an important contribution to increasing public acceptance of such transformative action.</w:t>
      </w:r>
    </w:p>
    <w:p>
      <w:pPr/>
      <w:r>
        <w:rPr>
          <w:b/>
        </w:rPr>
        <w:t>POSSIBLE 2023:</w:t>
      </w:r>
      <w:r>
        <w:t xml:space="preserve"> Identifying and Monitoring Priority Areas for Methane Emissions Reduction — https://doi.org/10.1596/1813-9450-10391</w:t>
      </w:r>
    </w:p>
    <w:p>
      <w:pPr/>
      <w:r>
        <w:rPr>
          <w:b/>
        </w:rPr>
        <w:t>Shared claim-specific concepts:</w:t>
      </w:r>
      <w:r>
        <w:t xml:space="preserve"> dominant, but, also; EU scope visible. This is a provisional connection, not an outcome finding.</w:t>
      </w:r>
    </w:p>
    <w:p>
      <w:pPr>
        <w:pStyle w:val="SourceNote"/>
      </w:pPr>
      <w:r>
        <w:rPr>
          <w:b/>
        </w:rPr>
        <w:t>Available abstract (not full text):</w:t>
      </w:r>
      <w:r>
        <w:t xml:space="preserve"> This paper identifies high-priority areas for methane emissions reduction and estimates recent emissions changes in those areas using atmospheric concentration data from the European Space Agency’s Sentinel-5P satellite platform. The modeling approach is illustrated with three case studies: landfills in Spain (Madrid), irrigated rice production in India (Karnal district, Haryana state), and oil production in Iraq (Al Amarah district, Maysan governorate). For each case, the paper estimates two change models by fixed effects: the monthly trend in methane concentration from January 2019 to November 2022, and the difference between mean concentration in 2022 and the previous three years. The paper estimates the change models for 775 high-priority areas and finds that cases with decreasing methane emissions are outnumbered four to one by cases with increasing emissions. The paper also analyzes trends in high-priority areas for seven major methane source sectors (agricultural soils, livestock, gas, oil, coal, landfills, and wastewater) and finds only two where emissions decreases outnumber increases (gas and oil). Among World Bank income groups, decreases outnumber increases in high-income economies but increases are hugely dominant in the other three groups. The paper concludes with a presentation of summary emissions trend reports for all 775 high-priority areas, with accompanying </w:t>
      </w:r>
    </w:p>
    <w:p>
      <w:pPr/>
      <w:r>
        <w:rPr>
          <w:b/>
        </w:rPr>
        <w:t>POSSIBLE 2022:</w:t>
      </w:r>
      <w:r>
        <w:t xml:space="preserve"> An econometric analysis of the potential emission reduction components in Indonesia — https://doi.org/10.1016/j.clpl.2022.100008</w:t>
      </w:r>
    </w:p>
    <w:p>
      <w:pPr/>
      <w:r>
        <w:rPr>
          <w:b/>
        </w:rPr>
        <w:t>Shared claim-specific concepts:</w:t>
      </w:r>
      <w:r>
        <w:t xml:space="preserve"> emission, energy, lead, climate; EU scope not established. This is a provisional connection, not an outcome finding.</w:t>
      </w:r>
    </w:p>
    <w:p>
      <w:pPr>
        <w:pStyle w:val="SourceNote"/>
      </w:pPr>
      <w:r>
        <w:rPr>
          <w:b/>
        </w:rPr>
        <w:t>Available abstract (not full text):</w:t>
      </w:r>
      <w:r>
        <w:t xml:space="preserve"> Emissions reduction and increasing environmental quality have become a global concern to ensure sustainable development and mitigate the negative impacts of global warming and climate change. However, there is a scarcity of research exploring the potential of emission reduction components by using econometric approaches. Thus, the present study investigated the role of economic growth, fossil fuel energy use, renewable energy use, technological innovation, agricultural productivity, and forested area to achieve environmental sustainability by reducing carbon dioxide emissions in Indonesia. Time series data from 1990 to 2020 were utilized by applying the Dynamic Ordinary Least Squares method. The empirical findings revealed that a 1% increase in economic growth and fossil fuel energy use will increase carbon dioxide emissions by 0.36% and 0.67% in Indonesia. Conversely, a 1% increase in renewable energy use, technological innovation, agricultural productivity, and the forested area may lead to carbon dioxide emissions reduction by 0.11%, 0.07%, 0.24%, and 2.87%, respectively in the long run. This article put forward policy recommendations in the areas of low-carbon economy, promoting renewable energy use, financing technological innovation, climate-smart agriculture, and sustainable forest management which would ensure environmental sustainability by reducing emissions in Indone</w:t>
      </w:r>
    </w:p>
    <w:p>
      <w:pPr/>
      <w:r>
        <w:rPr>
          <w:b/>
        </w:rPr>
        <w:t>POSSIBLE 2022:</w:t>
      </w:r>
      <w:r>
        <w:t xml:space="preserve"> Improved monitoring of shipping NO 2 with TROPOMI: decreasing NO x emissions in European seas during the COVID-19 pandemic — https://doi.org/10.5194/amt-15-1415-2022</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Abstract. TROPOMI measurements of tropospheric NO2 columns provide powerful information on emissions of air pollution by ships on open sea. This information is potentially useful for authorities to help determine the (non-)compliance of ships with increasingly stringent NOx emission regulations. We find that the information quality is improved further by recent upgrades in the TROPOMI cloud retrieval and an optimal data selection. We show that the superior spatial resolution of TROPOMI allows the detection of several lanes of NO2 pollution ranging from the Aegean Sea near Greece to the Skagerrak in Scandinavia, which have not been detected with other satellite instruments before. Additionally, we demonstrate that under conditions of sun glint TROPOMI's vertical sensitivity to NO2 in the marine boundary layer increases by up to 60 %. The benefits of sun glint are most prominent under clear-sky situations when sea surface winds are low, but slightly above zero (±2 m/s). Beyond spatial resolution and sun glint, we examine for the first time the impact of the recently improved cloud algorithm on the TROPOMI NO2 retrieval quality, both over sea and over land. We find that the new FRESCO+wide algorithm leads to 50 hPa lower cloud pressures, correcting a known high bias, and produces 1–4·1015 molec/cm2 higher retrieved NO2 columns, thereby at least partially correcting for the previou</w:t>
      </w:r>
    </w:p>
    <w:p>
      <w:pPr/>
      <w:r>
        <w:rPr>
          <w:b/>
        </w:rPr>
        <w:t>POSSIBLE 2021:</w:t>
      </w:r>
      <w:r>
        <w:t xml:space="preserve"> Impact of SOx, NOx and NH3 emission reductions on PM2.5 concentrations across Europe: Hints for future measure development — https://doi.org/10.1016/j.envint.2021.106699</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Given the remaining air quality issues in many European regions, smart air quality strategies are necessary to reduce the burden of poor air quality. While designing effective strategies for non-reactive primary pollutants is straightforward, this is not the case for secondary pollutants for which the relationship between emission changes and the resulting concentration changes can be nonlinear. Under such conditions, strategies targeting the largest emitting sources might not be the most effective. In this work, we provide elements to better understand the role of the main emission precursors (SO2, NOx, NH3) on the formation of secondary inorganic aerosols. By quantifying the PM2.5 sensitivity to emission reductions for each of these three precursors, we define and quantify the intensity of PM2.5 formation chemical regimes across Europe. We find that for emission reductions limited to 25%, the relation between emission and PM concentration changes remain mostly linear, with the exception of the Po Valley where non-linearities reach more than 30% in winter. When emission reductions increase to 50%, non-linearity reaches more than 60% in the Po Valley but stay below 30% in the rest of Europe. In terms of implications on abatement strategies, our findings can be summarized in the following key messages: (1) reducing SO2 emissions where abundant is always efficient (e.g. eastern E</w:t>
      </w:r>
    </w:p>
    <w:p>
      <w:pPr/>
      <w:r>
        <w:rPr>
          <w:b/>
        </w:rPr>
        <w:t>POSSIBLE 2021:</w:t>
      </w:r>
      <w:r>
        <w:t xml:space="preserve"> Pricing carbon in the aviation sector: Evidence from the European emissions trading system — https://doi.org/10.1016/j.jeem.2021.102591</w:t>
      </w:r>
    </w:p>
    <w:p>
      <w:pPr/>
      <w:r>
        <w:rPr>
          <w:b/>
        </w:rPr>
        <w:t>Shared claim-specific concepts:</w:t>
      </w:r>
      <w:r>
        <w:t xml:space="preserve"> find, emission, sector, transport, but, also; EU scope visible. This is a provisional connection, not an outcome finding.</w:t>
      </w:r>
    </w:p>
    <w:p>
      <w:pPr>
        <w:pStyle w:val="SourceNote"/>
      </w:pPr>
      <w:r>
        <w:rPr>
          <w:b/>
        </w:rPr>
        <w:t>Available abstract (not full text):</w:t>
      </w:r>
      <w:r>
        <w:t xml:space="preserve"> A policy change in the European Union's Emissions Trading Scheme (EU ETS) provides us with a unique opportunity to measure the impact of carbon pricing on aviation, the most climate-intensive mode of transport. We implement a difference-in-differences strategy on a sample based on all flights within Europe from 2010 to 2016 to examine the causal impact of the EU ETS on emissions and supply. We find that the EU ETS reduced emissions by 4.7% in the regulated routes relative to the counterfactual. When we restrict the sample to short-haul flights, routes on which competition from other means of transport may exist (less than 1,000 km), the reduction in emissions is 10.7%. Finally, the reduction in emissions is also high for low-cost airlines (−11%) but it is not statistically significant for network airlines. In sum, the EU ETS has helped to mitigate emission growth by 3 Mt CO2 per year during the period analyzed, but not to reduce absolute emissions in the sector, as needed.</w:t>
      </w:r>
    </w:p>
    <w:p>
      <w:pPr/>
      <w:r>
        <w:rPr>
          <w:b/>
        </w:rPr>
        <w:t>POSSIBLE 2021:</w:t>
      </w:r>
      <w:r>
        <w:t xml:space="preserve"> Decoupling of urban CO 2 and air pollutant emission reductions during the European SARS-CoV-2 lockdown — https://doi.org/10.5194/acp-21-3091-2021</w:t>
      </w:r>
    </w:p>
    <w:p>
      <w:pPr/>
      <w:r>
        <w:rPr>
          <w:b/>
        </w:rPr>
        <w:t>Shared claim-specific concepts:</w:t>
      </w:r>
      <w:r>
        <w:t xml:space="preserve"> find, emission, reductions, energy, long-term, mitigation; EU scope visible. This is a provisional connection, not an outcome finding.</w:t>
      </w:r>
    </w:p>
    <w:p>
      <w:pPr>
        <w:pStyle w:val="SourceNote"/>
      </w:pPr>
      <w:r>
        <w:rPr>
          <w:b/>
        </w:rPr>
        <w:t>Available abstract (not full text):</w:t>
      </w:r>
      <w:r>
        <w:t xml:space="preserve"> Abstract. Lockdown and the associated massive reduction in people’s mobility imposed by SARS-CoV-2 mitigation measures across the globe provide a unique sensitivity experiment to investigate impacts on carbon and air pollution emissions. We present an integrated observational analysis based on long-term in-situ multispecies eddy flux measurements, allowing to quantify near real time changes of urban surface emissions for key air quality and climate tracers. During the first European SARS-CoV-2 wave we find that the emission reduction of classic air pollutants decoupled from CO2 and was significantly larger. These differences can only be rationalized by the different nature of urban combustion sources, and point towards a systematic bias of extrapolated urban NOx emissions in state-of the art emission models. The analysis suggests that European policies, shifting residential, public and commercial energy demand towards cleaner combustion, have helped to improve air quality more than expected, and that the urban NOx flux remains to be dominated (e.g. &gt; 90 %) by traffic.</w:t>
      </w:r>
    </w:p>
    <w:p>
      <w:pPr/>
      <w:r>
        <w:rPr>
          <w:b/>
        </w:rPr>
        <w:t>POSSIBLE 2020:</w:t>
      </w:r>
      <w:r>
        <w:t xml:space="preserve"> The European Union Emissions Trading System reduced CO 2 emissions despite low prices — https://doi.org/10.1073/pnas.1918128117</w:t>
      </w:r>
    </w:p>
    <w:p>
      <w:pPr/>
      <w:r>
        <w:rPr>
          <w:b/>
        </w:rPr>
        <w:t>Shared claim-specific concepts:</w:t>
      </w:r>
      <w:r>
        <w:t xml:space="preserve"> find, emission, reductions; EU scope visible. This is a provisional connection, not an outcome finding.</w:t>
      </w:r>
    </w:p>
    <w:p>
      <w:pPr>
        <w:pStyle w:val="SourceNote"/>
      </w:pPr>
      <w:r>
        <w:rPr>
          <w:b/>
        </w:rPr>
        <w:t>Available abstract (not full text):</w:t>
      </w:r>
      <w:r>
        <w:t xml:space="preserve"> International carbon markets are an appealing and increasingly popular tool to regulate carbon emissions. By putting a price on carbon, carbon markets reshape incentives faced by firms and reduce the value of emissions. How effective are carbon markets? Observers have tended to infer their effectiveness from market prices. The general belief is that a carbon market needs a high price in order to reduce emissions. As a result, many observers remain skeptical of initiatives such as the European Union Emissions Trading System (EU ETS), whose price remained low (compared to the social cost of carbon). In this paper, we assess whether the EU ETS reduced [Formula: see text] emissions despite low prices. We motivate our study by documenting that a carbon market can be effective if it is a credible institution that can plausibly become more stringent in the future. In such a case, firms might cut emissions even though market prices are low. In fact, low prices can be a signal that the demand for carbon permits weakens. Thus, low prices are compatible with successful carbon markets. To assess whether the EU ETS reduced carbon emissions even as permits were cheap, we estimate counterfactual carbon emissions using an original sectoral emissions dataset. We find that the EU ETS saved about 1.2 billion tons of [Formula: see text] between 2008 and 2016 (3.8%) relative to a world without carb</w:t>
      </w:r>
    </w:p>
    <w:p>
      <w:pPr/>
      <w:r>
        <w:rPr>
          <w:b/>
        </w:rPr>
        <w:t>POSSIBLE 2020:</w:t>
      </w:r>
      <w:r>
        <w:t xml:space="preserve"> The role of woody biomass for reduction of fossil GHG emissions in the future North European energy sector — https://doi.org/10.1016/j.apenergy.2020.115360</w:t>
      </w:r>
    </w:p>
    <w:p>
      <w:pPr/>
      <w:r>
        <w:rPr>
          <w:b/>
        </w:rPr>
        <w:t>Shared claim-specific concepts:</w:t>
      </w:r>
      <w:r>
        <w:t xml:space="preserve"> find, emission, reductions, energy, sector, transport; EU scope visible. This is a provisional connection, not an outcome finding.</w:t>
      </w:r>
    </w:p>
    <w:p>
      <w:pPr>
        <w:pStyle w:val="SourceNote"/>
      </w:pPr>
      <w:r>
        <w:rPr>
          <w:b/>
        </w:rPr>
        <w:t>Available abstract (not full text):</w:t>
      </w:r>
      <w:r>
        <w:t xml:space="preserve"> In this study, we analyse the use of woody biomass in the heat and power sector in Northern Europe towards 2040 and quantify the fossil GHG-emission reductions from biomass use at different carbon price levels. The applied partial equilibrium energy system model has endogenous capacity investments in relevant heat and power technologies. The results show that use of woody biomass can reduce the direct emissions from the Northern European power and heat sector by 4–27% for carbon prices in the range of 5–103 €/tonne CO2eq in 2030 compared to a scenario where woody biomass is not available for power and heat generation. The cost of delivering heat and electricity increases with 0.2–0.7% when wood chips are excluded, depending on the carbon price. At a low carbon price, the use of natural gas, wind, and coal power generation increases when biomass is not available for power and heat generation. At higher carbon prices, solar power, wind power, power-to-heat, and natural gas become increasingly competitive, and therefore the use of biomass has a lower impact on emission reductions. Using the same biomass volumes for liquid transport fuel, we find a higher impact on fossil carbon emission reductions but substantially higher costs. The main conclusion from this study is that woody biomass contribution to lowering the fossil emission from heat and power generation in the Northern Euro</w:t>
      </w:r>
    </w:p>
    <w:p>
      <w:pPr>
        <w:pStyle w:val="Heading2"/>
      </w:pPr>
      <w:r>
        <w:t>652.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2024:</w:t>
      </w:r>
      <w:r>
        <w:t xml:space="preserve"> Energy access challenge and the role of fossil fuels in meeting electricity demand: Promoting renewable energy capacity for sustainable development — https://doi.org/10.1016/j.gsf.2024.101873</w:t>
      </w:r>
    </w:p>
    <w:p>
      <w:pPr/>
      <w:r>
        <w:rPr>
          <w:b/>
        </w:rPr>
        <w:t>Shared claim-specific concepts:</w:t>
      </w:r>
      <w:r>
        <w:t xml:space="preserve"> electricity, but, environmental, associated; EU scope not established. This is a provisional connection, not an outcome finding.</w:t>
      </w:r>
    </w:p>
    <w:p>
      <w:pPr>
        <w:pStyle w:val="SourceNote"/>
      </w:pPr>
      <w:r>
        <w:rPr>
          <w:b/>
        </w:rPr>
        <w:t>Available abstract (not full text):</w:t>
      </w:r>
      <w:r>
        <w:t xml:space="preserve"> The energy access challenge remains a significant barrier to sustainable development, with millions of people still needing access to modern energy services. Fossil fuels have played a crucial role in meeting electricity demand, but they face challenges and drawbacks in terms of environmental sustainability, energy security, and climate change. This study examines how renewable and non-renewable energy generation capacity impacted the environment in 53 upper-middle-income countries from 1990 to 2020, using energy access and alternative energy sources as mediating variables. The findings of this study provide valuable insights into the complex relationship between renewable energy generation capacity, energy access, alternative energy sources, and environmental conditions in upper-middle-income countries. The positive relationship between renewable energy generation capacity and environmental conditions emphasizes the importance and potential of renewable energy sources in mitigating environmental degradation. Additionally, the findings indicate that energy access also plays a crucial role in shaping energy generation patterns, with higher levels of access being associated with increased renewable energy generation and decreased reliance on non-renewable energy sources. These findings highlight the urgent need for policies and measures to promote renewable energy adoption and pr</w:t>
      </w:r>
    </w:p>
    <w:p>
      <w:pPr/>
      <w:r>
        <w:rPr>
          <w:b/>
        </w:rPr>
        <w:t>POSSIBLE 2023:</w:t>
      </w:r>
      <w:r>
        <w:t xml:space="preserve"> Lessons from Regional Electricity Demand Change following Natural Disasters in Japan — https://doi.org/10.1111/rsp3.12631</w:t>
      </w:r>
    </w:p>
    <w:p>
      <w:pPr/>
      <w:r>
        <w:rPr>
          <w:b/>
        </w:rPr>
        <w:t>Shared claim-specific concepts:</w:t>
      </w:r>
      <w:r>
        <w:t xml:space="preserve"> electricity, decrease, associated; EU scope not established. This is a provisional connection, not an outcome finding.</w:t>
      </w:r>
    </w:p>
    <w:p>
      <w:pPr>
        <w:pStyle w:val="SourceNote"/>
      </w:pPr>
      <w:r>
        <w:rPr>
          <w:b/>
        </w:rPr>
        <w:t>Available abstract (not full text):</w:t>
      </w:r>
      <w:r>
        <w:t xml:space="preserve"> Analyzing the impact of electricity price changes on electricity demand helps in energy supply planning. This study estimated the electricity demand functions of households and industries, as well as the impact of electricity price hikes on electricity demand following natural disasters. We found that structural changes occurred in various regions' electricity demand's price elasticity following natural disasters. Furthermore, the results showed that the decrease in consumer surplus associated with higher electricity prices was more significant in regions that depended on nuclear power. These results have important implications for regional energy policies.</w:t>
      </w:r>
    </w:p>
    <w:p>
      <w:pPr/>
      <w:r>
        <w:rPr>
          <w:b/>
        </w:rPr>
        <w:t>POSSIBLE 2023:</w:t>
      </w:r>
      <w:r>
        <w:t xml:space="preserve"> Summer heatwaves, wind production and electricity demand in Southern Europe: climatic conditions and impacts — https://doi.org/10.1088/2515-7620/acec37</w:t>
      </w:r>
    </w:p>
    <w:p>
      <w:pPr/>
      <w:r>
        <w:rPr>
          <w:b/>
        </w:rPr>
        <w:t>Shared claim-specific concepts:</w:t>
      </w:r>
      <w:r>
        <w:t xml:space="preserve"> electricity, decrease, but, environmental, greater; EU scope visible. This is a provisional connection, not an outcome finding.</w:t>
      </w:r>
    </w:p>
    <w:p>
      <w:pPr>
        <w:pStyle w:val="SourceNote"/>
      </w:pPr>
      <w:r>
        <w:rPr>
          <w:b/>
        </w:rPr>
        <w:t>Available abstract (not full text):</w:t>
      </w:r>
      <w:r>
        <w:t xml:space="preserve"> Abstract Electricity demand for cooling and heating is directly related to weather and climate, primarily through ambient temperature. In Southern Europe, the maximum electricity demand for cooling in summer can be more pronounced than in winter, especially during heat wave (HW) episodes. With the growth of renewable technologies in the energy mix, the dependency of the electricity system on the weather is becoming evident not just from the demand side, but also from the energy supply side. From the resources point of view, summer wind presents a minimum on its annual cycle, so a combination of maximum electricity demand can coincide with a minimum of wind power production. This study presents a strong multidisciplinary focus, merging climate, energy and environmental discipline, due to their relevant connections in Southern Europe where important climate change stresses are expected. The combined anomalies of electricity demand and wind production during heat wave episodes are quantified at the country level, taking into account the HW extension. The summer period (1989-2019) of ERA5 reanalysis and E-OBS-21.0e data is used for atmospheric magnitudes and the Copernicus climate change service (C3S) energy dataset for demand. In heat wave events, an increase of 3.5%–10.6% in electricity demand and a decrease up to −30.8% in wind power production is obtained, with variability depe</w:t>
      </w:r>
    </w:p>
    <w:p>
      <w:pPr/>
      <w:r>
        <w:rPr>
          <w:b/>
        </w:rPr>
        <w:t>POSSIBLE 2022:</w:t>
      </w:r>
      <w:r>
        <w:t xml:space="preserve"> A novel method for acquiring rigorous temperature response functions for electricity demand at a regional scale — https://doi.org/10.1016/j.scitotenv.2021.152893</w:t>
      </w:r>
    </w:p>
    <w:p>
      <w:pPr/>
      <w:r>
        <w:rPr>
          <w:b/>
        </w:rPr>
        <w:t>Shared claim-specific concepts:</w:t>
      </w:r>
      <w:r>
        <w:t xml:space="preserve"> electricity, but; EU scope not established. This is a provisional connection, not an outcome finding.</w:t>
      </w:r>
    </w:p>
    <w:p>
      <w:pPr>
        <w:pStyle w:val="SourceNote"/>
      </w:pPr>
      <w:r>
        <w:rPr>
          <w:b/>
        </w:rPr>
        <w:t>Available abstract (not full text):</w:t>
      </w:r>
      <w:r>
        <w:t xml:space="preserve"> The demand for electricity affects the future climate through its effect on greenhouse gas emissions in the electricity generation process, but climate change also impacts electricity demand by changing the need for heating and cooling. Developing reliable temperature response functions (TRFs) that illustrate electricity demand as a function of temperature is key for decreasing uncertainty in future climate projections under a changing climate and for impact assessments of climate change on energy systems. However, this task is challenging because electricity demand is determined by multiple factors that interact in complicated ways because demand fluctuations represent timely human responses to given meteorological conditions. We propose a novel method to acquire reliable TRFs at a regional scale based on comprehensive modeling of electricity demand fluctuations. Six candidate algorithms were examined, and multivariate adaptive regression splines (MARS) was selected as the best algorithm with the dataset used. Using MARS, we constructed models with the capacity to precisely reproduce complex electricity demand patterns based on multiple predictors and simulated the impact of temperature on electricity demand while controlling for the effects of other factors. The temporal segments in TRFs are detected and parameters and functional forms of TRFs for 10 regions in Japan were pre</w:t>
      </w:r>
    </w:p>
    <w:p>
      <w:pPr/>
      <w:r>
        <w:rPr>
          <w:b/>
        </w:rPr>
        <w:t>POSSIBLE 2022:</w:t>
      </w:r>
      <w:r>
        <w:t xml:space="preserve"> Causal impact of severe events on electricity demand: The case of COVID-19 in Japan — https://doi.org/10.48550/arxiv.2206.02122</w:t>
      </w:r>
    </w:p>
    <w:p>
      <w:pPr/>
      <w:r>
        <w:rPr>
          <w:b/>
        </w:rPr>
        <w:t>Shared claim-specific concepts:</w:t>
      </w:r>
      <w:r>
        <w:t xml:space="preserve"> electricity, decrease, employed, estimate; EU scope not established. This is a provisional connection, not an outcome finding.</w:t>
      </w:r>
    </w:p>
    <w:p>
      <w:pPr>
        <w:pStyle w:val="SourceNote"/>
      </w:pPr>
      <w:r>
        <w:rPr>
          <w:b/>
        </w:rPr>
        <w:t>Available abstract (not full text):</w:t>
      </w:r>
      <w:r>
        <w:t xml:space="preserve"> As of May 2022, the coronavirus disease 2019 (COVID-19) still has a severe global impact on people's lives. Previous studies have reported that COVID-19 decreased the electricity demand in early 2020. However, our study found that the electricity demand increased in summer and winter even when the infection was widespread. The fact that the event has continued over two years suggests that it is essential to introduce the method which can estimate the impact of the event for long period considering seasonal fluctuations. We employed the Bayesian structural time-series model to estimate the causal impact of COVID-19 on electricity demand in Japan. The results indicate that behavioral restrictions due to COVID-19 decreased the daily electricity demand (-5.1% in weekdays, -6.1% in holidays) in April and May 2020 as indicated by previous studies. However, even in 2020, the results show that the demand increases in the hot summer and cold winter (the increasing rate is +14% in the period from 1st August to 15th September 2020, and +7.6% from 16th December 2020 to 15th January 2021). This study shows that the significant decrease in electricity demand for the business sector exceeded the increase in demand for the household sector in April and May 2020; however, the increase in demand for the households exceeded the decrease in demand for the business in hot summer and cold winter per</w:t>
      </w:r>
    </w:p>
    <w:p>
      <w:pPr/>
      <w:r>
        <w:rPr>
          <w:b/>
        </w:rPr>
        <w:t>POSSIBLE 2021:</w:t>
      </w:r>
      <w:r>
        <w:t xml:space="preserve"> The role of humidity in determining future electricity demand in the southeastern United States — https://doi.org/10.1088/1748-9326/ac2fdf</w:t>
      </w:r>
    </w:p>
    <w:p>
      <w:pPr/>
      <w:r>
        <w:rPr>
          <w:b/>
        </w:rPr>
        <w:t>Shared claim-specific concepts:</w:t>
      </w:r>
      <w:r>
        <w:t xml:space="preserve"> electricity, decrease, but, united; EU scope not established. This is a provisional connection, not an outcome finding.</w:t>
      </w:r>
    </w:p>
    <w:p>
      <w:pPr>
        <w:pStyle w:val="SourceNote"/>
      </w:pPr>
      <w:r>
        <w:rPr>
          <w:b/>
        </w:rPr>
        <w:t>Available abstract (not full text):</w:t>
      </w:r>
      <w:r>
        <w:t xml:space="preserve"> Co-occurrence of high relative humidity levels and high temperatures can increase human discomfort, thereby affecting electricity requirements for space cooling. While relative humidity is generally projected to decrease over land in a warming climate, the combined impact of warming and changes in humidity on heat stress, and thus electricity demand, are less clear. To evaluate the role of relative humidity in determining future electricity demand, we first develop predictive models based, separately, on temperature (T) and a heat stress index (apparent temperature (AT)) at an hourly scale using meteorological reanalysis data and electricity load from the United States Energy Information Administration over the four electricity regions in the southeastern United States. The AT model performs better than the T model in the historical period. We then apply the predictive models to a set of high-resolution climate projections to understand the role of relative humidity in determining the electricity demand in a warmer climate. Due to the nonlinear behavior of heat stress with warming, future electricity demand is substantially larger when estimated from AT than from T. The increase in demand projected by AT ranges between 16%–29%, 20%–33%, 14%–32% and 13%–26% and that by T model ranges between 12%–19%, 15%–19%, 14%–22% and 12%–20% over Southeast, Florida, Carolina, and Tennessee r</w:t>
      </w:r>
    </w:p>
    <w:p>
      <w:pPr/>
      <w:r>
        <w:rPr>
          <w:b/>
        </w:rPr>
        <w:t>POSSIBLE 2020:</w:t>
      </w:r>
      <w:r>
        <w:t xml:space="preserve"> Decrease of mobility, electricity demand, and NO2 emissions on COVID-19 times and their feedback on prevention measures — https://doi.org/10.1016/j.scitotenv.2020.143382</w:t>
      </w:r>
    </w:p>
    <w:p>
      <w:pPr/>
      <w:r>
        <w:rPr>
          <w:b/>
        </w:rPr>
        <w:t>Shared claim-specific concepts:</w:t>
      </w:r>
      <w:r>
        <w:t xml:space="preserve"> electricity, decrease;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Impact of the COVID-19 Pandemic on the U.S. Electricity Demand and Supply: An Early View From Data — https://doi.org/10.1109/access.2020.3016912</w:t>
      </w:r>
    </w:p>
    <w:p>
      <w:pPr/>
      <w:r>
        <w:rPr>
          <w:b/>
        </w:rPr>
        <w:t>Shared claim-specific concepts:</w:t>
      </w:r>
      <w:r>
        <w:t xml:space="preserve"> electricity, decrease, but, three; EU scope not established. This is a provisional connection, not an outcome finding.</w:t>
      </w:r>
    </w:p>
    <w:p>
      <w:pPr>
        <w:pStyle w:val="SourceNote"/>
      </w:pPr>
      <w:r>
        <w:rPr>
          <w:b/>
        </w:rPr>
        <w:t>Available abstract (not full text):</w:t>
      </w:r>
      <w:r>
        <w:t xml:space="preserve"> After the onset of the recent COVID-19 pandemic, a number of studies reported on possible changes in electricity consumption trends. The overall theme of these reports was that "electricity use has decreased during the pandemic, but the power grid is still reliable"-mostly due to reduced economic activity. In this paper, we analyze electricity data until the end of May 2020, examining both electricity demand and variables that can indicate stress on the power grid. We limit this study to three states in the U.S. California, Florida and New York. The results indicate that the effect of the pandemic on electricity demand is not a simple reduction, and there are noticeable differences among regions analyzed. The variables that can indicate stress on the grid (e.g., daily peak and trough of the hourly demand, demand ramp rate, demand forecast error, and net electricity interchange) also conveyed mixed messages: some indicate an increase in stress, some indicate a decrease, and some do not indicate any clear difference. A positive message is that some of the changes that were observed around the time stay-at-home orders were issued appeared to revert back by May 2020. A key challenge in ascribing any observed change to the pandemic is correcting for weather as it can be challenging to accurately define it for large geographic regions. We provide a weather-correction method, apply it</w:t>
      </w:r>
    </w:p>
    <w:p>
      <w:pPr/>
      <w:r>
        <w:rPr>
          <w:b/>
        </w:rPr>
        <w:t>POSSIBLE 2020:</w:t>
      </w:r>
      <w:r>
        <w:t xml:space="preserve"> The COVID-19 pandemic’s impact on electricity demand and supply — https://openalex.org/W3034749761</w:t>
      </w:r>
    </w:p>
    <w:p>
      <w:pPr/>
      <w:r>
        <w:rPr>
          <w:b/>
        </w:rPr>
        <w:t>Shared claim-specific concepts:</w:t>
      </w:r>
      <w:r>
        <w:t xml:space="preserve"> electricity, decrease, but, three; EU scope visible. This is a provisional connection, not an outcome finding.</w:t>
      </w:r>
    </w:p>
    <w:p>
      <w:pPr>
        <w:pStyle w:val="SourceNote"/>
      </w:pPr>
      <w:r>
        <w:rPr>
          <w:b/>
        </w:rPr>
        <w:t>Available abstract (not full text):</w:t>
      </w:r>
      <w:r>
        <w:t xml:space="preserve"> After the onset of the recent COVID-19 pandemic, both the news media and academic papers reported on possible changes in electricity consumption trend. The overall theme of these reports, many of which focused on Europe, was that “electricity use has decreased during the pandemic, but the power grid is still reliable”. In this paper we analyze electricity data upto the middle of May 2020, examining both electricity demand and variables that can indicate stress on the power grid, such as peak demand and demand ramp-rate. We limit this study to three states in the USA: New York, California, and Florida. The results indicate that the effect of the pandemic on electricity demand is not a simple reduction from comparable time frames, and there is a large difference among regions. The variables that can indicate stress on the grid also conveyed a mixed messages: some indicate an increase in stress and some indicate a decrease. A positive message is that most changes that were observed around the time stay-at-home orders were issued also appeared to be reverting back. A key challenge in ascribing any observed change to the pandemic is correcting for other weather. We provide a weather-correction method and apply it to a small city-wide area. The exercise underscored that weather-correction is as challenging as it is important.</w:t>
      </w:r>
    </w:p>
    <w:p>
      <w:pPr/>
      <w:r>
        <w:rPr>
          <w:b/>
        </w:rPr>
        <w:t>POSSIBLE 2020:</w:t>
      </w:r>
      <w:r>
        <w:t xml:space="preserve"> THE IMPACT OF THE COVID-19 PANDEMIC ON ELECTRICITY DEMAND IN CROATIA — https://openalex.org/W3083264106</w:t>
      </w:r>
    </w:p>
    <w:p>
      <w:pPr/>
      <w:r>
        <w:rPr>
          <w:b/>
        </w:rPr>
        <w:t>Shared claim-specific concepts:</w:t>
      </w:r>
      <w:r>
        <w:t xml:space="preserve"> electricity, decrease, significantly, total; EU scope visible. This is a provisional connection, not an outcome finding.</w:t>
      </w:r>
    </w:p>
    <w:p>
      <w:pPr>
        <w:pStyle w:val="SourceNote"/>
      </w:pPr>
      <w:r>
        <w:rPr>
          <w:b/>
        </w:rPr>
        <w:t>Available abstract (not full text):</w:t>
      </w:r>
      <w:r>
        <w:t xml:space="preserve"> Electricity as the energy form of final energy consumption is necessary for functioning of economy and society in general It is an input in creating added value for goods and services in national economies The correlation between electricity consumption and gross domestic product, as the most significant macroeconomic variable, is strong Electricity indisputably has a positive impact on a nation's standard and its growth as it is necessary for functioning of the life of individuals and families in their households with regard to their technological equipment The importance of electricity is also seen in exceptional, extraordinary circumstances where significant, sudden in functioning of societies and countries in general occur One of such extraordinary disturbances is an occurrence of various pandemics The latest one appeared in the first quarter of 2020 in almost all countries in the world Croatia was no exception, and the pandemic has impacted its functioning For the first time in the most recent history of the world all countries were brought to a state of isolation from other countries in the world and a shutdown of almost the entire economic activity i e the lockdown The COVID-19 pandemic broke out in China in December 2019, and its world-wide spread, with the exponential growth in the number of infected and death cases as pandemic consequences, has impacted a significant </w:t>
      </w:r>
    </w:p>
    <w:p>
      <w:pPr>
        <w:pStyle w:val="Heading2"/>
      </w:pPr>
      <w:r>
        <w:t>653.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2024:</w:t>
      </w:r>
      <w:r>
        <w:t xml:space="preserve"> The European Union and the Wider Europe — https://doi.org/10.1017/9781009230322.017</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Union Law — https://doi.org/10.1017/9781009230322</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Integration and the Treaties on European Union — https://doi.org/10.1017/9781009230322.008</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2023:</w:t>
      </w:r>
      <w:r>
        <w:t xml:space="preserve"> Economic Interdependence between Norway and The European Union Compared to Switzerland and The European Union — https://doi.org/10.34010/gpsjournal.v7i1.8697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Norway and Switzerland have a history of being part of the European Union (EU) and eventually opting out. Though, as a part of the European Economic Area allows Norway to integrate and participate with the EU’s single market. Similarly, Switzerland can participate in and access the European single market through a set of bilateral agreements with the EU. Consequently, both countries must accept a set of rules by the EU. This paper aims to compare and examine the bilateral relations maintained between Norway and the EU compared to Switzerland and the EU in the field of economic cooperation namely the trade and investment sectors in the aftermath of the financial crisis. This paper incorporates two types of analysis. The first part uses quantitative methods of descriptive statistical analysis and is followed by strength, weakness, opportunities, and threat (SWOT) analysis. This paper demonstrates that the bilateral relations between Norway and the EU as well as for Switzerland and the EU have created conditions of interdependence for both the EU and its partners, namely, Norway and Switzerland. Keywords— European Union, Interdependence, Norway, Switzerland</w:t>
      </w:r>
    </w:p>
    <w:p>
      <w:pPr/>
      <w:r>
        <w:rPr>
          <w:b/>
        </w:rPr>
        <w:t>POSSIBLE 2022:</w:t>
      </w:r>
      <w:r>
        <w:t xml:space="preserve"> The cultural policy of the European Union — https://doi.org/10.4337/9781800375932.00021</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study reviews the development of EU cultural policy over the past decades. It sets out its foundations in the Treaty on European Union and the Treaty on the Functioning of the European Union, and the role of the EU's various institutions. It assesses the consecutive generations of programmes such as Ariane, Kaleidoscope and Raphael, the European Capital of Culture, the Culture 2000 Programme and its successors, and the Creative Europe Programme (2014 to 2020). The impact of the UNESCO Convention on Cultural Diversity is covered as well. The author concludes that the Union still regards cultural policy mainly as a means to further integration. Although, by now the identity building function of EU cultural policy became less manifest, the different cultural programmes follow a much more comprehensive set of goals. However, some inherent aspects of cultural diversity are still not tackled properly, especially the problem of ethnic minorities.</w:t>
      </w:r>
    </w:p>
    <w:p>
      <w:pPr/>
      <w:r>
        <w:rPr>
          <w:b/>
        </w:rPr>
        <w:t>POSSIBLE 2022:</w:t>
      </w:r>
      <w:r>
        <w:t xml:space="preserve"> Gender Mainstreaming the European Union Energy Transition — https://doi.org/10.3390/en15218087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2021:</w:t>
      </w:r>
      <w:r>
        <w:t xml:space="preserve"> The European Union and Yemen — https://doi.org/10.4324/9780429317873-38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Yemen is one of the most volatile countries in the Middle East not least as the site of a conflict which has claimed thousands of lives and caused humanitarian catastrophe. Despite this, the country has always occupied a marginal place in the foreign policy of the European Union (EU). This chapter will provide an overview of EU–Yemeni relations since the formation of the modern Republic of Yemen in 1990 with a focus on policies of the Union in the areas of development and political reform as set out in the Country Strategy Paper. It will then examine the role played by the EU in response to the 2011 uprising and in the transitional period that followed, in particular in relation to the National Dialogue Conference. Finally, the chapter will examine the response of the EU to the conflict that has devastated the country since 2015 and, especially, European efforts to mediate between the warring parties. The chapter will examine the extent to which the efforts of the EU have been undermined by the sometimes divergent interests of individual Member States in the region more broadly. It will conclude with a reflection on the possible future course of EU–Yemeni relations.</w:t>
      </w:r>
    </w:p>
    <w:p>
      <w:pPr/>
      <w:r>
        <w:rPr>
          <w:b/>
        </w:rPr>
        <w:t>POSSIBLE 2021:</w:t>
      </w:r>
      <w:r>
        <w:t xml:space="preserve"> Diplomatic service of the European Union — https://doi.org/10.37772/2309-9275-2021-2(17)-3</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Problem setting. Today the European Union interacts with the whole world and represents the interests and values of the European community far beyond one continent. Carrying out such activities provides for the existence of effective institutions for its implementation, which today are the European External Action Service and the European Uniondelegations around the world. It significantly differs from the classical manifestations of diplomacy, which determines the relevance of research into the establishment and development of the European Union diplomatic service. Moreover, understanding the process of formation and features of European Union diplomacy is interesting for domestic researchers of European Union law given the pro-European aspirations of Ukraine. Analysis of recent researches and publications. Certain aspects of this topic have been studied by suchdomesticscientistsas F. Baranovsky, M. Hnatyuk, O. Grinenko, O. Gladenko, M. Entin, O. Opanasyuk-Radlinska, E. Ryaboshtan, D. Tkachenko, O. Turchenko, Y.Sergienko, V. Streltsova, G. Utko, O. Fisun, V. Tsivaty, V. Shamraeva, O. Shapovalova, etc. Target of research is to research the basic preconditions and features of the establishment and development of the European Union diplomatic service and its functioning in today’s conditions. Article’s main body. The article is devoted to the study of the main prerequisites and f</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union, out, other, hand;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European Union — https://doi.org/10.1017/9781839700507.019</w:t>
      </w:r>
    </w:p>
    <w:p>
      <w:pPr/>
      <w:r>
        <w:rPr>
          <w:b/>
        </w:rPr>
        <w:t>Shared claim-specific concepts:</w:t>
      </w:r>
      <w:r>
        <w:t xml:space="preserve"> union, set, out, periods, before; EU scope visible. This is a provisional connection, not an outcome finding.</w:t>
      </w:r>
    </w:p>
    <w:p>
      <w:pPr>
        <w:pStyle w:val="SourceNote"/>
      </w:pPr>
      <w:r>
        <w:rPr>
          <w:b/>
        </w:rPr>
        <w:t>Available abstract (not full text):</w:t>
      </w:r>
      <w:r>
        <w:t xml:space="preserve"> INTRODUCTION As concerns the issue of limitation periods on claims in tort, there are three dimensions in EU law. First, limitation of claims brought against the EU itself has been regulated. This is the primary subject matter of the present report. Second, in striving to harmonise national laws and ensure the functioning of the common market, the EU enacts directives requiring the implementation of specified regulations into domestic law. At times these directives concern tort law, and make reference in some scope to the issue of limitation periods. Third, the issue of expiry of claims appears in conjunction with the liability of a Member State for damage caused by a violation of EU law; such liability is subject to a mixed set of regulations, both national and European. The second and third issues are the focus of the last fragment of the report. DEFINITION OF PRESCRIPTION Expiry of a claim for damages against the EU 1 is regulated in art 46 of the Statute of the Court of Justice of the European Union. Article 46 Proceedings against the Union in matters arising from non-contractual liability shall be barred after a period of five years from the occurrence of the event giving rise thereto. The period of limitation shall be interrupted if proceedings are instituted before the Court of Justice or if prior to such proceedings an application is made by the aggrieved party to the r</w:t>
      </w:r>
    </w:p>
    <w:p>
      <w:pPr/>
      <w:r>
        <w:rPr>
          <w:b/>
        </w:rPr>
        <w:t>POSSIBLE 2020:</w:t>
      </w:r>
      <w:r>
        <w:t xml:space="preserve"> Policies for transitioning towards a circular economy: Expectations from the European Union (EU) — https://doi.org/10.1016/j.resconrec.2019.104634</w:t>
      </w:r>
    </w:p>
    <w:p>
      <w:pPr/>
      <w:r>
        <w:rPr>
          <w:b/>
        </w:rPr>
        <w:t>Shared claim-specific concepts:</w:t>
      </w:r>
      <w:r>
        <w:t xml:space="preserve"> union, set, out, hand; EU scope visible. This is a provisional connection, not an outcome finding.</w:t>
      </w:r>
    </w:p>
    <w:p>
      <w:pPr>
        <w:pStyle w:val="SourceNote"/>
      </w:pPr>
      <w:r>
        <w:rPr>
          <w:b/>
        </w:rPr>
        <w:t>Available abstract (not full text):</w:t>
      </w:r>
      <w:r>
        <w:t xml:space="preserve"> The circular economy is a much discussed pathway towards sustainability. While some scholarly work has been carried out on barriers towards a circular economy, there are relatively few academic studies on policies that may accelerate a transition towards a circular economy. Those that focus on policies mostly scrutinize existing policies. The study at hand utilizes data from semi-structured interviews with 47 public and private sector circular economy experts from the European Union to explore expectations regarding circular economy policies, with expectations possibly going beyond existing policies. Expectations identified via this work include more robust standards and norms in production, expansion of circular procurement, tax relief for circular products, liberalization of waste trading and its facilitation through virtual platforms, support for eco-industrial parks, and awareness campaigns. The set of policy recommendations is presented from a life-cycle perspective that is necessary for a transition towards a circular economy. The study aims to contribute to the nascent body of circular economy literature concerning policies and may be of particular interest to practitioners.</w:t>
      </w:r>
    </w:p>
    <w:p>
      <w:pPr>
        <w:pStyle w:val="Heading2"/>
      </w:pPr>
      <w:r>
        <w:t>654.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two, transition, pathways, energy, system, current;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2023:</w:t>
      </w:r>
      <w:r>
        <w:t xml:space="preserve"> An assessment of different transition pathways to a green global economy — https://doi.org/10.1038/s43247-023-01109-5</w:t>
      </w:r>
    </w:p>
    <w:p>
      <w:pPr/>
      <w:r>
        <w:rPr>
          <w:b/>
        </w:rPr>
        <w:t>Shared claim-specific concepts:</w:t>
      </w:r>
      <w:r>
        <w:t xml:space="preserve"> transition, pathways, renewable, energy, sector; EU scope not established. This is a provisional connection, not an outcome finding.</w:t>
      </w:r>
    </w:p>
    <w:p>
      <w:pPr>
        <w:pStyle w:val="SourceNote"/>
      </w:pPr>
      <w:r>
        <w:rPr>
          <w:b/>
        </w:rPr>
        <w:t>Available abstract (not full text):</w:t>
      </w:r>
      <w:r>
        <w:t xml:space="preserve"> Abstract Transition to green economy is urgently needed in order to reach the climate targets by the end of this century. We investigate the optimal pathways for transitioning of the global economy from one dominated by the fossil-fueled (brown) sector to one dominated by the zero-emission (green) sector. We consider three transition regimes: a "Linear" regime with a constant growth rate of the green sector, a "Delayed" regime composed of a much lower early growth rate until 2050 followed by a higher growth rate afterwards, and a "Fast" regime composed of a much higher early growth rate until 2050 followed by a slower growth rate afterwards. Our results indicate that the labor market is more sensitive to the pace of transition than the capital market. We also find that slow green growth under the "Delayed" regime induces higher rates of abatement in the brown sector which are amplified by early R&amp;D investment in green capital productivity. Finally, we show that rapid transition to green economy requires substantial upfront investment in renewable energy infrastructure and human capital development which in turn, reduces greenhouse gas emissions by 60% in 2050 compared to the "Delayed" regime.</w:t>
      </w:r>
    </w:p>
    <w:p>
      <w:pPr/>
      <w:r>
        <w:rPr>
          <w:b/>
        </w:rPr>
        <w:t>POSSIBLE 2023:</w:t>
      </w:r>
      <w:r>
        <w:t xml:space="preserve"> AdJUST: Potential Pathways of a Just Energy Transition in Europe — https://doi.org/10.20446/jep-2414-3197-39-3-139</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transition, pathways, renewable, energy, system, current;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2022:</w:t>
      </w:r>
      <w:r>
        <w:t xml:space="preserve"> Policy Instruments to Support Agroecological Transitions in Europe — https://doi.org/10.1111/1746-692x.12367</w:t>
      </w:r>
    </w:p>
    <w:p>
      <w:pPr/>
      <w:r>
        <w:rPr>
          <w:b/>
        </w:rPr>
        <w:t>Shared claim-specific concepts:</w:t>
      </w:r>
      <w:r>
        <w:t xml:space="preserve"> two, transition, system; EU scope visible. This is a provisional connection, not an outcome finding.</w:t>
      </w:r>
    </w:p>
    <w:p>
      <w:pPr>
        <w:pStyle w:val="SourceNote"/>
      </w:pPr>
      <w:r>
        <w:rPr>
          <w:b/>
        </w:rPr>
        <w:t>Available abstract (not full text):</w:t>
      </w:r>
      <w:r>
        <w:t xml:space="preserve"> Summary Agroecological transitions have the potential to deliver multiple environmental and social benefits. However socio‐economic barriers have prevented those transitions in many European contexts. This article aims to inform policymakers about policy instruments that can foster agroecological transitions in Europe, especially by removing key socio‐economic barriers. A multi‐step methodology was carried out over a two‐year period in 15 case studies across Europe. The case studies represent farming systems that are in the process of initiating or enhancing the transition. Data collection relied on a participatory process, involving a variety of transdisciplinary actors. Study findings identify three major themes of barriers to agroecological transitions, namely actor capacity , value chain and policy . To address these barriers, policy instruments should consider the farming system’s stage in the transition pathway to take account of the different priorities of local actors. At the stage of initiating the transition, removing the barriers requires improvements in knowledge delivery mechanisms by strengthening advisory services and reducing decision‐makers’ uncertainty. At the stage of enhancing the transition, a focus on social capital is needed, for example by strengthening networking and cooperation measures. Generally, more attention towards state interventions which suppo</w:t>
      </w:r>
    </w:p>
    <w:p>
      <w:pPr/>
      <w:r>
        <w:rPr>
          <w:b/>
        </w:rPr>
        <w:t>POSSIBLE 2022:</w:t>
      </w:r>
      <w:r>
        <w:t xml:space="preserve"> Reflecting the energy transition from a European perspective and in the global context—Relevance of solar photovoltaics benchmarking two ambitious scenarios — https://doi.org/10.1002/pip.3659</w:t>
      </w:r>
    </w:p>
    <w:p>
      <w:pPr/>
      <w:r>
        <w:rPr>
          <w:b/>
        </w:rPr>
        <w:t>Shared claim-specific concepts:</w:t>
      </w:r>
      <w:r>
        <w:t xml:space="preserve"> two, transition, renewable, energy, power, sector; EU scope visible. This is a provisional connection, not an outcome finding.</w:t>
      </w:r>
    </w:p>
    <w:p>
      <w:pPr>
        <w:pStyle w:val="SourceNote"/>
      </w:pPr>
      <w:r>
        <w:rPr>
          <w:b/>
        </w:rPr>
        <w:t>Available abstract (not full text):</w:t>
      </w:r>
      <w:r>
        <w:t xml:space="preserve"> Abstract Multiple energy‐related crises require a fast transition towards a sustainable energy system. The European Green Deal aims for zero CO 2 emission by 2050, while accelerating climate change impacts obligate a faster phase‐out of fossil fuels. Energy transition studies for Europe at and near 100% renewable energy are used as a benchmark for two newly introduced scenarios for Europe reaching zero CO 2 emissions by 2050 and 2040. A technology‐rich energy system model was applied in hourly resolution for Europe in 20 interconnected regions and in full sector coupling covering all energy demands. The results reveal a cost‐neutral energy transition towards 2050 based on declining levelised cost of electricity and a pathway with 9% higher energy costs leading to 17% lower total CO 2 emissions with an accelerated energy transition by 2040. The two scenarios find shares of solar photovoltaic (PV) in total generation of 61%–63% by 2050, the highest ever estimated for Europe, still below the highest global average shares ranging between 75% and 77% form three independent studies. The central energy system components are solar PV, wind power, batteries, electrolysers and CO 2 direct air capture for carbon capture and utilisation. The core characteristic of the European energy future may be best described by a power‐to‐X economy, which may evolve on the global scale to a solar‐to‐X </w:t>
      </w:r>
    </w:p>
    <w:p>
      <w:pPr/>
      <w:r>
        <w:rPr>
          <w:b/>
        </w:rPr>
        <w:t>POSSIBLE 2022:</w:t>
      </w:r>
      <w:r>
        <w:t xml:space="preserve"> Pathways of Transition to Organic Agriculture in Morocco — https://doi.org/10.3390/world3030040</w:t>
      </w:r>
    </w:p>
    <w:p>
      <w:pPr/>
      <w:r>
        <w:rPr>
          <w:b/>
        </w:rPr>
        <w:t>Shared claim-specific concepts:</w:t>
      </w:r>
      <w:r>
        <w:t xml:space="preserve"> transition, pathways, sector, system, current, area; EU scope not established. This is a provisional connection, not an outcome finding.</w:t>
      </w:r>
    </w:p>
    <w:p>
      <w:pPr>
        <w:pStyle w:val="SourceNote"/>
      </w:pPr>
      <w:r>
        <w:rPr>
          <w:b/>
        </w:rPr>
        <w:t>Available abstract (not full text):</w:t>
      </w:r>
      <w:r>
        <w:t xml:space="preserve"> Agriculture is a vital sector in Morocco through its contribution to the gross domestic product (13%) and workforce (30%). However, the sector faces important sustainability challenges due to Morocco’s dependence on rain-fed crops for 90% of the production and its vulnerability to climate change. In this context, organic agriculture presents itself as a promising alternative to valorize production and mitigate climate change effects. This article describes the dynamics and development of the organic agriculture niche in Morocco through the lens of the Multi-Level Perspective (MLP) on socio-technical transitions. The MLP is a widely used framework that bases its analysis on transitions being the result of the interaction of niches, socio-technical regimes, and socio-technical landscape. Results of the literature review and semi-structured interviews show that, although the organic niche is relatively well established (11,000 ha of organic land area in 2019), it is still developing at a slower rate than expected due to multiple setbacks. While organic farming does solve many sustainability challenges that Moroccan agriculture faces, it still lacks the infrastructure and human capital to succeed as a niche. All in all, organic farming is still in the first transition stages and can follow a multitude of pathways before becoming relevant in the current agri-food system.</w:t>
      </w:r>
    </w:p>
    <w:p>
      <w:pPr/>
      <w:r>
        <w:rPr>
          <w:b/>
        </w:rPr>
        <w:t>POSSIBLE 2020:</w:t>
      </w:r>
      <w:r>
        <w:t xml:space="preserve"> Developing Transition Pathways towards Sustainable Mobility in European Cities — https://openalex.org/W3217687997</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To create a climate-neutral Europe and liveable cities by 2050, transitions towards sustainable urban mobility need to be accelerated. To make these goals possible, cities need a clear long-term vision and a strategic pathway charting these transitions– as well as practical skills in relation to implementation in shorter-term. This report provides an evidence-based conceptual framework for how such transition pathways might look and implementation strategies for them, whilst and implementation strategies, and provides two sets of practical guidance to support European cities in developing these.</w:t>
      </w:r>
    </w:p>
    <w:p>
      <w:pPr>
        <w:pStyle w:val="Heading2"/>
      </w:pPr>
      <w:r>
        <w:t>655.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r>
        <w:rPr>
          <w:b/>
        </w:rPr>
        <w:t>POSSIBLE 2023:</w:t>
      </w:r>
      <w:r>
        <w:t xml:space="preserve"> Leadership styles: a study in Latin America, the United States and Europe — https://doi.org/10.56294/saludcyt2023401</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Introduction: leadership styles vary in organizations due to multiple factors, such as policies or organizational culture. Today's globalized world and post-pandemic times require a leader capable of integrating people and motivating them to achieve objectives. Objective: the aim of this study was to analyze leadership styles in organizations in Latin America, the United States and Europe. Method: a sample of eighty-one leaders were administered a questionnaire composed of twenty-one items, in order to evaluate the leadership style with the Blake and Mouton test, in order to identify whether leaders are people-oriented or task-oriented. Results: once the test was applied to the leaders of the study sample, it was found that 1,23 % are social leaders, 4,94 % are authoritarian leaders and 93,83 % are team leaders.Conclusions: today's society demands an integrative leadership style that helps transform the work team. Research on leadership identifies multiple factors that can lead to the selection of a leadership style. In this regard, the results obtained revealed that the team leadership style is the one most used by leaders</w:t>
      </w:r>
    </w:p>
    <w:p>
      <w:pPr/>
      <w:r>
        <w:rPr>
          <w:b/>
        </w:rPr>
        <w:t>POSSIBLE 2023:</w:t>
      </w:r>
      <w:r>
        <w:t xml:space="preserve"> Membership Trends in European Countries — https://doi.org/10.1353/ben.2023.a923758</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Membership Trends in European Countries Thomas Piazza (bio) Thomas Piazza Thomas Piazza is a retired survey research designer and statistician from the University of California, Berkeley. He was a Benedictine monk of St. Leo Abbey in Florida during the 1960s. Footnotes 1. Thomas Piazza, "Regional Trends in the Benedictine Confederation," American Benedictine Review 73, no. 3 (September 2022): 322–330. The number of monks considered as being in Europe in that article include 16 monks from Australia (rather than simply dropping them from the analysis) and 9 monks mistakenly classified as being in the UK instead of the U.S. Therefore, the current article counts 25 monks fewer in Europe than the earlier one. 2. See Piazza, "Regional Trends," 329–330. 3. Catalogus Monasteriorum O.S.B. Monachorum (Rome: The Benedictine Confederation, 2020). The Catalogus has been published by the Curia of the Abbot Primate in Rome at Sant'Anselmo approximately every five years since 1880 (except during periods of major wars). The Catalogus reports membership statistics for professed monks plus a few claustral oblates. We are grateful to Fr. Patrick Carter, O.S.B., for carrying out the computer work to digitize the 2020 Catalogus and to Fr. Geraldo González y Lima, O.S.B., for facilitating access to the data file. 4. The number of professed monks in the Confederation declined about 20 percent during t</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them, one, both, but;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analyzing, one, hand, other;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Possibilities of the Development of Edible Insect-Based Foods in Europe — https://doi.org/10.3390/foods10040766</w:t>
      </w:r>
    </w:p>
    <w:p>
      <w:pPr/>
      <w:r>
        <w:rPr>
          <w:b/>
        </w:rPr>
        <w:t>Shared claim-specific concepts:</w:t>
      </w:r>
      <w:r>
        <w:t xml:space="preserve"> them, one, valuable, knowledge, both, hand;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them, one, both, but, other,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Youth Participation in Europe — https://doi.org/10.1093/oso/9780190937768.003.0007</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Abstract In the European context, there is no one accepted definition of youth participation either in the political arena or in academic debates. This chapter analyzes whether the current discourses consider reshaping youth involvement in both public and individual spheres. It presents empirical findings on youth participation’s discourses as they emerge in exemplary interviews with experts, contrasting them with comments from young people collected through focus groups conducted in different youth social spaces in eight European cities. The goal is to analyze whether the claim for youth inclusion and engagement is inspired by the socio-pedagogical principle of participation as an empowering tool for young people, groups, and communities or by an adult-driven agenda focused on young people’s future as adults rather than their actual way of living, their needs, and their desires.</w:t>
      </w:r>
    </w:p>
    <w:p>
      <w:pPr>
        <w:pStyle w:val="Heading2"/>
      </w:pPr>
      <w:r>
        <w:t>656.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r>
        <w:rPr>
          <w:b/>
        </w:rPr>
        <w:t>POSSIBLE 2021:</w:t>
      </w:r>
      <w:r>
        <w:t xml:space="preserve"> Decision-making in sustainable energy transition in Southeastern Europe: probabilistic network-based model — https://doi.org/10.1186/s13705-021-00315-3</w:t>
      </w:r>
    </w:p>
    <w:p>
      <w:pPr/>
      <w:r>
        <w:rPr>
          <w:b/>
        </w:rPr>
        <w:t>Shared claim-specific concepts:</w:t>
      </w:r>
      <w:r>
        <w:t xml:space="preserve"> decision-making, transition, energy, challenging, different; EU scope visible. This is a provisional connection, not an outcome finding.</w:t>
      </w:r>
    </w:p>
    <w:p>
      <w:pPr>
        <w:pStyle w:val="SourceNote"/>
      </w:pPr>
      <w:r>
        <w:rPr>
          <w:b/>
        </w:rPr>
        <w:t>Available abstract (not full text):</w:t>
      </w:r>
      <w:r>
        <w:t xml:space="preserve"> Abstract Background Sustainable energy transition of a country is complex and long-term process, which requires decision-making in all stages and at all levels, including a large number of different factors, with different causality. The main objective of this paper is the development of a probabilistic model for decision-making in sustainable energy transition in developing countries of SE Europe. The model will be developed according to the specificities of the countries for which it is intended—SE Europe. These are countries where energy transition is slower and more difficult due to many factors: high degree of uncertainty, low transparency, corruption, investment problems, insufficiently reliable data, lower level of economic development, high level of corruption and untrained human resources. All these factors are making decision-making more challenging and demanding. Methods Research was done by using content analysis, artificial intelligence methods, software development method and testing. The model was developed by using MSBNx—Microsoft Research’s Bayesian Network Authoring and Evaluation Tool. Results Due to the large number of insufficiently clear, but interdependent factors, the model is developed on the principle of probabilistic (Bayesian) networks of factors of interest. The paper presents the first model for supporting decision-making in the field of energy sus</w:t>
      </w:r>
    </w:p>
    <w:p>
      <w:pPr/>
      <w:r>
        <w:rPr>
          <w:b/>
        </w:rPr>
        <w:t>POSSIBLE 2021:</w:t>
      </w:r>
      <w:r>
        <w:t xml:space="preserve"> Overcoming decision paralysis—A digital twin for decision making in energy system design — https://doi.org/10.1016/j.apenergy.2021.117954</w:t>
      </w:r>
    </w:p>
    <w:p>
      <w:pPr/>
      <w:r>
        <w:rPr>
          <w:b/>
        </w:rPr>
        <w:t>Shared claim-specific concepts:</w:t>
      </w:r>
      <w:r>
        <w:t xml:space="preserve"> energy, uncertainties, different; EU scope not established. This is a provisional connection, not an outcome finding.</w:t>
      </w:r>
    </w:p>
    <w:p>
      <w:pPr>
        <w:pStyle w:val="SourceNote"/>
      </w:pPr>
      <w:r>
        <w:rPr>
          <w:b/>
        </w:rPr>
        <w:t>Available abstract (not full text):</w:t>
      </w:r>
      <w:r>
        <w:t xml:space="preserve"> The design of efficient energy systems, through the development of new technologies and the improvement of current ones, requires the use of rigorous process synthesis methods for generating and analysing design alternatives. We introduce a digital twin of process and energy system design that interactively translates needs and preferences of decision makers into an optimization-based model and generates meaningful solutions. The Interactive Digital Twin (InDiT) assists decision makers in steering the exploration of the solution space and guiding them towards relevant system design decisions, taking into account multiple aspects such as the impact of uncertainties and multi-criteria analysis. InDiT enhances step-by-step communication with the decision maker, relying on visual aids to keep the communication during solution generation and exploration intuitive and flexible. In this way, decision makers are guided towards relevant solutions and improve their understanding of relations between the problem definition and system design decisions, while InDiT builds on the decision makers’ preferences and can, after training, suggest solutions that are best-suited to their interests. The novelty of this work lies in the holistic approach of addressing both (i) the systematic generation and exploration of solutions with the assistance of a digital consultant, which translates the decis</w:t>
      </w:r>
    </w:p>
    <w:p>
      <w:pPr/>
      <w:r>
        <w:rPr>
          <w:b/>
        </w:rPr>
        <w:t>POSSIBLE 2020:</w:t>
      </w:r>
      <w:r>
        <w:t xml:space="preserve"> Decision making on regional energy transition : models, tools and approaches — https://openalex.org/W3034318633</w:t>
      </w:r>
    </w:p>
    <w:p>
      <w:pPr/>
      <w:r>
        <w:rPr>
          <w:b/>
        </w:rPr>
        <w:t>Shared claim-specific concepts:</w:t>
      </w:r>
      <w:r>
        <w:t xml:space="preserve"> transition, energy, technological; EU scope not established. This is a provisional connection, not an outcome finding.</w:t>
      </w:r>
    </w:p>
    <w:p>
      <w:pPr>
        <w:pStyle w:val="SourceNote"/>
      </w:pPr>
      <w:r>
        <w:rPr>
          <w:b/>
        </w:rPr>
        <w:t>Available abstract (not full text):</w:t>
      </w:r>
      <w:r>
        <w:t xml:space="preserve"> Since the industrial revolution we have relied heavily on fossil fuels as feedstock and energy source. A major drawback in using fossil fuels is the emission of anthropogenic greenhouse gases. Deep reductions in these greenhouse gas emissions are needed if climate change is to be limited to 1.5-2°C above pre-industrial levels. These reductions will require a drastic transformation of the energy system as indicated by scenario studies which have evaluated possible roadmaps for this transformation. There is no straightforward solution to make a transition from a fossil-driven energy system to one based on renewables. There are many technological options to consider and which options work best depends to a great extent on local and regional circumstances. Therefore, it is increasingly recognized that the energy transition will take place at the local and regional level. This is where major decisions will have to be made.</w:t>
      </w:r>
    </w:p>
    <w:p>
      <w:pPr/>
      <w:r>
        <w:rPr>
          <w:b/>
        </w:rPr>
        <w:t>POSSIBLE 2020:</w:t>
      </w:r>
      <w:r>
        <w:t xml:space="preserve"> Energy transition in the South East Europe: The case of the Romanian power system — https://doi.org/10.1016/j.egyr.2020.07.032</w:t>
      </w:r>
    </w:p>
    <w:p>
      <w:pPr/>
      <w:r>
        <w:rPr>
          <w:b/>
        </w:rPr>
        <w:t>Shared claim-specific concepts:</w:t>
      </w:r>
      <w:r>
        <w:t xml:space="preserve"> decision-making, transition, energy, three; EU scope visible. This is a provisional connection, not an outcome finding.</w:t>
      </w:r>
    </w:p>
    <w:p>
      <w:pPr>
        <w:pStyle w:val="SourceNote"/>
      </w:pPr>
      <w:r>
        <w:rPr>
          <w:b/>
        </w:rPr>
        <w:t>Available abstract (not full text):</w:t>
      </w:r>
      <w:r>
        <w:t xml:space="preserve"> With the exception of Albania, the countries of South-Eastern Europe (SEE) have high shares of electricity generation from an ageing fleet of coal-fired power units with quite low efficiencies. Energy planning-related decision-making regarding whether to modernize or replace a significant share of this old generating capacity has to be fixed within a global clean energy transition context. At the same time, the SEE region has a huge potential for renewable energy deployment and energy efficiency implementation. This work presents a generic mixed integer linear programming model to determine the optimal energy scheduling of a multi-zonal power system following the roadmaps of its energy transition process. Through a detailed unit commitment model implementing a co-optimization of energy and reserves market with a cost minimization objective function, the developed approach determines the optimal annual energy mixes of the Romanian power system through the day by day iterative solution of all the dates of three specific time milestones (2020, 2030, and 2040), where the outputs of a specific date comprise the inputs of the next one. The model outputs highlight the impacts on the power system in terms of technical, economic, and environmental performance. The energy transition towards a renewables dominant capacity and production mix guarantees the system’s security of supply, and </w:t>
      </w:r>
    </w:p>
    <w:p>
      <w:pPr/>
      <w:r>
        <w:rPr>
          <w:b/>
        </w:rPr>
        <w:t>POSSIBLE 2020:</w:t>
      </w:r>
      <w:r>
        <w:t xml:space="preserve"> The International Energy Security Risk Index in Sustainable Energy and Economy Transition Decision Making—A Reliability Analysis — https://doi.org/10.3390/en13143691</w:t>
      </w:r>
    </w:p>
    <w:p>
      <w:pPr/>
      <w:r>
        <w:rPr>
          <w:b/>
        </w:rPr>
        <w:t>Shared claim-specific concepts:</w:t>
      </w:r>
      <w:r>
        <w:t xml:space="preserve"> decision-making, transition, energy, economy, different; EU scope not established. This is a provisional connection, not an outcome finding.</w:t>
      </w:r>
    </w:p>
    <w:p>
      <w:pPr>
        <w:pStyle w:val="SourceNote"/>
      </w:pPr>
      <w:r>
        <w:rPr>
          <w:b/>
        </w:rPr>
        <w:t>Available abstract (not full text):</w:t>
      </w:r>
      <w:r>
        <w:t xml:space="preserve"> The world economy and society are in a complex process of transition characterized by a high degree of uncertainty. Therefore, further development and management of the transition will largely depend on the quality of the decisions made and, accordingly, on the decision-making process itself. The main goal of this study is to analyze the reliability of International Energy Security Risk Index as a tool to support the process of energy and economy transition decision making, as closely related and highly interdependent phenomena. The index is composed of 29 aggregated variables (grouped into eight categories), and the research is conducted on a research sample of 25 countries over a period of 36 years. The reliability assessment is performed by using Multiple Regression Analysis. Multicollinearity test, plus Multicollinearity test with Variance Inflation Factors, is used for methodological verification. The test results indicate a high degree of unreliability of the Index, as is concluded based on the observed errors in its methodological settings. These errors primarily relate to a high degree of multicollinearity in all 29 variables, whereby independent variables lose their independence and thus jeopardize reliability of the total Index. Out of the eight groups of variables, the fuel imports group is the only one that does not show big methodological errors. The paper presents</w:t>
      </w:r>
    </w:p>
    <w:p>
      <w:pPr/>
      <w:r>
        <w:rPr>
          <w:b/>
        </w:rPr>
        <w:t>POSSIBLE 2020:</w:t>
      </w:r>
      <w:r>
        <w:t xml:space="preserve"> Stakeholder involvement through national panels and surveys to address the issues and uncertainties arising in the preparedness and management of the transition phase — https://doi.org/10.1051/radiopro/2020022</w:t>
      </w:r>
    </w:p>
    <w:p>
      <w:pPr/>
      <w:r>
        <w:rPr>
          <w:b/>
        </w:rPr>
        <w:t>Shared claim-specific concepts:</w:t>
      </w:r>
      <w:r>
        <w:t xml:space="preserve"> decision-making, transition, uncertainties; EU scope visible. This is a provisional connection, not an outcome finding.</w:t>
      </w:r>
    </w:p>
    <w:p>
      <w:pPr>
        <w:pStyle w:val="SourceNote"/>
      </w:pPr>
      <w:r>
        <w:rPr>
          <w:b/>
        </w:rPr>
        <w:t>Available abstract (not full text):</w:t>
      </w:r>
      <w:r>
        <w:t xml:space="preserve"> Under the framework of the CONFIDENCE project, work package 4 was focusing on the transition to long-term recovery, involving stakeholders in decision-making processes. The essential research was performed using a participatory approach, which combined scenario-based stakeholder discussion panels and transnational stakeholder surveys following the Delphi methodology. The objective was to identify and address the issues and uncertainties arising in the preparedness and management of the transition phase and to explore ways to facilitate the incorporation of stakeholders’ expertise, points of view and interests in the decision-making processes. The final goal was to build best practices for planning optimal remediation strategies during the transition phase considering stakeholder involvement in the decision-making process. The results obtained from the work undertaken in nine European countries are presented.</w:t>
      </w:r>
    </w:p>
    <w:p>
      <w:pPr>
        <w:pStyle w:val="Heading2"/>
      </w:pPr>
      <w:r>
        <w:t>657. Future Scenarios of European Forests</w:t>
      </w:r>
    </w:p>
    <w:p>
      <w:pPr>
        <w:pStyle w:val="SourceNote"/>
      </w:pPr>
      <w:r>
        <w:rPr>
          <w:b/>
        </w:rPr>
        <w:t>Original source (2019):</w:t>
      </w:r>
      <w:r>
        <w:t xml:space="preserve"> https://doi.org/10.2478/jlecol-2018-0020</w:t>
      </w:r>
    </w:p>
    <w:p>
      <w:pPr/>
      <w:r>
        <w:t>Original wording (abstract; indexed_source_text_not_full_document_verified):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2023:</w:t>
      </w:r>
      <w:r>
        <w:t xml:space="preserve"> Performance-based sub-selection of CMIP6 models for impact assessments in Europe — https://doi.org/10.5194/esd-14-457-2023</w:t>
      </w:r>
    </w:p>
    <w:p>
      <w:pPr/>
      <w:r>
        <w:rPr>
          <w:b/>
        </w:rPr>
        <w:t>Shared claim-specific concepts:</w:t>
      </w:r>
      <w:r>
        <w:t xml:space="preserve"> abstract, based, used, trends; EU scope visible. This is a provisional connection, not an outcome finding.</w:t>
      </w:r>
    </w:p>
    <w:p>
      <w:pPr>
        <w:pStyle w:val="SourceNote"/>
      </w:pPr>
      <w:r>
        <w:rPr>
          <w:b/>
        </w:rPr>
        <w:t>Available abstract (not full text):</w:t>
      </w:r>
      <w:r>
        <w:t xml:space="preserve"> Abstract. We have created a performance-based assessment of CMIP6 models for Europe that can be used to inform the sub-selection of models for this region. Our assessment covers criteria indicative of the ability of individual models to capture a range of large-scale processes that are important for the representation of present-day European climate. We use this study to provide examples of how this performance-based assessment may be applied to multi-model ensemble of CMIP6 models to a) filter the ensemble for performance against these climatological/ processed-based criteria and, b) create a smaller sub-set of models based on performance, that also maintains model diversity and the filtered projection range as far as possible. Filtering by excluding the least realistic models leads to higher sensitivity models remaining in the ensemble as an emergent consequence of the assessment. This results in both the 25th percentile and the median of the projected temperature range being shifted toward greater warming for the filtered set of models. We also weight the unfiltered ensemble against global trends. In contrast this shifts both the distribution of towards less warming. This highlights a tension for regional model selection in terms of selection based on regional climate processes versus the global mean warming trend.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used, explore, develop;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2022:</w:t>
      </w:r>
      <w:r>
        <w:t xml:space="preserve"> Contrasting future lightning stories across Europe — https://doi.org/10.1088/1748-9326/ac9b78</w:t>
      </w:r>
    </w:p>
    <w:p>
      <w:pPr/>
      <w:r>
        <w:rPr>
          <w:b/>
        </w:rPr>
        <w:t>Shared claim-specific concepts:</w:t>
      </w:r>
      <w:r>
        <w:t xml:space="preserve"> abstract, contrasting, here, general; EU scope visible. This is a provisional connection, not an outcome finding.</w:t>
      </w:r>
    </w:p>
    <w:p>
      <w:pPr>
        <w:pStyle w:val="SourceNote"/>
      </w:pPr>
      <w:r>
        <w:rPr>
          <w:b/>
        </w:rPr>
        <w:t>Available abstract (not full text):</w:t>
      </w:r>
      <w:r>
        <w:t xml:space="preserve"> Abstract Thunderstorms are the most common source of hazardous weather at local scales, but are poorly represented in conventional climate models, resulting in high uncertainty in future changes. How these changes manifest in terms of lightning is even more uncertain, with previous studies giving conflicting projections. Here, for the first time, we use a km-scale model that explicitly resolves convection across Europe; suggesting more convection by 2100 under RCP8.5. Our ice-based lightning scheme indicates a highly altered lightning climatology-the consequence of general increases in instability, partly limited by convective inhibition, along with huge increases in melting level height and less cloud ice. A northward shift in favourable weather regimes increases lightning frequency at higher latitudes, and favours more thunderstorms over the Alps, but lightning decreases over lower terrain elsewhere and over the sea. Our results suggest the need to re-evaluate lightning risk to wildfires, properties, and human life across Europe.</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abstract, based, different, impacts, large, recent;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Keeping Up or Giving Up? Income Inequality and Materialism in Europe and the United States — https://doi.org/10.1007/s11205-021-02760-1</w:t>
      </w:r>
    </w:p>
    <w:p>
      <w:pPr/>
      <w:r>
        <w:rPr>
          <w:b/>
        </w:rPr>
        <w:t>Shared claim-specific concepts:</w:t>
      </w:r>
      <w:r>
        <w:t xml:space="preserve"> abstract, based, used, different, trends; EU scope visible. This is a provisional connection, not an outcome finding.</w:t>
      </w:r>
    </w:p>
    <w:p>
      <w:pPr>
        <w:pStyle w:val="SourceNote"/>
      </w:pPr>
      <w:r>
        <w:rPr>
          <w:b/>
        </w:rPr>
        <w:t>Available abstract (not full text):</w:t>
      </w:r>
      <w:r>
        <w:t xml:space="preserve"> Abstract We examine the extent to which income inequality is associated with materialistic values and behavior in Europe and the United States (US). In the US, existing research on materialistic behavior is largely focused on the study of shopping behavior and shows that, when income inequality is higher, individuals search for and buy products that are more luxury. In Europe, the evidence for this phenomenon is mainly based on survey questions on people’s values, and results are mixed. To determine whether these conflicting findings are rooted in methodology or reflect structural differences between the situation of Americans and Europeans, we measure materialistic behavior and values in both the US and Europe. Different types of data are used to test our arguments. In study 1, we use information on materialistic values from the European Social Survey (ESS) and the World Values Survey (WVS) to study the relationship between income inequality and materialistic values, examining the same research question in the contexts of Europe and the United States. In study 2, we use information from Google Trends to examine the relationship between income inequality and internet searching behavior both in Europe and in the United States. Hybrid multilevel models analyzing the variation in these relationships both over time and across regions show that in Europe as well as in the US, income</w:t>
      </w:r>
    </w:p>
    <w:p>
      <w:pPr/>
      <w:r>
        <w:rPr>
          <w:b/>
        </w:rPr>
        <w:t>POSSIBLE 2020:</w:t>
      </w:r>
      <w:r>
        <w:t xml:space="preserve"> Diverging hydrological drought traits over Europe with global warming — https://doi.org/10.5194/hess-24-5919-2020</w:t>
      </w:r>
    </w:p>
    <w:p>
      <w:pPr/>
      <w:r>
        <w:rPr>
          <w:b/>
        </w:rPr>
        <w:t>Shared claim-specific concepts:</w:t>
      </w:r>
      <w:r>
        <w:t xml:space="preserve"> abstract, different, develop, impacts,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2020:</w:t>
      </w:r>
      <w:r>
        <w:t xml:space="preserve"> Is There a Crisis of Democracy in Europe? — https://doi.org/10.1007/s11615-020-00231-9</w:t>
      </w:r>
    </w:p>
    <w:p>
      <w:pPr/>
      <w:r>
        <w:rPr>
          <w:b/>
        </w:rPr>
        <w:t>Shared claim-specific concepts:</w:t>
      </w:r>
      <w:r>
        <w:t xml:space="preserve"> abstract, large, trends;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abstract, based, used, explore, impacts, here;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Attribution of precipitation to cyclones and fronts over Europe in a kilometer-scale regional climate simulation — https://doi.org/10.5194/wcd-1-675-2020</w:t>
      </w:r>
    </w:p>
    <w:p>
      <w:pPr/>
      <w:r>
        <w:rPr>
          <w:b/>
        </w:rPr>
        <w:t>Shared claim-specific concepts:</w:t>
      </w:r>
      <w:r>
        <w:t xml:space="preserve"> abstract, based, contrasting, characteristics; EU scope visible. This is a provisional connection, not an outcome finding.</w:t>
      </w:r>
    </w:p>
    <w:p>
      <w:pPr>
        <w:pStyle w:val="SourceNote"/>
      </w:pPr>
      <w:r>
        <w:rPr>
          <w:b/>
        </w:rPr>
        <w:t>Available abstract (not full text):</w:t>
      </w:r>
      <w:r>
        <w:t xml:space="preserve"> Abstract. This study presents a detailed analysis of the climatological distribution of precipitation in relation to cyclones and fronts over Europe for the nine-year period 2000–2008. The analysis uses hourly output of a COSMO (Consortium for Small-scale Modeling) model simulation with 2.2 km grid spacing and resolved deep convection. Cyclones and fronts are identified as two-dimensional features in 850 hPa geopotential, equivalent potential temperature, and wind fields, and subsequently tracked over time based on feature overlap and size. Thermal heat lows and local thermal fronts are removed based on track properties. This data set then serves to define seven mutually exclusive precipitation components: high-pressure (e.g., summer convection), cyclonic (near cyclone center), cold-frontal, warm-frontal, collocated (e.g., occlusion area), far-frontal, and residual. The approach is illustrated with two case studies with contrasting precipitation characteristics. The climatological analysis for the nine-year period shows that frontal precipitation peaks in fall and winter over the eastern North Atlantic, with cold frontal precipitation also being crucial year-round near the Alps; cyclonic precipitation is largest over the North Atlantic (especially in summer) and in the northern Mediterranean (except in summer); high-pressure precipitation occurs almost exclusively over land and</w:t>
      </w:r>
    </w:p>
    <w:p>
      <w:pPr>
        <w:pStyle w:val="Heading2"/>
      </w:pPr>
      <w:r>
        <w:t>658.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2022:</w:t>
      </w:r>
      <w:r>
        <w:t xml:space="preserve"> Global wood anatomical perspective on the onset of the Late Antique Little Ice Age (LALIA) in the mid-6th century CE — https://doi.org/10.1016/j.scib.2022.10.019</w:t>
      </w:r>
    </w:p>
    <w:p>
      <w:pPr/>
      <w:r>
        <w:rPr>
          <w:b/>
        </w:rPr>
        <w:t>Shared claim-specific concepts:</w:t>
      </w:r>
      <w:r>
        <w:t xml:space="preserve"> ice, two, climate; EU scope not established. This is a provisional connection, not an outcome finding.</w:t>
      </w:r>
    </w:p>
    <w:p>
      <w:pPr>
        <w:pStyle w:val="SourceNote"/>
      </w:pPr>
      <w:r>
        <w:rPr>
          <w:b/>
        </w:rPr>
        <w:t>Available abstract (not full text):</w:t>
      </w:r>
      <w:r>
        <w:t xml:space="preserve"> Linked to major volcanic eruptions around 536 and 540 CE, the onset of the Late Antique Little Ice Age has been described as the coldest period of the past two millennia. The exact timing and spatial extent of this exceptional cold phase are, however, still under debate because of the limited resolution and geographical distribution of the available proxy archives. Here, we use 106 wood anatomical thin sections from 23 forest sites and 20 tree species in both hemispheres to search for cell-level fingerprints of ephemeral summer cooling between 530 and 550 CE. After cross-dating and double-staining, we identified 89 Blue Rings (lack of cell wall lignification), nine Frost Rings (cell deformation and collapse), and 93 Light Rings (reduced cell wall thickening) in the Northern Hemisphere. Our network reveals evidence for the strongest temperature depression between mid-July and early-August 536 CE across North America and Eurasia, whereas more localised cold spells occurred in the summers of 532, 540-43, and 548 CE. The lack of anatomical signatures in the austral trees suggests limited incursion of stratospheric volcanic aerosol into the Southern Hemisphere extra-tropics, that any forcing was mitigated by atmosphere-ocean dynamical responses and/or concentrated outside the growing season, or a combination of factors. Our findings demonstrate the advantage of wood anatomical inves</w:t>
      </w:r>
    </w:p>
    <w:p>
      <w:pPr/>
      <w:r>
        <w:rPr>
          <w:b/>
        </w:rPr>
        <w:t>POSSIBLE 2022:</w:t>
      </w:r>
      <w:r>
        <w:t xml:space="preserve"> Tunnel valley formation beneath deglaciating mid-latitude ice sheets: Observations and modelling — https://doi.org/10.1016/j.quascirev.2022.107680</w:t>
      </w:r>
    </w:p>
    <w:p>
      <w:pPr/>
      <w:r>
        <w:rPr>
          <w:b/>
        </w:rPr>
        <w:t>Shared claim-specific concepts:</w:t>
      </w:r>
      <w:r>
        <w:t xml:space="preserve"> ice, climate; EU scope not established. This is a provisional connection, not an outcome finding.</w:t>
      </w:r>
    </w:p>
    <w:p>
      <w:pPr>
        <w:pStyle w:val="SourceNote"/>
      </w:pPr>
      <w:r>
        <w:rPr>
          <w:b/>
        </w:rPr>
        <w:t>Available abstract (not full text):</w:t>
      </w:r>
      <w:r>
        <w:t xml:space="preserve"> The geological record of landforms and sediments produced beneath deglaciating ice sheets offers insights into inaccessible glacial processes. Large subglacial valleys formed by meltwater erosion of sediments (tunnel valleys) are widespread in formerly glaciated regions such as the North Sea. Obtaining a better understanding of these features may help with the parameterisation of basal melt rates and the interplay between basal hydrology and ice dynamics in numerical models of past, present, and future ice-sheet configurations. However, the mechanisms and timescales over which tunnel valleys form remain poorly constrained. Here, we present a series of numerical modelling experiments, informed by new observations from high-resolution 3D seismic data (6.25 m bin size, ∼4 m vertical resolution), which test different hypotheses of tunnel valley formation and calculate subglacial water routing, seasonal water discharges, and the rates at which tunnel valleys are eroded beneath deglaciating ice sheets. Networks of smaller or abandoned channels, pervasive slump deposits, and subglacial landforms are imaged inside and at the base of larger tunnel valleys, indicating that these tunnel valleys were carved through the action of migrating smaller channels within tens of kilometres of the ice margin and were later widened by ice-contact erosion. Our model results imply that the drainage of </w:t>
      </w:r>
    </w:p>
    <w:p>
      <w:pPr/>
      <w:r>
        <w:rPr>
          <w:b/>
        </w:rPr>
        <w:t>POSSIBLE 2022:</w:t>
      </w:r>
      <w:r>
        <w:t xml:space="preserve"> Split westerlies over Europe in the early Little Ice Age — https://doi.org/10.1038/s41467-022-32654-w</w:t>
      </w:r>
    </w:p>
    <w:p>
      <w:pPr/>
      <w:r>
        <w:rPr>
          <w:b/>
        </w:rPr>
        <w:t>Shared claim-specific concepts:</w:t>
      </w:r>
      <w:r>
        <w:t xml:space="preserve"> ice, cover, climate; EU scope visible. This is a provisional connection, not an outcome finding.</w:t>
      </w:r>
    </w:p>
    <w:p>
      <w:pPr>
        <w:pStyle w:val="SourceNote"/>
      </w:pPr>
      <w:r>
        <w:rPr>
          <w:b/>
        </w:rPr>
        <w:t>Available abstract (not full text):</w:t>
      </w:r>
      <w:r>
        <w:t xml:space="preserve"> Abstract The Little Ice Age (LIA) was the coldest period of the past millennium, characterized by high-density volcanism, low solar activity, and increased Northern Hemisphere sea-ice cover. Past studies of LIA circulation changes over the North Atlantic sector have typically referenced the North Atlantic Oscillation (NAO), though recent studies have noted that LIA climate patterns appear to be possess complexity not captured by an NAO analog. Here, we present a new precipitation-sensitive stalagmite record from northern Italy that covers the past 800 years at high resolution. Combined with terrestrial and marine records in the North Atlantic realm, we show that in the early LIA (1470-1610 C.E.), a multi-decadal scale atmospheric blocking over northern Europe split the westerlies away from central and northern Europe, and towards the Arctic and the Mediterranean. This enhanced blocking results in a cold and dry climate over central and northern Europe, and wetter conditions over the Mediterranean. The LIA atmospheric blocking could be caused by the concurrent sea-ice reduction in the Arctic and the Spörer solar minimum. With ongoing ice melting in the northern high latitudes and decreasing solar irradiance in the coming years, the early LIA may potentially serve as an analog for European hydroclimatic conditions in the coming decades.</w:t>
      </w:r>
    </w:p>
    <w:p>
      <w:pPr/>
      <w:r>
        <w:rPr>
          <w:b/>
        </w:rPr>
        <w:t>POSSIBLE 2022:</w:t>
      </w:r>
      <w:r>
        <w:t xml:space="preserve"> Global tree-ring response and inferred climate variation following the mid-thirteenth century Samalas eruption — https://doi.org/10.1007/s00382-022-06141-3</w:t>
      </w:r>
    </w:p>
    <w:p>
      <w:pPr/>
      <w:r>
        <w:rPr>
          <w:b/>
        </w:rPr>
        <w:t>Shared claim-specific concepts:</w:t>
      </w:r>
      <w:r>
        <w:t xml:space="preserve"> predominantly, climate; EU scope visible. This is a provisional connection, not an outcome finding.</w:t>
      </w:r>
    </w:p>
    <w:p>
      <w:pPr>
        <w:pStyle w:val="SourceNote"/>
      </w:pPr>
      <w:r>
        <w:rPr>
          <w:b/>
        </w:rPr>
        <w:t>Available abstract (not full text):</w:t>
      </w:r>
      <w:r>
        <w:t xml:space="preserve"> Abstract The largest explosive volcanic eruption of the Common Era in terms of estimated sulphur yield to the stratosphere was identified in glaciochemical records 40 years ago, and dates to the mid-thirteenth century. Despite eventual attribution to the Samalas (Rinjani) volcano in Indonesia, the eruption date remains uncertain, and the climate response only partially understood. Seeking a more global perspective on summer surface temperature and hydroclimate change following the eruption, we present an analysis of 249 tree-ring chronologies spanning the thirteenth century and representing all continents except Antarctica. Of the 170 predominantly temperature sensitive high-frequency chronologies, the earliest hints of boreal summer cooling are the growth depressions found at sites in the western US and Canada in 1257 CE. If this response is a result of Samalas, it would be consistent with an eruption window of circa May–July 1257 CE. More widespread summer cooling across the mid-latitudes of North America and Eurasia is pronounced in 1258, while records from Scandinavia and Siberia reveal peak cooling in 1259. In contrast to the marked post-Samalas temperature response at high-elevation sites in the Northern Hemisphere, no strong hydroclimatic anomalies emerge from the 79 precipitation-sensitive chronologies. Although our findings remain spatially biased towards the western U</w:t>
      </w:r>
    </w:p>
    <w:p>
      <w:pPr/>
      <w:r>
        <w:rPr>
          <w:b/>
        </w:rPr>
        <w:t>POSSIBLE 2022:</w:t>
      </w:r>
      <w:r>
        <w:t xml:space="preserve"> Tricentennial trends in spring ice break-ups on three rivers in northern Europe — https://doi.org/10.5194/tc-16-2881-2022</w:t>
      </w:r>
    </w:p>
    <w:p>
      <w:pPr/>
      <w:r>
        <w:rPr>
          <w:b/>
        </w:rPr>
        <w:t>Shared claim-specific concepts:</w:t>
      </w:r>
      <w:r>
        <w:t xml:space="preserve"> ice, cover, two; EU scope visible. This is a provisional connection, not an outcome finding.</w:t>
      </w:r>
    </w:p>
    <w:p>
      <w:pPr>
        <w:pStyle w:val="SourceNote"/>
      </w:pPr>
      <w:r>
        <w:rPr>
          <w:b/>
        </w:rPr>
        <w:t>Available abstract (not full text):</w:t>
      </w:r>
      <w:r>
        <w:t xml:space="preserve"> Abstract. In Finland, ice breakup observations have been recorded for centuries for Aura River (1749–2020), Torne River (1693–2020) and Kokemäki River (1793–2020). The Kokemäki River is a newly revised, extended, and updated ice breakup series from Pori. The Spearman analysis shows that the correlation between Aura and Kokemäki rivers is strong, while the correlation between the two southern rivers (Aura and Kokemäki) and Torne River is weaker. The difference is attributed to the longitudinal distance between the rivers. Temperature correlations are strong for all three rivers and the long-term trends towards earlier breakups are statistically significant. Aura and Kokemäki rivers show considerable changes. Aura and Kokemäki river have had two respectively three years without a complete ice cover in the 21st century. These are the first non-freeze events in over 270 years of recorded observations. In Torne River, however, the earliest recorded breakup date has changed only marginally the last 100 years. Moreover, the earliest recorded breakup date in the 21st century occurred only five days earlier than the earliest breakup date in the 18th century. Kokemäki River did not escape the hydroelectric power plant boom in the mid-1900s, and this has speeded up the breakup process. A qualitative analysis shows that exceptionally late ice breakups occurred in all three rivers in 1807, </w:t>
      </w:r>
    </w:p>
    <w:p>
      <w:pPr/>
      <w:r>
        <w:rPr>
          <w:b/>
        </w:rPr>
        <w:t>POSSIBLE 2021:</w:t>
      </w:r>
      <w:r>
        <w:t xml:space="preserve"> Exposure of mammal genetic diversity to mid‐21st century global change — https://doi.org/10.1111/ecog.05588</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Accelerating climate and land‐use change are rapidly transforming Earth's biodiversity. While there is substantial evidence on the exposure and vulnerability of biodiversity to global change at the species level, the global exposure of intraspecific genetic diversity (GD) is still unknown. Here, we assess the exposure of mitochondrial GD to mid‐21st century climate and land‐use change in terrestrial mammal assemblages at grid‐cell and bioclimatic region scales under alternative narratives of future societal development. We used global predictions of mammal GD distribution based on thousands of georeferenced mitochondrial genes for hundreds of mammal species, the latest generation of global climate models from the ongoing sixth phase of the Coupled Model Intercomparison Project (CMIP6), and global future projections of land‐use prepared for CMIP6. We found that more than 50% of the genetically poorest geographic areas (grid‐cells), primarily distributed in tundra, boreal forests/taiga and temperate bioclimatic regions, will be exposed to mean annual temperature rise that exceeds 2°C compared to the baseline period under all considered future scenarios. We also show that at least 30% of the most genetically rich areas in tropical, subtropical and montane regions will be exposed to an increase of mean annual temperature &gt; 2°C under less optimal scenarios. Genetic diversity in thes</w:t>
      </w:r>
    </w:p>
    <w:p>
      <w:pPr/>
      <w:r>
        <w:rPr>
          <w:b/>
        </w:rPr>
        <w:t>POSSIBLE 2021:</w:t>
      </w:r>
      <w:r>
        <w:t xml:space="preserve"> Limnological changes in Lake Victoria since the mid‐20th century — https://doi.org/10.1111/fwb.13780</w:t>
      </w:r>
    </w:p>
    <w:p>
      <w:pPr/>
      <w:r>
        <w:rPr>
          <w:b/>
        </w:rPr>
        <w:t>Shared claim-specific concepts:</w:t>
      </w:r>
      <w:r>
        <w:t xml:space="preserve"> increase, about, deeper, climate; EU scope not established. This is a provisional connection, not an outcome finding.</w:t>
      </w:r>
    </w:p>
    <w:p>
      <w:pPr>
        <w:pStyle w:val="SourceNote"/>
      </w:pPr>
      <w:r>
        <w:rPr>
          <w:b/>
        </w:rPr>
        <w:t>Available abstract (not full text):</w:t>
      </w:r>
      <w:r>
        <w:t xml:space="preserve"> Abstract Lake Victoria experienced a strong degradation of water quality between the 1960s and the 1990s and, as a consequence of eutrophication, the dominant phytoplankton group changed from diatoms to N2‐fixing cyanobacteria and there was a 2‐ to 10‐fold increase in chlorophyll‐a. The goal of this study is to determine whether the 2018–2019 physical (light, stratification) and ecological (nutrient, chlorophyll‐a, phytoplankton composition) conditions in Lake Victoria changed from the 1990s. Samples were collected in 2018–2019 in nearshore and offshore waters (Uganda), during three contrasting seasons: heavy rains (March), low rains (October), and dry (June), which corresponded to distinct water column mixing regimes, respectively, late‐stratified, early‐stratified, and mixed regimes. At each station (48 nearshore and 25 offshore), we measured vertical profiles of temperature, oxygen, phytoplankton biomass and composition, inorganic nutrients, and particulate organic carbon, particulate nitrogen (N), and phosphorus (P). Chlorophyll‐a concentrations in 2018–2019 were 10.3 ± 7.1 and 2.8 ± 1.1 µg/L in the nearshore and offshore surface waters, respectively, close to those measured in the 1960s before eutrophication, but distinctly lower than those measured in the 1990s (71 ± 100 and 14 ± 6 µg/L). The phytoplankton of Lake Victoria in 2018–2019 still appears dominated by diatoms a</w:t>
      </w:r>
    </w:p>
    <w:p>
      <w:pPr/>
      <w:r>
        <w:rPr>
          <w:b/>
        </w:rPr>
        <w:t>POSSIBLE 2020:</w:t>
      </w:r>
      <w:r>
        <w:t xml:space="preserve"> Increased European heat waves in recent decades in response to shrinking Arctic sea ice and Eurasian snow cover — https://doi.org/10.1038/s41612-020-0110-8</w:t>
      </w:r>
    </w:p>
    <w:p>
      <w:pPr/>
      <w:r>
        <w:rPr>
          <w:b/>
        </w:rPr>
        <w:t>Shared claim-specific concepts:</w:t>
      </w:r>
      <w:r>
        <w:t xml:space="preserve"> ice, increase, cover, climate; EU scope visible. This is a provisional connection, not an outcome finding.</w:t>
      </w:r>
    </w:p>
    <w:p>
      <w:pPr>
        <w:pStyle w:val="SourceNote"/>
      </w:pPr>
      <w:r>
        <w:rPr>
          <w:b/>
        </w:rPr>
        <w:t>Available abstract (not full text):</w:t>
      </w:r>
      <w:r>
        <w:t xml:space="preserve"> Abstract In recent decades, unprecedented extreme summer heat waves have occurred in Europe, and they have exhibited an increasing trend since 1970s. Although previous studies have suggested that these recent hot European summers could have been instigated by the underlying surface thermal conditions, the possible influence of shrinking Arctic sea ice and Eurasian snow cover on heat waves are not well understood. Herein, we present evidence obtained via observational analyses and numerical experiments indicating that the interdecadal increase in European heat waves is closely linked to the reductions in Arctic sea ice concentration (ASIC) and Eurasian snow cover fraction (EASC) across mid–high latitudes via the excitation of the anomalous Eurasian wave train. The combined effects of declined ASIC and EASC, accompanied by the drier soil and the stronger heat flux, tend to weaken the poleward temperature gradient at mid–high latitudes and affect the midlatitude jet stream and transient eddy activities. These dynamic and thermodynamic circulations increase the likelihood of more persistent European blocking events that favor frequent and strengthened heat waves. Further projection analysis of simulations from 13 CMIP5 climate models suggests that Europe may experience more hot summers as the ASIC and EASC continue to decline over the next century.</w:t>
      </w:r>
    </w:p>
    <w:p>
      <w:pPr/>
      <w:r>
        <w:rPr>
          <w:b/>
        </w:rPr>
        <w:t>POSSIBLE 2020:</w:t>
      </w:r>
      <w:r>
        <w:t xml:space="preserve"> Six hundred years of South American tree rings reveal an increase in severe hydroclimatic events since mid-20th century — https://doi.org/10.1073/pnas.2002411117</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South American (SA) societies are highly vulnerable to droughts and pluvials, but lack of long-term climate observations severely limits our understanding of the global processes driving climatic variability in the region. The number and quality of SA climate-sensitive tree ring chronologies have significantly increased in recent decades, now providing a robust network of 286 records for characterizing hydroclimate variability since 1400 CE. We combine this network with a self-calibrated Palmer Drought Severity Index (scPDSI) dataset to derive the South American Drought Atlas (SADA) over the continent south of 12°S. The gridded annual reconstruction of austral summer scPDSI is the most spatially complete estimate of SA hydroclimate to date, and well matches past historical dry/wet events. Relating the SADA to the Australia-New Zealand Drought Atlas, sea surface temperatures and atmospheric pressure fields, we determine that the El Niño-Southern Oscillation (ENSO) and the Southern Annular Mode (SAM) are strongly associated with spatially extended droughts and pluvials over the SADA domain during the past several centuries. SADA also exhibits more extended severe droughts and extreme pluvials since the mid-20th century. Extensive droughts are consistent with the observed 20th-century trend toward positive SAM anomalies concomitant with the weakening of midlatitude Westerlies, whi</w:t>
      </w:r>
    </w:p>
    <w:p>
      <w:pPr>
        <w:pStyle w:val="Heading2"/>
      </w:pPr>
      <w:r>
        <w:t>659.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2020:</w:t>
      </w:r>
      <w:r>
        <w:t xml:space="preserve"> Right‐Wing Populism in Rural Europe. Introduction to the Special Issue — https://doi.org/10.1111/soru.12306</w:t>
      </w:r>
    </w:p>
    <w:p>
      <w:pPr/>
      <w:r>
        <w:rPr>
          <w:b/>
        </w:rPr>
        <w:t>Shared claim-specific concepts:</w:t>
      </w:r>
      <w:r>
        <w:t xml:space="preserve"> here, built, system; EU scope visible. This is a provisional connection, not an outcome finding.</w:t>
      </w:r>
    </w:p>
    <w:p>
      <w:pPr>
        <w:pStyle w:val="SourceNote"/>
      </w:pPr>
      <w:r>
        <w:rPr>
          <w:b/>
        </w:rPr>
        <w:t>Available abstract (not full text):</w:t>
      </w:r>
      <w:r>
        <w:t xml:space="preserve"> Abstract This special issue aims to understand the rise of right‐wing populism in the European countryside, as well as the forms of resistance and the alternatives being built against it. In this short introduction, we briefly present the main objectives and conceptual position of the special issue and introduce its articles. Each article is discussed here based on its contribution to one of the following themes: (1) analysis of the existing socio‐economic system and power relations that gave rise to right‐wing populism in rural Europe; (2) critical examination of the major assumptions about rural support for populist movements; (3) problematic overlap between politics and rhetoric of right‐wing populist parties and left‐wing (green) parties and agrarian movements; (4) agrarian populism and food sovereignty movement as progressive alternatives to right‐wing politics in the European countryside.</w:t>
      </w:r>
    </w:p>
    <w:p>
      <w:pPr/>
      <w:r>
        <w:rPr>
          <w:b/>
        </w:rPr>
        <w:t>POSSIBLE 2020:</w:t>
      </w:r>
      <w:r>
        <w:t xml:space="preserve"> Alternative lenses for viewing how China has built its accounting and auditing profession — https://doi.org/10.1108/jaee-01-2019-0029</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Purpose The paper reviews some theoretical approaches that have been adopted for understanding the drivers and achievements of the Chinese professional project and the challenges it faces for the future, as a complement and a contrast to previous histories of China and to studies of other developing economies. Design/methodology/approach Based mainly on evaluating the information as obtained from the interviews in mainland China, in Hong Kong and in London reported by Macve (2020), complemented by other published histories. Findings China remains a paradox. Since the “reform and open” policy began in 1978 it has been transformed from one of the poorest countries to one of the economically most powerful in just some 40 years. However it remains (per capita) a “developing country”/”emerging economy” and ideologically a Communist country. While the accounting profession in the USA and UK has developed “from the bottom up” over more than a century and a half, the Chinese profession has effectively been created “from the top down” in under 25 years. The paper outlines alternative theorizations of the major stages in this achievement, in the context of the continuing rapid growth of China's economy and its stock markets, and of the overseas expansion of its manufacturing and increasingly service-oriented base. Research limitations/implications Space has restricted the analysis here t</w:t>
      </w:r>
    </w:p>
    <w:p>
      <w:pPr/>
      <w:r>
        <w:rPr>
          <w:b/>
        </w:rPr>
        <w:t>POSSIBLE 2020:</w:t>
      </w:r>
      <w:r>
        <w:t xml:space="preserve"> Flood exposure and vulnerability estimation methods for residential and commercial assets in Europe — https://doi.org/10.5194/egusphere-egu2020-4753</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Floods affect many types of tangible assets in Europe. Here, we present novel methods of estimating exposure and vulnerability of four important categories of assets: (1) residential buildings, (2) household contents, (3) non-residential buildings, (4) machinery and equipment. One set of models was developed for “residential” assets (1+2) and another one for “commercial” assets (3+4) within the activities of EIT Climate-KIC “SaferPLACES” project. All methods are applicable within Europe using only openly-available datasets at the level of individual buildings. Residential exposure is calculated through combination of estimated useful flood space of buildings and average national replacement costs of buildings and household contents. We devised a method for estimating building height using OpenStreetMap and pan-European raster datasets and transforming it into floor space area. Combining economic and demographic data, we calculated replacement costs of residential assets per m2 of floor space in 30 European countries, covering years 2000–2017. Regarding commercial assets, we created a method to disaggregate economic statistics to obtain detailed building-level estimates of replacement costs of non-residential buildings and machinery/equipment. Finally, we developed two Bayesian Network-based, probabilistic, multivariate models to estimate relative losses to residential and comme</w:t>
      </w:r>
    </w:p>
    <w:p>
      <w:pPr>
        <w:pStyle w:val="Heading2"/>
      </w:pPr>
      <w:r>
        <w:t>660.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2023:</w:t>
      </w:r>
      <w:r>
        <w:t xml:space="preserve"> QuantMig microsimulation population projection model and migration scenarios for 31 European countries — https://doi.org/10.5281/zenodo.7728048</w:t>
      </w:r>
    </w:p>
    <w:p>
      <w:pPr/>
      <w:r>
        <w:rPr>
          <w:b/>
        </w:rPr>
        <w:t>Shared claim-specific concepts:</w:t>
      </w:r>
      <w:r>
        <w:t xml:space="preserve"> microsimulation, project, population, immigration; EU scope visible. This is a provisional connection, not an outcome finding.</w:t>
      </w:r>
    </w:p>
    <w:p>
      <w:pPr>
        <w:pStyle w:val="SourceNote"/>
      </w:pPr>
      <w:r>
        <w:rPr>
          <w:b/>
        </w:rPr>
        <w:t>Available abstract (not full text):</w:t>
      </w:r>
      <w:r>
        <w:t xml:space="preserve"> This open data deposit contains the data and model code of QuantMig-Mic microsimulation population projection model for 31 European countries and accompanies deliverables D8.3: Model outputs for dissemination and D8.1: Microsimulation projection model. This Zenodo deposit contains datasets of model input (baseline population and immigration database) and output data (demography and components output tables) and model code with parameters of the Baseline scenario (termed Default in the model code) deposited in QuantMig_mic.zip file. To view the code the users must first install MODGEN software (or can view code files in Visual Studio). All scenarios share the same parameters except the immigrant population - to change the immigration assumptions the users can import immigration assumptions for any other scenario from the ImmigDataBase.csv and change it in the immigration module using the MODGEN user interface or using Visual Studio. The file structure and codebook for the data files is included in the cover note file "readme_quantmig_datasets.pdf" Detailed information about the QuantMig-Mic microsimulation model, its modules and parameters: Marois, G., Potančoková, M., González-Leonardo, M. (2023) QuantMig-Mic microsimulation population projection model. QuantMig Project Deliverable D8.2. International Institute for Applied Systems Analysis (IIASA), Austria. Available at:http://</w:t>
      </w:r>
    </w:p>
    <w:p>
      <w:pPr/>
      <w:r>
        <w:rPr>
          <w:b/>
        </w:rPr>
        <w:t>POSSIBLE 2023:</w:t>
      </w:r>
      <w:r>
        <w:t xml:space="preserve"> MicSim, a microsimulation model for population dynamics — https://doi.org/10.21203/rs.3.rs-2986170/v1</w:t>
      </w:r>
    </w:p>
    <w:p>
      <w:pPr/>
      <w:r>
        <w:rPr>
          <w:b/>
        </w:rPr>
        <w:t>Shared claim-specific concepts:</w:t>
      </w:r>
      <w:r>
        <w:t xml:space="preserve"> microsimulation, used, project, population, different, dynamics; EU scope visible. This is a provisional connection, not an outcome finding.</w:t>
      </w:r>
    </w:p>
    <w:p>
      <w:pPr>
        <w:pStyle w:val="SourceNote"/>
      </w:pPr>
      <w:r>
        <w:rPr>
          <w:b/>
        </w:rPr>
        <w:t>Available abstract (not full text):</w:t>
      </w:r>
      <w:r>
        <w:t xml:space="preserve"> Abstract Demographers use microsimulation for studying individual life courses and their attributes; events are specified to be the result of stochastic processes based on predetermined probabilistic rules. In this study, we developed and validated a microsimulation model to reconstruct individual’s life courses and their interactions in different regions of the European Union. One of the main objectives of this study was to track migrants’ pathways in the context of three population systems, namely Sweden, the Netherlands and Spain, from 2014 to 2018. We used official datasets as data inputs to analyze and project future population dynamics. A revised version of the MicSim package which is part of the statistical software R has been used to model mobility and migration patterns at large scale. For this purpose, among other things new functions were added to make the software more efficient concerning runtimes and data handling. By analyzing the modelling results we conclude that MicSim has the potential to be applied for modelling migration and also more general population movements at a large scale. The application of the MicSim package would provide policy makers with a valid instrument for the governance of migration accounting for the demographic and social patterns of migrants and their origin-destination contextual environments.</w:t>
      </w:r>
    </w:p>
    <w:p>
      <w:pPr/>
      <w:r>
        <w:rPr>
          <w:b/>
        </w:rPr>
        <w:t>POSSIBLE 2022:</w:t>
      </w:r>
      <w:r>
        <w:t xml:space="preserve"> Health Equity and Its Economic Determinants (HEED): protocol for a pan-European microsimulation model for health impacts of income and social security policies — https://doi.org/10.1136/bmjopen-2022-062405</w:t>
      </w:r>
    </w:p>
    <w:p>
      <w:pPr/>
      <w:r>
        <w:rPr>
          <w:b/>
        </w:rPr>
        <w:t>Shared claim-specific concepts:</w:t>
      </w:r>
      <w:r>
        <w:t xml:space="preserve"> microsimulation, project, population, different; EU scope visible. This is a provisional connection, not an outcome finding.</w:t>
      </w:r>
    </w:p>
    <w:p>
      <w:pPr>
        <w:pStyle w:val="SourceNote"/>
      </w:pPr>
      <w:r>
        <w:rPr>
          <w:b/>
        </w:rPr>
        <w:t>Available abstract (not full text):</w:t>
      </w:r>
      <w:r>
        <w:t xml:space="preserve"> Introduction Government policies on taxation and social security are important determinants of population health outcomes and health inequalities. However, there is a shortage of evidence to inform policymakers of the health consequences of such policies. The Health Equity and Its Economic Determinants project aims to assess the potential impacts of different taxation and social security policies across Europe on population health and health inequalities using a computer-based simulation that provides projections over multiple health domains. Methods and analysis In the first phase, key input parameters for the model will be estimated using estimation techniques that control for the effects of prior exposure on time-varying confounders and mediators (g-methods). The second phase will involve developing and validating the microsimulation model for the UK. Policy proposals, developed with policymakers, will be simulated in the third phase to investigate the impacts of income tax and social security changes on population health and health inequalities. In the final phase, the microsimulation model will be extended across other European countries. Ethics and dissemination This project will use deidentified secondary data for which ethical approval and consents were received by the original data collectors. No further ethical approval will be required for our main analytical dataset</w:t>
      </w:r>
    </w:p>
    <w:p>
      <w:pPr/>
      <w:r>
        <w:rPr>
          <w:b/>
        </w:rPr>
        <w:t>POSSIBLE 2022:</w:t>
      </w:r>
      <w:r>
        <w:t xml:space="preserve"> Modeling Fuzzy Fidelity: Using Microsimulation to Explore Age, Period, and Cohort Effects in Secularization — https://doi.org/10.1163/2589742x-bja10012</w:t>
      </w:r>
    </w:p>
    <w:p>
      <w:pPr/>
      <w:r>
        <w:rPr>
          <w:b/>
        </w:rPr>
        <w:t>Shared claim-specific concepts:</w:t>
      </w:r>
      <w:r>
        <w:t xml:space="preserve"> microsimulation, population, period; EU scope visible. This is a provisional connection, not an outcome finding.</w:t>
      </w:r>
    </w:p>
    <w:p>
      <w:pPr>
        <w:pStyle w:val="SourceNote"/>
      </w:pPr>
      <w:r>
        <w:rPr>
          <w:b/>
        </w:rPr>
        <w:t>Available abstract (not full text):</w:t>
      </w:r>
      <w:r>
        <w:t xml:space="preserve"> Abstract This article presents a microsimulation that explores age, period, and cohort effects in the decline of religiosity in contemporary societies. The model implements a well-known and previously empirically validated theory of secularization that highlights the role of “fuzzy fidelity,” i.e., the percentage of a population whose religiosity is moderate (Voas 2009). Validation of the model involved comparing its simulation results to shifts in religiosity over 9 waves of the European Social Survey. Simulation experiments suggest that a cohort effect, based on weakened transmission of religiosity as a function of the social environment, appears to be the best explanation for secularization in the societies studied, both for the population as a whole and for the proportions of religious, fuzzy, and secular people.</w:t>
      </w:r>
    </w:p>
    <w:p>
      <w:pPr/>
      <w:r>
        <w:rPr>
          <w:b/>
        </w:rPr>
        <w:t>POSSIBLE 2021:</w:t>
      </w:r>
      <w:r>
        <w:t xml:space="preserve"> Projecting health-ageing trajectories in Europe using a dynamic microsimulation model — https://doi.org/10.1038/s41598-021-81092-z</w:t>
      </w:r>
    </w:p>
    <w:p>
      <w:pPr/>
      <w:r>
        <w:rPr>
          <w:b/>
        </w:rPr>
        <w:t>Shared claim-specific concepts:</w:t>
      </w:r>
      <w:r>
        <w:t xml:space="preserve"> microsimulation, used, project, population, period; EU scope visible. This is a provisional connection, not an outcome finding.</w:t>
      </w:r>
    </w:p>
    <w:p>
      <w:pPr>
        <w:pStyle w:val="SourceNote"/>
      </w:pPr>
      <w:r>
        <w:rPr>
          <w:b/>
        </w:rPr>
        <w:t>Available abstract (not full text):</w:t>
      </w:r>
      <w:r>
        <w:t xml:space="preserve"> The extent of the challenges and opportunities that population ageing presents depends heavily on the population's health. Hence, for the development of appropriate strategies that enable countries to adopt the emerging demographic and epidemiological realities, information on future health trajectories of elderly population is a natural requirement. This study presents an innovative methodological framework for projecting the health of individuals using a dynamic microsimulation model that considers interactions between sociodemographic characteristics, health, mortality, bio-medical and behavioral risk factors. The model developed, called ATHLOS-Mic, is used to project the health of cohorts born before 1960 for the period 2015-2060 for selected European Countries using SHARE data to illustrate the possible effects of some selected risk factors and education on future health trajectories. Results show that, driven by a better educational attainment, each generation will be healthier than the previous one at same age. Also, we see that, on average, an individual of our base population will live about 18 more years since the start of the projection period, but only 5 years in good health. Finally, we find that a scenario that removes the effect of having a low level of education on individual health has the largest impact on the projected average health, the average number of ye</w:t>
      </w:r>
    </w:p>
    <w:p>
      <w:pPr/>
      <w:r>
        <w:rPr>
          <w:b/>
        </w:rPr>
        <w:t>POSSIBLE 2021:</w:t>
      </w:r>
      <w:r>
        <w:t xml:space="preserve"> Development and Validation of Three Regional Microsimulation Models for Predicting Colorectal Cancer Screening Benefits in Europe — https://doi.org/10.1177/2381468320984974</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Development and Validation of Three Regional Microsimulation Models for Predicting Colorectal Cancer Screening Benefits in Europe — https://doi.org/10.25384/sage.c.5291471</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POS-323 INSIDE CKD: PROJECTING THE FUTURE BURDEN OF CHRONIC KIDNEY DISEASE IN EUROPE USING MICROSIMULATION MODELLING — https://doi.org/10.1016/j.ekir.2021.03.339</w:t>
      </w:r>
    </w:p>
    <w:p>
      <w:pPr/>
      <w:r>
        <w:rPr>
          <w:b/>
        </w:rPr>
        <w:t>Shared claim-specific concepts:</w:t>
      </w:r>
      <w:r>
        <w:t xml:space="preserve"> microsimulation, project, period; EU scope visible. This is a provisional connection, not an outcome finding.</w:t>
      </w:r>
    </w:p>
    <w:p>
      <w:pPr>
        <w:pStyle w:val="SourceNote"/>
      </w:pPr>
      <w:r>
        <w:rPr>
          <w:b/>
        </w:rPr>
        <w:t>Available abstract (not full text):</w:t>
      </w:r>
      <w:r>
        <w:t xml:space="preserve"> Chronic kidney disease (CKD) is a debilitating and costly condition, affecting about 10% of people globally. Progression of CKD is associated with increased incidence of cardiovascular events, adverse renal outcomes and mortality, as well as high costs from renal replacement therapy (RRT) in end-stage renal disease. The future trajectories of CKD prevalence, progression and outcomes and their related costs, are critical considerations for public health and policy planning. Inside CKD aims to project, for the 2020–2025 period, the public health burden of CKD in Europe using a patient-level microsimulation-based model.</w:t>
      </w:r>
    </w:p>
    <w:p>
      <w:pPr/>
      <w:r>
        <w:rPr>
          <w:b/>
        </w:rPr>
        <w:t>POSSIBLE 2021:</w:t>
      </w:r>
      <w:r>
        <w:t xml:space="preserve"> Developing an integrated microsimulation model for the impact of fiscal policies on child health in Europe: the example of childhood obesity in Italy — https://doi.org/10.1186/s12916-021-02155-6</w:t>
      </w:r>
    </w:p>
    <w:p>
      <w:pPr/>
      <w:r>
        <w:rPr>
          <w:b/>
        </w:rPr>
        <w:t>Shared claim-specific concepts:</w:t>
      </w:r>
      <w:r>
        <w:t xml:space="preserve"> microsimulation, population, different, increase; EU scope visible. This is a provisional connection, not an outcome finding.</w:t>
      </w:r>
    </w:p>
    <w:p>
      <w:pPr>
        <w:pStyle w:val="SourceNote"/>
      </w:pPr>
      <w:r>
        <w:rPr>
          <w:b/>
        </w:rPr>
        <w:t>Available abstract (not full text):</w:t>
      </w:r>
      <w:r>
        <w:t xml:space="preserve"> BACKGROUND: We developed an integrated model called Microsimulation for Income and Child Health (MICH) that provides a tool for analysing the prospective effects of fiscal policies on childhood health in European countries. The aim of this first MICH study is to evaluate the impact of alternative fiscal policies on childhood overweight and obesity in Italy. METHODS: MICH model is composed of three integrated modules. Firstly, module 1 (M1) simulates the effects of fiscal policies on disposable household income using the tax-benefit microsimulation program EUROMOD fed with the Italian EU-SILC 2010 data. Secondly, module 2 (M2) exploits data provided by the Italian birth cohort called Nascita e Infanzia: gli Effetti dell'Ambiente (NINFEA), translated as Birth and Childhood: the Effects of the Environment study, and runs a series of concatenated regressions in order to estimate the prospective effects of income on child body mass index (BMI) at different ages. Finally, module 3 (M3) uses dynamic microsimulation techniques that combine the population structure and incomes obtained by M1, with regression model specifications and estimated effect sizes provided by M2, projecting BMI distributions according to the simulated policy scenarios. RESULTS: Both universal benefits, such as universal basic income (BI), and targeted interventions, such as child benefit (CB) for poorer househol</w:t>
      </w:r>
    </w:p>
    <w:p>
      <w:pPr/>
      <w:r>
        <w:rPr>
          <w:b/>
        </w:rPr>
        <w:t>POSSIBLE 2021:</w:t>
      </w:r>
      <w:r>
        <w:t xml:space="preserve"> MO494INSIDE CKD: MODELLING THE ECONOMIC BURDEN OF CHRONIC KIDNEY DISEASE IN EUROPE USING PATIENT-LEVEL MICROSIMULATION — https://doi.org/10.1093/ndt/gfab087.0014</w:t>
      </w:r>
    </w:p>
    <w:p>
      <w:pPr/>
      <w:r>
        <w:rPr>
          <w:b/>
        </w:rPr>
        <w:t>Shared claim-specific concepts:</w:t>
      </w:r>
      <w:r>
        <w:t xml:space="preserve"> microsimulation, used, population, country-specific, rates, increase; EU scope visible. This is a provisional connection, not an outcome finding.</w:t>
      </w:r>
    </w:p>
    <w:p>
      <w:pPr>
        <w:pStyle w:val="SourceNote"/>
      </w:pPr>
      <w:r>
        <w:rPr>
          <w:b/>
        </w:rPr>
        <w:t>Available abstract (not full text):</w:t>
      </w:r>
      <w:r>
        <w:t xml:space="preserve"> Abstract Background and Aims Chronic kidney disease (CKD) is a debilitating and costly condition, affecting approximately 10% of people globally. Progression of CKD is associated with an increased incidence of adverse renal and cardiovascular outcomes, and premature mortality, as well as increased requirement for renal replacement therapies (RRTs), which are associated with significant healthcare costs and resource use. The trajectories of CKD prevalence, progression, outcomes and the related costs are therefore critical considerations for public health and policy planning. Using country-specific, patient-level microsimulation, Inside CKD aims to model the global clinical and economic burden of CKD from 2020 to 2025. Method We used the Inside CKD microsimulation to model the economic burden of CKD in Europe. A virtual general population was developed for each country using national survey data and relevant data from published literature. Data inputs included country demographics, the prevalence of CKD and RRT, comorbidities and complication rates, as well as associated healthcare costs. CKD stages were defined according to Kidney Disease Improving Global Outcomes (KDIGO) 2012 recommendations and patients were categorized according to estimated glomerular filtration rate and albuminuria status. RRT modelling was calibrated against historical trends from country-specific renal re</w:t>
      </w:r>
    </w:p>
    <w:p>
      <w:pPr>
        <w:pStyle w:val="Heading2"/>
      </w:pPr>
      <w:r>
        <w:t>661.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2024:</w:t>
      </w:r>
      <w:r>
        <w:t xml:space="preserve"> Ex-ante LCA of magnet recycling: Progressing towards sustainable industrial-scale technology — https://doi.org/10.1016/j.jclepro.2024.142453</w:t>
      </w:r>
    </w:p>
    <w:p>
      <w:pPr/>
      <w:r>
        <w:rPr>
          <w:b/>
        </w:rPr>
        <w:t>Shared claim-specific concepts:</w:t>
      </w:r>
      <w:r>
        <w:t xml:space="preserve"> lca, environmental, categories; EU scope not established. This is a provisional connection, not an outcome finding.</w:t>
      </w:r>
    </w:p>
    <w:p>
      <w:pPr>
        <w:pStyle w:val="SourceNote"/>
      </w:pPr>
      <w:r>
        <w:rPr>
          <w:b/>
        </w:rPr>
        <w:t>Available abstract (not full text):</w:t>
      </w:r>
      <w:r>
        <w:t xml:space="preserve"> To alleviate the pressure on the rare earth supply chain, new technologies are under development for recovering, recycling and remanufacturing NdFeB magnets. In this study, the anticipated environmental performance of large-scale recycling is investigated and compared to the production of primary magnets. To do so, this ex-ante life cycle assessment combines input from measurements of pilot processes, expert technology forecasts, thermodynamic modelling, and equipment data from manufacturers. We examined the effect of four technology developments: process changes, size scaling, internal recycling, and optimization. The results show that at pilot scale, recovered NdFeB powders have lower impacts than primary powders for almost all impact categories. This demonstrates that the recovery of NdFeB alloys is environmentally beneficial. Magnets from anticipated large-scale recycling have over 80% lower impacts than primary magnets in most of the impact categories analyzed. All four investigated types of technology development contributed to this improved performance. The final configuration was validated by comparison with an industrial reference and theoretical optimum configuration. Four magnet manufacturing routes (sintering, extrusion, metal injection molding, bonding) have distinct environmental profiles, but all can progress to similarly low levels of impact. The choice among ro</w:t>
      </w:r>
    </w:p>
    <w:p>
      <w:pPr/>
      <w:r>
        <w:rPr>
          <w:b/>
        </w:rPr>
        <w:t>POSSIBLE 2023:</w:t>
      </w:r>
      <w:r>
        <w:t xml:space="preserve"> Waste LCA and the future — https://doi.org/10.1016/j.wasman.2023.11.021</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Life cycle assessment (LCA) models quantifying the environmental aspects of waste management have become an integral part of waste management decision-making over the last two decades and have provided ample knowledge on both environmental benefits and drawbacks in the way we handle waste. Waste management and LCA modelling of waste management systems will soon be challenged by profound changes necessary in our societies and sectors to meet sustainable development goals. Foreseen changes in energy, material, and nutrient provision will directly and indirectly affect waste management in terms of its operation and goals. This study reflects on anticipated changes in society and industrial sectors and how these changes may affect waste management and LCA modelling of waste management systems in terms of waste input, the modelling of technologies and systems and exchanges of energy, materials, and nutrients, as well as how it may affect impact assessment and the interpretation of results. The study provides practical recommendations for LCA modelling of future waste management systems, which will hopefully lead to robust assessments that can support decision-making in an evolving society subject to great changes.</w:t>
      </w:r>
    </w:p>
    <w:p>
      <w:pPr/>
      <w:r>
        <w:rPr>
          <w:b/>
        </w:rPr>
        <w:t>POSSIBLE 2023:</w:t>
      </w:r>
      <w:r>
        <w:t xml:space="preserve"> A LCA and LCC analysis of pure subtractive manufacturing, wire arc additive manufacturing, and selective laser melting approaches — https://doi.org/10.1016/j.jmapro.2023.05.102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The development of sustainable manufacturing solutions is gaining attention in the manufacturing sector due to increased awareness about climate change and the formulation of stricter environmental legislation. Sustainable manufacturing involves the development of solutions that are environmentally friendly and cost-effective at the same time. Considering the opportunities and limitations of metal subtractive and additive manufacturing approaches from a sustainability perspective, this study aims to compare the environmental impact and production costs associated with the manufacture of a marine propeller using pure subtractive CNC milling along with additive Wire arc additive manufacturing (WAAM) and Selective Laser Melting (SLM) approaches. Life Cycle Assessment (LCA) and Life Cycle Costing (LCC) are used to quantify the environmental and economic impacts, respectively for each manufacturing approach. Based on the LCA and LCC models formulated, and the input data collected, the WAAM approach is observed to be the most environmentally and cost-efficient approach for the marine propeller analyzed. WAAM shows an environmental impact about 2.5 times and 3.4 times lower than pure CNC milling and SLM approaches, respectively mainly due to its better material and energy efficiencies. The effect of key variables on the environmental impact and production cost such as raw material, el</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lca, environmental;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r>
        <w:rPr>
          <w:b/>
        </w:rPr>
        <w:t>POSSIBLE 2022:</w:t>
      </w:r>
      <w:r>
        <w:t xml:space="preserve"> Closing gaps in LCA of lithium-ion batteries: LCA of lab-scale cell production with new primary data — https://doi.org/10.1016/j.jclepro.2022.135510</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Battery storage systems have become an important pillar in the transformation of the energy and transportation sector over the last decades. Lithium-ion batteries (LIBs) are the dominating technology in this process making them a constant subject of analysis regarding their sustainability. To assess their environmental performance, several Life Cycle Assessments (LCA) of LIBs have been performed over the last years. Yet, the amount of available primary data on their production remains low, leading to recurrent reliance on a few disclosed datasets, mostly at industrial scale. Thus, there is a need for new LCA studies at different scales (lab, pilot, industrial) using transparent datasets to facilitate more reliable and robust assessments. This work presents a screening of recent environmental assessments for LIBs at different production scales aiming at identifying remaining gaps and challenges, and deriving a detailed LCA of a lab-scale battery cell production. For the first time the environmental impact of a lab-scale battery production based on process-oriented primary data is investigated. The results are flanked by sensitivity analyses and scenarios and compared with literature values. The hotspots identified in this study, cathode slurry, anode current collector, as well as the energy demand of the dry room and coating process, are consistent with the literature, although </w:t>
      </w:r>
    </w:p>
    <w:p>
      <w:pPr/>
      <w:r>
        <w:rPr>
          <w:b/>
        </w:rPr>
        <w:t>POSSIBLE 2022:</w:t>
      </w:r>
      <w:r>
        <w:t xml:space="preserve"> Exploring the photocatalytic total oxidation of methane through the lens of a prospective LCA — https://doi.org/10.1016/j.aeaoa.2022.100190</w:t>
      </w:r>
    </w:p>
    <w:p>
      <w:pPr/>
      <w:r>
        <w:rPr>
          <w:b/>
        </w:rPr>
        <w:t>Shared claim-specific concepts:</w:t>
      </w:r>
      <w:r>
        <w:t xml:space="preserve"> lca, environmental, emission; EU scope not established. This is a provisional connection, not an outcome finding.</w:t>
      </w:r>
    </w:p>
    <w:p>
      <w:pPr>
        <w:pStyle w:val="SourceNote"/>
      </w:pPr>
      <w:r>
        <w:rPr>
          <w:b/>
        </w:rPr>
        <w:t>Available abstract (not full text):</w:t>
      </w:r>
      <w:r>
        <w:t xml:space="preserve"> Hundreds of megatons of the second most important greenhouse gas (GHG), methane, are released annually to the atmosphere, often from emission sources which are difficult to abate. Research on post-emission mitigation technology is scarce and still in its infancy. This paper proposes a self-sufficient photocatalytic system to mitigate atmospheric methane via total oxidation to CO 2 and analyzes its future viability and feasibility using environmental as well as physicochemical metrics. A four-step, explorative, scaled-up, prospective life cycle assessment (LCA) for the year 2050 shows that, in the best-case scenario, the market-ready photocatalytic module will amortize the produced GHG emissions in 1.5 years, while under more conservative assumptions, the physicochemical properties hinder a climate reasonable implementation. Targets like photocatalytic turnover numbers as well as reaction rates are calculated and compared to values reported in the literature to enable goal-oriented research and development. It is shown that more R&amp;D is needed to have the proposed photocatalyst ready by 2050. The importance of methane mitigation development is highlighted and avenues for doing so are presented.</w:t>
      </w:r>
    </w:p>
    <w:p>
      <w:pPr/>
      <w:r>
        <w:rPr>
          <w:b/>
        </w:rPr>
        <w:t>POSSIBLE 2022:</w:t>
      </w:r>
      <w:r>
        <w:t xml:space="preserve"> A Modular Tool to Support Data Management for LCA in Industry: Methodology, Application and Potentialities — https://doi.org/10.3390/su14073746</w:t>
      </w:r>
    </w:p>
    <w:p>
      <w:pPr/>
      <w:r>
        <w:rPr>
          <w:b/>
        </w:rPr>
        <w:t>Shared claim-specific concepts:</w:t>
      </w:r>
      <w:r>
        <w:t xml:space="preserve"> lca, environmental, across; EU scope not established. This is a provisional connection, not an outcome finding.</w:t>
      </w:r>
    </w:p>
    <w:p>
      <w:pPr>
        <w:pStyle w:val="SourceNote"/>
      </w:pPr>
      <w:r>
        <w:rPr>
          <w:b/>
        </w:rPr>
        <w:t>Available abstract (not full text):</w:t>
      </w:r>
      <w:r>
        <w:t xml:space="preserve"> Life Cycle Assessment (LCA) computes potential environmental impacts of a product or process. However, LCAs in the industrial sector are generally delivered through static yearly analyses which cannot capture any temporal dynamics of inventory data. Moreover, LCA must deal with differences across background models, Life Cycle Impact Assessment (LCIA) methods and specific rules of environmental labels, together with their developments over time and the difficulty of the non-expert organization staff to effectively interpret LCA results. A case study which discusses how to manage these barriers and their relevance is currently lacking. Here, we fill this gap by proposing a general methodology to develop a modular tool which integrates spreadsheets, LCA software, coding and visualization modules that can be independently modified while leaving the architecture unchanged. We test the tool within the ORI Martin secondary steelmaking plant, finding that it can manage (i) a high amount of primary foreground data to build a dynamic LCA; (ii) different background models, LCIA methods and environmental labels rules; (iii) interactive visualizations. Then, we outline the relevance of these capabilities since (i) temporal dynamics of foreground inventory data affect monthly LCA results, which may vary by ±14% around the yearly value; (ii) background datasets, LCIA methods and environmental</w:t>
      </w:r>
    </w:p>
    <w:p>
      <w:pPr/>
      <w:r>
        <w:rPr>
          <w:b/>
        </w:rPr>
        <w:t>POSSIBLE 2021:</w:t>
      </w:r>
      <w:r>
        <w:t xml:space="preserve"> Environmental assessments of scales: The effect of ex-ante and ex-post data on life cycle assessment of wood torrefaction — https://doi.org/10.1016/j.resconrec.2021.105906</w:t>
      </w:r>
    </w:p>
    <w:p>
      <w:pPr/>
      <w:r>
        <w:rPr>
          <w:b/>
        </w:rPr>
        <w:t>Shared claim-specific concepts:</w:t>
      </w:r>
      <w:r>
        <w:t xml:space="preserve"> ex-post, lca, environmental; EU scope not established. This is a provisional connection, not an outcome finding.</w:t>
      </w:r>
    </w:p>
    <w:p>
      <w:pPr>
        <w:pStyle w:val="SourceNote"/>
      </w:pPr>
      <w:r>
        <w:rPr>
          <w:b/>
        </w:rPr>
        <w:t>Available abstract (not full text):</w:t>
      </w:r>
      <w:r>
        <w:t xml:space="preserve"> Life Cycle Assessment (LCA) is a powerful tool for achieving sustainability. Traditional LCAs analyze well defined and developed industrial systems, but recent developments of LCA focus on analyzing emerging technologies which are not yet optimized with respect to energy and materials. Therefore, LCA results of ex-ante applications can be very different from ex-post applications for the same system. The purpose of this study is to show the different effects of data scales on LCA results regarding global warming, fine particulate matter formation, terrestrial acidification and freshwater eutrophication potentials. For this purpose torrefaction technology was selected as the case study and assessed based on bench scale data, lab scale data, data derived from process simulations, pilot scale data and commercial scale data. Considered environmental impacts were global warming, fine particulate matter formation, terrestrial acidification and freshwater eutrophication. Results showed that process efficiencies improved significantly between the bench scale system and systems with higher technology readiness levels (TRLs), such as pilot, process simulations and commercial scale systems. Furthermore, process simulations result in scores closer to commercial scale regarding all considered environmental impacts. However, if LCA practitioners focus only on global warming impact, then pilot</w:t>
      </w:r>
    </w:p>
    <w:p>
      <w:pPr>
        <w:pStyle w:val="Heading2"/>
      </w:pPr>
      <w:r>
        <w:t>662.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2020:</w:t>
      </w:r>
      <w:r>
        <w:t xml:space="preserve"> Minding the gap: identifying values to enable public and patient involvement at the pre-commencement stage of research projects — https://doi.org/10.1186/s40900-020-00220-7</w:t>
      </w:r>
    </w:p>
    <w:p>
      <w:pPr/>
      <w:r>
        <w:rPr>
          <w:b/>
        </w:rPr>
        <w:t>Shared claim-specific concepts:</w:t>
      </w:r>
      <w:r>
        <w:t xml:space="preserve"> respect, includes, critical, applied; EU scope not established. This is a provisional connection, not an outcome finding.</w:t>
      </w:r>
    </w:p>
    <w:p>
      <w:pPr>
        <w:pStyle w:val="SourceNote"/>
      </w:pPr>
      <w:r>
        <w:rPr>
          <w:b/>
        </w:rPr>
        <w:t>Available abstract (not full text):</w:t>
      </w:r>
      <w:r>
        <w:t xml:space="preserve"> BACKGROUND: The University College Dublin (UCD) Public and Patient Invovlement (PPI) ignite program is focused on embedding PPI in health and social care related research, education and training, professional practice and administration. During a PPI knowledge sharing event challenges were noted during the pre-commencement stage of research projects. This stage includes the time before a research projects/partnership starts or when funding is being applied for. As a response, we agreed there was a need to spend time developing a values-based approach to be used from the pre-commencement of PPI projects and partnerships. Values are deeply held ideals that people consider to be important. They are vital in shaping our attitudes and motivating our choices and behaviours. METHODS: Using independent facilitators, we invited a diverse group of participants to a full-day workshop in February. During the workshop, the concept of a values statement and values-based approaches was introduced. The group via a majority consensus, agreed on a core set of values and a shared understanding of them. After the workshop, a draft was shared with participants for further comment and final agreement. RESULTS: The workshop had 22 people representing experts by experience, PPI charity partners, funders, academics and national PPI Ignite partners. The group via consensus identified four values of resp</w:t>
      </w:r>
    </w:p>
    <w:p>
      <w:pPr>
        <w:pStyle w:val="Heading2"/>
      </w:pPr>
      <w:r>
        <w:t>663.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r>
        <w:rPr>
          <w:b/>
        </w:rPr>
        <w:t>POSSIBLE 2020:</w:t>
      </w:r>
      <w:r>
        <w:t xml:space="preserve"> Flood trends in Europe: are changes in small and big floods different? — https://doi.org/10.5194/hess-24-1805-2020</w:t>
      </w:r>
    </w:p>
    <w:p>
      <w:pPr/>
      <w:r>
        <w:rPr>
          <w:b/>
        </w:rPr>
        <w:t>Shared claim-specific concepts:</w:t>
      </w:r>
      <w:r>
        <w:t xml:space="preserve"> selected, especially, regional;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Mapping interventional cardiology in Europe: the European Association of Percutaneous Cardiovascular Interventions (EAPCI) Atlas Project — https://doi.org/10.1093/eurheartj/ehaa475</w:t>
      </w:r>
    </w:p>
    <w:p>
      <w:pPr/>
      <w:r>
        <w:rPr>
          <w:b/>
        </w:rPr>
        <w:t>Shared claim-specific concepts:</w:t>
      </w:r>
      <w:r>
        <w:t xml:space="preserve"> shown, countries, international; EU scope visible. This is a provisional connection, not an outcome finding.</w:t>
      </w:r>
    </w:p>
    <w:p>
      <w:pPr>
        <w:pStyle w:val="SourceNote"/>
      </w:pPr>
      <w:r>
        <w:rPr>
          <w:b/>
        </w:rPr>
        <w:t>Available abstract (not full text):</w:t>
      </w:r>
      <w:r>
        <w:t xml:space="preserve"> AIMS: The European Association of Percutaneous Cardiovascular Interventions (EAPCI) Atlas of Interventional Cardiology has been developed to map interventional practice across European Society of Cardiology (ESC) member countries. Here we present the main findings of a 16-country survey in which we examine the national availability of interventional infrastructure, human resource, and procedure volumes. METHODS AND RESULTS: Sixteen ESC member countries participated in the EAPCI Atlas survey. Interventional data were collected by the National Cardiac Society of each participating country. An annual median of 5131 [interquartile range (IQR) 4013-5801] diagnostic heart procedures per million people were reported, ranging from &lt;2500 in Egypt and Romania to &gt;7000 in Turkey and Germany. Procedure rates showed significant correlation (r = 0.67, P = 0.013) with gross national income (GNI) per capita. An annual median of 2478 (IQR 1690-2633) percutaneous coronary interventions (PCIs) per million people were reported, ranging from &lt;1000 in Egypt and Romania to &gt;3000 in Switzerland, Poland, and Germany. Procedure rates showed significant correlation with GNI per capita (r = 0.62, P = 0.014). An annual median of 48.2 (IQR 29.1-105.2) transcatheter aortic valve implantation procedures per million people were performed, varying from &lt;25 per million people in Egypt, Romania, Turkey, and Polan</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shown, international, regional;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countries, potential, especially, regional;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664.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projections, temperature, climate;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2022:</w:t>
      </w:r>
      <w:r>
        <w:t xml:space="preserve"> Model Projections of Increased Severity of Heat Waves in Eastern Europe — https://doi.org/10.1029/2022gl100183</w:t>
      </w:r>
    </w:p>
    <w:p>
      <w:pPr/>
      <w:r>
        <w:rPr>
          <w:b/>
        </w:rPr>
        <w:t>Shared claim-specific concepts:</w:t>
      </w:r>
      <w:r>
        <w:t xml:space="preserve"> projections, combined, climate; EU scope visible. This is a provisional connection, not an outcome finding.</w:t>
      </w:r>
    </w:p>
    <w:p>
      <w:pPr>
        <w:pStyle w:val="SourceNote"/>
      </w:pPr>
      <w:r>
        <w:rPr>
          <w:b/>
        </w:rPr>
        <w:t>Available abstract (not full text):</w:t>
      </w:r>
      <w:r>
        <w:t xml:space="preserve"> Abstract Extreme heat is investigated in a series of high‐resolution time‐slice global simulations comparing the current and late‐21st century climates. An increase in climate‐relative extreme heat is found in the region surrounding the Black Sea. Similarities between the synoptic‐scale flows in current and future heat events combined with a decrease in future summer precipitation suggests that the increased future severity stems from strengthened land‐atmosphere feedbacks driven primarily by the changes in precipitation. The resulting intensification of heat events beyond the mean warming driven by climate change could generate significant future heat hazards in vulnerable regions. Given the continental cool bias in the present‐day simulations, the resulting estimates of future extreme heat are likely to be conservative.</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2021:</w:t>
      </w:r>
      <w:r>
        <w:t xml:space="preserve"> Projections of temperature-attributable mortality in Europe: a time series analysis of 147 contiguous regions in 16 countries — https://doi.org/10.1016/s2542-5196(21)00150-9</w:t>
      </w:r>
    </w:p>
    <w:p>
      <w:pPr/>
      <w:r>
        <w:rPr>
          <w:b/>
        </w:rPr>
        <w:t>Shared claim-specific concepts:</w:t>
      </w:r>
      <w:r>
        <w:t xml:space="preserve"> projections, temperature, not, rcp2, combined, background; EU scope visible. This is a provisional connection, not an outcome finding.</w:t>
      </w:r>
    </w:p>
    <w:p>
      <w:pPr>
        <w:pStyle w:val="SourceNote"/>
      </w:pPr>
      <w:r>
        <w:rPr>
          <w:b/>
        </w:rPr>
        <w:t>Available abstract (not full text):</w:t>
      </w:r>
      <w:r>
        <w:t xml:space="preserve"> BACKGROUND: Europe has emerged as a major climate change hotspot, both in terms of an increase in seasonal averages and climate extremes. Projections of temperature-attributable mortality, however, have not been comprehensively reported for an extensive part of the continent. Therefore, we aim to estimate the future effect of climate change on temperature-attributable mortality across Europe. METHODS: We did a time series analysis study. We derived temperature-mortality associations by collecting daily temperature and all-cause mortality records of both urban and rural areas for the observational period between 1998 and 2012 from 147 regions in 16 European countries. We estimated the location-specific temperature-mortality relationships by using standard time series quasi-Poisson regression in conjunction with a distributed lag non-linear model. These associations were used to transform the daily temperature simulations from the climate models in the historical period (1971-2005) and scenario period (2006-2099) into projections of temperature-attributable mortality. We combined the resulting risk functions with daily time series of future temperatures simulated by four climate models (ie, GFDL-ESM2M, HadGEM2-ES, IPSL-CM5A-LR, and MIROC5) under three greenhouse gas emission scenarios (ie, Representative Concentration Pathway [RCP]2.6, RCP6.0, and RCP8.5), providing projections o</w:t>
      </w:r>
    </w:p>
    <w:p>
      <w:pPr/>
      <w:r>
        <w:rPr>
          <w:b/>
        </w:rPr>
        <w:t>POSSIBLE 2021:</w:t>
      </w:r>
      <w:r>
        <w:t xml:space="preserve"> Can we trust CMIP5/6 future projections of European winter precipitation? — https://doi.org/10.1088/1748-9326/abf28a</w:t>
      </w:r>
    </w:p>
    <w:p>
      <w:pPr/>
      <w:r>
        <w:rPr>
          <w:b/>
        </w:rPr>
        <w:t>Shared claim-specific concepts:</w:t>
      </w:r>
      <w:r>
        <w:t xml:space="preserve"> projections, suggest, over, climate; EU scope visible. This is a provisional connection, not an outcome finding.</w:t>
      </w:r>
    </w:p>
    <w:p>
      <w:pPr>
        <w:pStyle w:val="SourceNote"/>
      </w:pPr>
      <w:r>
        <w:rPr>
          <w:b/>
        </w:rPr>
        <w:t>Available abstract (not full text):</w:t>
      </w:r>
      <w:r>
        <w:t xml:space="preserve">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projections, suggest, temperature, not, over, climate;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projections, suggest, temperature,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2020:</w:t>
      </w:r>
      <w:r>
        <w:t xml:space="preserve"> Causal networks for climate model evaluation and constrained projections — https://doi.org/10.1038/s41467-020-15195-y</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pStyle w:val="Heading2"/>
      </w:pPr>
      <w:r>
        <w:t>665.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r>
        <w:rPr>
          <w:b/>
        </w:rPr>
        <w:t>POSSIBLE 2023:</w:t>
      </w:r>
      <w:r>
        <w:t xml:space="preserve"> A conceptual model for enabling sustainable management of soil-sediment-water ecosystems in support of European policy — https://doi.org/10.14321/aehm.026.02.063</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Abstract The health of soil-sediment-water ecosystems is under pressure from economic activities and a changing climate. This decreases health and hampers the service provision capacity of these ecosystems and thus impacts human well-being. Protecting and where feasible restoring of ecosystem health has currently become the key European environmental policy objective and for this it is needed to take an entire system approach and engage stakeholders. ‘Entire’ means that soil, sediment and water are regarded as closely interlinked environmental matrices that need to be managed by taking a ‘river (or mountain) to sea’ perspective, crossing spatial, discipline, political and cultural boundaries. This paper presents a conceptual model to support that purpose. Essentially, the conceptual model presents an approach for ecosystem-based management aimed to achieve healthy ecosystems, i.e. soil-sediment-water ecosystems that have the continued capacity to support ecosystem services to the benefit of their users. The model proposes a cyclic (iterative, learning-by-doing) approach and integrates soil-sediment-water, ecosystems, ecosystem services, users (stakeholders), pressures, information, management strategy and program of measures as building blocks. To successfully apply the model, it is above all needed to take an entrepreneurial approach, i.e. leave comfort zones, take an adventur</w:t>
      </w:r>
    </w:p>
    <w:p>
      <w:pPr/>
      <w:r>
        <w:rPr>
          <w:b/>
        </w:rPr>
        <w:t>POSSIBLE 2021:</w:t>
      </w:r>
      <w:r>
        <w:t xml:space="preserve"> IMPLEMENTING EUROPEAN ENVIRONMENTAL POLICY IN THE EUROPEAN UNION AND TURKEY: THE COST AND EXPENDITURES OF THE POLICY COMPLIANCE — https://doi.org/10.30546/2616-4418.bitd.2021.86</w:t>
      </w:r>
    </w:p>
    <w:p>
      <w:pPr/>
      <w:r>
        <w:rPr>
          <w:b/>
        </w:rPr>
        <w:t>Shared claim-specific concepts:</w:t>
      </w:r>
      <w:r>
        <w:t xml:space="preserve"> aim, water, good, all; EU scope visible. This is a provisional connection, not an outcome finding.</w:t>
      </w:r>
    </w:p>
    <w:p>
      <w:pPr>
        <w:pStyle w:val="SourceNote"/>
      </w:pPr>
      <w:r>
        <w:rPr>
          <w:b/>
        </w:rPr>
        <w:t>Available abstract (not full text):</w:t>
      </w:r>
      <w:r>
        <w:t xml:space="preserve"> This paper examines the European environmental policy and the tools that the European Union (EU) uses for the aim of protecting the environment. Environmental policy is of crucial importance indeed as it has direct impact on human’s health, on the quality of environment, on the well-being of all living creatures and species and on the preservation of our natural resources around the world. The EU is quite active in environmental protection policy making and the scope of her environmental policy expanded with time, including nowadays many aspects such as air, water and soil pollution, waste management, protection of the environment, industrial pollution, chemicals, climate change and noise pollution. The methodology of the study consists of the review and analysis of primary and secondary sources regarding EU legislation on European environmental policy. The requirements of environmental policy are exposed and evaluated at the European level and other international engagements at the global level such as the United Nations Framework Convention on Climate Change (UNFCC), Kyoto Protocol and Paris Agreement are also evaluated in our paper. European statistics and reports are evaluated to provide a good understanding and assessment of the relation between governments and corporations’ expenditures and the protection of environment in EU member states and in Turkey. Our paper also in</w:t>
      </w:r>
    </w:p>
    <w:p>
      <w:pPr/>
      <w:r>
        <w:rPr>
          <w:b/>
        </w:rPr>
        <w:t>POSSIBLE 2021:</w:t>
      </w:r>
      <w:r>
        <w:t xml:space="preserve"> WATER PRODUCTIVITY, EXPLOITATION AND FOOTPRINT: OBSOLETE CONCEPTS OR REPRESENTATIVE TOOLS IN UNDERSTANDING EUROPEAN ENVIRONMENTAL POLICY? — https://doi.org/10.15666/aeer/1903_25412564</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In contemporary economies, water represents a key resource in ensuring the sustainable economic development, being equally a factor of production in the economic branches, and also a relevant indicator in shaping the evolution of human activity.Water resources are vital for humanity, ecosystems and the economy, and its inefficient use is a serious problem.The main aim of the present research was to analyse and evaluate the impact of water use, from the perspective of a sustainable economic development, and to determine to what extent it can become a relevant indicator in this respect.For this purpose, three indicators were considered: water productivity, water exploitation index and water footprint.Based on the findings highlighted in the research, it can be concluded that the considered indicators can constitute representative instruments in understanding the European environmental policy.</w:t>
      </w:r>
    </w:p>
    <w:p>
      <w:pPr/>
      <w:r>
        <w:rPr>
          <w:b/>
        </w:rPr>
        <w:t>POSSIBLE 2020:</w:t>
      </w:r>
      <w:r>
        <w:t xml:space="preserve"> Perception of bottlenecks in the implementation of the European Water Framework Directive — https://openalex.org/W4390178243</w:t>
      </w:r>
    </w:p>
    <w:p>
      <w:pPr/>
      <w:r>
        <w:rPr>
          <w:b/>
        </w:rPr>
        <w:t>Shared claim-specific concepts:</w:t>
      </w:r>
      <w:r>
        <w:t xml:space="preserve"> water, achieve, good, ecological, status; EU scope visible. This is a provisional connection, not an outcome finding.</w:t>
      </w:r>
    </w:p>
    <w:p>
      <w:pPr>
        <w:pStyle w:val="SourceNote"/>
      </w:pPr>
      <w:r>
        <w:rPr>
          <w:b/>
        </w:rPr>
        <w:t>Available abstract (not full text):</w:t>
      </w:r>
      <w:r>
        <w:t xml:space="preserve"> The European Water Framework Directive (WFD) entered into force in December 2000; it marks a decisive turn in European water governance and related policies, management practices and restoration trends. After 20 years of implementation through two anagement cycles, EU member states have transposed the WFD requirements into national law, performed baseline assessments of water bodies, and implemented first measures such as hydromorphological river restoration which aims to achieve 'good ecological status', or at least the potential level targeted for that particular water body, by 2027. So far, however, WFD implementation has shown limited success; this weak result has given rise to studies, which are mainly discussions about possible technical limitations of WFD implementation and the appropriateness of monitoring procedures. This paper complements these studies by exploring governance-related bottlenecks that have emerged in the last two decades, as perceived by scientists and practitioners. An online survey was conducted which built on a list of 24 barriers to WFD implementation; these barriers had been identified previously by more than 40 researchers during a workshop in January 2019 and through a literature review. In this survey, the list of perceived barriers to WFD implementation was shared to 130 scientists and practitioners, who were asked to prioritise the items on l</w:t>
      </w:r>
    </w:p>
    <w:p>
      <w:pPr/>
      <w:r>
        <w:rPr>
          <w:b/>
        </w:rPr>
        <w:t>POSSIBLE 2020:</w:t>
      </w:r>
      <w:r>
        <w:t xml:space="preserve"> The Fifth Stage in Water Management: Policy Lessons for Water Governance — https://doi.org/10.1029/2019wr026714</w:t>
      </w:r>
    </w:p>
    <w:p>
      <w:pPr/>
      <w:r>
        <w:rPr>
          <w:b/>
        </w:rPr>
        <w:t>Shared claim-specific concepts:</w:t>
      </w:r>
      <w:r>
        <w:t xml:space="preserve"> water, achieve; EU scope not established. This is a provisional connection, not an outcome finding.</w:t>
      </w:r>
    </w:p>
    <w:p>
      <w:pPr>
        <w:pStyle w:val="SourceNote"/>
      </w:pPr>
      <w:r>
        <w:rPr>
          <w:b/>
        </w:rPr>
        <w:t>Available abstract (not full text):</w:t>
      </w:r>
      <w:r>
        <w:t xml:space="preserve"> Abstract Effective management of water resources is a critical policy issue globally. Using a framework developed by Turton, and a common set of characteristics describing key stages of water demand, we examine the effectiveness of isolated technical (e.g., irrigation upgrades) and allocative (e.g., buyback) efficiency for reducing water demand to sustainable levels. We base our analysis on Australia's water reform context which offers an advanced example of applying these levers to achieve allocative and technical efficiency. The study is motivated by appreciation of the benefits from increased policy flexibility and adaptability in response to the following: potential transformations toward inflexible production systems; uncertainty associated with impacts of climate change on future water reliability; and the need for increased possible future equity between uses/users (productive/consumptive, environmental, cultural). Our results highlight that a balance between technical and allocative efficiency mechanisms is necessary, as neither is sufficient in isolation, when seeking to reduce total water use. This approach also enables a clearer representation of uncertainty in future policy choices in many global settings with respect to water demand reduction.</w:t>
      </w:r>
    </w:p>
    <w:p>
      <w:pPr/>
      <w:r>
        <w:rPr>
          <w:b/>
        </w:rPr>
        <w:t>POSSIBLE 2020:</w:t>
      </w:r>
      <w:r>
        <w:t xml:space="preserve"> Policy and legislative barriers to close water-related loops in innovative small water and wastewater systems in Europe: A critical analysis — https://doi.org/10.1016/j.jclepro.2020.125604</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Water supply and reuse through non-conventional water resources can significantly decrease the stress on natural water resources. Decentralized systems can help not only to alleviate issues of water security in arid areas, but also to create a sustainable framework within a circular economy. Although these small-scale innovative technologies are able to achieve ready-to-use, high quality of recovered/treated water on-site, the loop cannot be closed in most cases due to legislative barriers. Similarly, the end-use of sewage sludge after treatment in decentralized systems still lacks specific regulations that limit its valorization. This work analyzes the current policy and legislations related to water supply, wastewater treatment, water reuse and resource valorization within the context of decentralized state-of-the-art technologies applied in rural areas. The drawbacks in the current EU legislation that set barriers to close water-related loops in European countries are highlighted. A regulatory fitness check was applied to each type of loop to identify the key factors to accomplish the legislative compliance, and financing pathways were further evaluated at the EU level. As a possible solution, further development of an innovation deal approach is recommended to address the environmental, regulatory and financial gaps in water management through an integrated framework, provi</w:t>
      </w:r>
    </w:p>
    <w:p>
      <w:pPr>
        <w:pStyle w:val="Heading2"/>
      </w:pPr>
      <w:r>
        <w:t>666.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r>
        <w:rPr>
          <w:b/>
        </w:rPr>
        <w:t>POSSIBLE 2023:</w:t>
      </w:r>
      <w:r>
        <w:t xml:space="preserve"> Shaping Sustainable Cities: A Long-Term GIS-Emanated Spatial Analysis of Settlement Growth and Planning in a Coastal Mediterranean European City — https://doi.org/10.3390/su151411202</w:t>
      </w:r>
    </w:p>
    <w:p>
      <w:pPr/>
      <w:r>
        <w:rPr>
          <w:b/>
        </w:rPr>
        <w:t>Shared claim-specific concepts:</w:t>
      </w:r>
      <w:r>
        <w:t xml:space="preserve"> long-term, planning, actions, levels; EU scope visible. This is a provisional connection, not an outcome finding.</w:t>
      </w:r>
    </w:p>
    <w:p>
      <w:pPr>
        <w:pStyle w:val="SourceNote"/>
      </w:pPr>
      <w:r>
        <w:rPr>
          <w:b/>
        </w:rPr>
        <w:t>Available abstract (not full text):</w:t>
      </w:r>
      <w:r>
        <w:t xml:space="preserve"> European cities have experienced rapid (and often conflicting) transformations that include, inter alia, the environment, the economy, society, climate change, and access to affordable housing, with implications for their future development. In order to address such issues, assessing the current situation of European metropolises is crucial to understanding new urban development models. In light of these dynamics, our study focused on urban expansion in Pafos, Cyprus, between 1993 and 2021. Such dynamics were examined through photointerpretation (using kernel density estimation) via the ArcGISPro spatial analyst tool. The empirical results of this analysis are considered particularly insightful, especially those regarding urban sprawl and its implications for future land management for the study area, and could help toward shaping specific policies to guide cities towards sustainable and environmentally friendly development. The analysis reveals a gradual increase in settlements over time (55%), although the rate of growth has decreased in recent years, as a consequence of the economic crisis. Density maps revealed varying levels of urban concentration density, highlighting the presence of high-density settlement cores downtown and low-density, dispersed settlements in the surrounding districts. According to the empirical findings of this study, urban growth in Pafos features f</w:t>
      </w:r>
    </w:p>
    <w:p>
      <w:pPr/>
      <w:r>
        <w:rPr>
          <w:b/>
        </w:rPr>
        <w:t>POSSIBLE 2022:</w:t>
      </w:r>
      <w:r>
        <w:t xml:space="preserve"> A stratified decision-making model for long-term planning: Application in flood risk management in Scotland — https://doi.org/10.1016/j.omega.2022.102803</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In a standard decision-making model for a game of chance, the best strategy is chosen based on the current state of the system under various conditions. There is however a shortcoming of this standard model, in that it can be applicable only for short-term decision-making periods. This is primarily due to not evaluating the dynamic characteristics and changes in status of the system and the outcomes of nature towards an a priori target or ideal state, which can occur in longer periods. Thus, in this study, a decision-making model based on the concept of stratification (CST), game theory and shared socio-economic pathway (SSP) is developed and its applicability to disaster management is shown. The game of chance and CST have been integrated to incorporate the dynamic nature of the decision environment for long-term disaster risk planning, while accounting for various states of the system and an ideal state. Furthermore, an interactive web application with dynamic user interface is built based on the proposed model to enable decision makers to identify the best choices in their model by a predictive approach. The Monte Carlo simulation is applied to experimentally validate the proposed model. Then, it is demonstrated how this methodology can suitably be applied to obtain ad hoc models, solutions, and analysis in the strategic decision-making process of flooding risk strategy eval</w:t>
      </w:r>
    </w:p>
    <w:p>
      <w:pPr/>
      <w:r>
        <w:rPr>
          <w:b/>
        </w:rPr>
        <w:t>POSSIBLE 2021:</w:t>
      </w:r>
      <w:r>
        <w:t xml:space="preserve"> Sequential Model for Long-Term Planning of Building Renewal and Capital Improvement — https://doi.org/10.3390/su13179575</w:t>
      </w:r>
    </w:p>
    <w:p>
      <w:pPr/>
      <w:r>
        <w:rPr>
          <w:b/>
        </w:rPr>
        <w:t>Shared claim-specific concepts:</w:t>
      </w:r>
      <w:r>
        <w:t xml:space="preserve"> long-term, planning, actions, levels; EU scope not established. This is a provisional connection, not an outcome finding.</w:t>
      </w:r>
    </w:p>
    <w:p>
      <w:pPr>
        <w:pStyle w:val="SourceNote"/>
      </w:pPr>
      <w:r>
        <w:rPr>
          <w:b/>
        </w:rPr>
        <w:t>Available abstract (not full text):</w:t>
      </w:r>
      <w:r>
        <w:t xml:space="preserve"> The paper puts forward a mixed integer linear programming model to support the long-term planning and budgeting for renewal and capital improvements of residential buildings, i.e., to select the optimal sequence of repair and improvement actions over a predefined planning horizon. The input is provided by the evaluation of the building performance according to a set of criteria. Then a set of possible repairs, replacements and improvements needs to be proposed together with the estimates of their cost and benefits; the latter are expressed by increments of building performance ratings according to predefined criteria. The renewal and modernization measures are not mutually independent: at least some of them are complementary and should be carried out in a specific order. The optimization problem was to define the order of renewal/improvement measures resulting with the highest benefits available within the budget, or to achieve the required levels of building performance at the lowest cost. A unique feature of the model is the approach to the constraints on sequential relationships between the measures and to their selection. The model can be used to construct long-term renewal and capital improvement plans.</w:t>
      </w:r>
    </w:p>
    <w:p>
      <w:pPr/>
      <w:r>
        <w:rPr>
          <w:b/>
        </w:rPr>
        <w:t>POSSIBLE 2020:</w:t>
      </w:r>
      <w:r>
        <w:t xml:space="preserve"> Long-Term Impact of Disasters on the Public Health System: A Multi-Case Analysis — https://doi.org/10.3390/ijerph17176251</w:t>
      </w:r>
    </w:p>
    <w:p>
      <w:pPr/>
      <w:r>
        <w:rPr>
          <w:b/>
        </w:rPr>
        <w:t>Shared claim-specific concepts:</w:t>
      </w:r>
      <w:r>
        <w:t xml:space="preserve"> setting, long-term, planning, well; EU scope visible. This is a provisional connection, not an outcome finding.</w:t>
      </w:r>
    </w:p>
    <w:p>
      <w:pPr>
        <w:pStyle w:val="SourceNote"/>
      </w:pPr>
      <w:r>
        <w:rPr>
          <w:b/>
        </w:rPr>
        <w:t>Available abstract (not full text):</w:t>
      </w:r>
      <w:r>
        <w:t xml:space="preserve"> As past events have shown, disasters can have a tremendous impact on the affected population's health. However, research regarding the long-term impact on a systems level perspective is still scarce. In this multi-case study, we analyzed and compared the long-term impacts on the public health system of five disasters which took place in Europe: avalanche (Austria), terror attack (Spain), airplane crash (Luxembourg), cable-car tunnel fire (Austria), and a flood in Central Europe. We used a mixed-methods approach consisting of a document analysis and interviews with key stakeholders, to examine the various long-term impacts each of the disasters had on health-system performance, as well as on security and health protection. The results show manifold changes undertaken in the fields of psychosocial support, infrastructure, and contingency and preparedness planning. The holistic approach of this study shows the importance of analyzing long-term impacts from the perspective of the type (e.g., disasters associated with natural hazards) and characteristic (e.g., duration and extent) of a disaster, as well as the regional context where a disaster took place. However, the identified recurring themes demonstrate the opportunity of learning from case studies in order to customize the lessons and apply them to the own-disaster-management setting.</w:t>
      </w:r>
    </w:p>
    <w:p>
      <w:pPr>
        <w:pStyle w:val="Heading2"/>
      </w:pPr>
      <w:r>
        <w:t>667.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2023:</w:t>
      </w:r>
      <w:r>
        <w:t xml:space="preserve"> Long-term optimization of the Norwegian energy system under the influence of the European power market — https://doi.org/10.1109/eem58374.2023.10161972</w:t>
      </w:r>
    </w:p>
    <w:p>
      <w:pPr/>
      <w:r>
        <w:rPr>
          <w:b/>
        </w:rPr>
        <w:t>Shared claim-specific concepts:</w:t>
      </w:r>
      <w:r>
        <w:t xml:space="preserve"> energy, system, indicate, investments, modelling; EU scope visible. This is a provisional connection, not an outcome finding.</w:t>
      </w:r>
    </w:p>
    <w:p>
      <w:pPr>
        <w:pStyle w:val="SourceNote"/>
      </w:pPr>
      <w:r>
        <w:rPr>
          <w:b/>
        </w:rPr>
        <w:t>Available abstract (not full text):</w:t>
      </w:r>
      <w:r>
        <w:t xml:space="preserve"> This paper proposes a novel bidirectional linkage between a national energy system model and a European power market model. The combined modelling framework enables long-term energy system investment strategies at the national level that captures the impact and interaction with the European power system. The linking methodology is demonstrated with two models, 1) IFE-TIMES-Norway, a technology-rich model used to analyze the cost-optimal development of the Norwegian energy system, and 2) EMPIRE, a stochastic capacity expansion model optimizing operation and investments of the European power system. Two convergence criteria are used: electricity generation capacities and prices. The linkage is performed for two future transition pathways, in which convergence is reached after 3 and 4 iterations. Results indicate that the pace of convergence greatly depends on the degree of interaction with neighbouring countries, as the European prices are sensitive to the Norwegian energy mix and vice versa. The linkage also led to changes in production and export volumes in Norway, emphasizing the importance of capturing the price elasticity of Europe when designing national energy systems.</w:t>
      </w:r>
    </w:p>
    <w:p>
      <w:pPr/>
      <w:r>
        <w:rPr>
          <w:b/>
        </w:rPr>
        <w:t>POSSIBLE 2022:</w:t>
      </w:r>
      <w:r>
        <w:t xml:space="preserve"> Indicators for the optimization of sustainable urban energy systems based on energy system modeling — https://doi.org/10.1186/s13705-021-00323-3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Abstract Background Urban energy systems are responsible for 75% of the world’s energy consumption and for 70% of the worldwide greenhouse gas emissions. Energy system models are used to optimize, benchmark and compare such energy systems with the help of energy sustainability indicators. We discuss several indicators for their basic suitability and their response to changing boundary conditions, system structures and reference values. The most suitable parameters are applied to four different supply scenarios of a real-world urban energy system. Results There is a number of energy sustainability indicators, but not all of them are suitable for the use in urban energy system optimization models. Shortcomings originate from the omission of upstream energy supply chains (secondary energy efficiency), from limited capabilities to compare small energy systems (energy productivity), from excessive accounting expense (regeneration rate), from unsuitable accounting methods (primary energy efficiency), from a questionable impact of some indicators on the overall system sustainability (self-sufficiency), from the lack of detailed information content (share of renewables), and more. On the other hand, indicators of absolute greenhouse gas emissions, energy costs, and final energy demand are well suitable for the use in optimization models. However, each of these indicators only represent</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2021:</w:t>
      </w:r>
      <w:r>
        <w:t xml:space="preserve"> Sustainable renewable energy supply networks optimization – The gradual transition to a renewable energy system within the European Union by 2050 — https://doi.org/10.1016/j.rser.2021.111186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In order to achieve the goal of a carbon neutral EU by 2050 and meet the climate targets of the Paris Agreement, a sustainable, efficient, competitive and secure energy system needs to be developed. This paper presents the synthesis of sustainable renewable energy supply networks within the EU-27, proposing a stepwise energy transition in the transport and power sectors, achieving a carbon net neutral target by 2050. A multi-period mixed-integer programming model is developed, with the objective of maximizing sustainability net present value, considering different biomass and waste resources for the production of biofuels, renewable electricity, hydrogen, food and bioproducts, employing different types of technologies. The results show that, with further development of existing technologies, the goal of a carbon-neutral EU can be achieved without compromising food production. Wind farms have proven to be the most promising solution at present for the rapid expansion of electricity generation from renewable energy sources, while the importance of solar photovoltaics is increasing over the years, reaching the 43% share of electricity generation from RES in 2050. Moreover, the energy transition within the EU could have a significant positive impact on the economic, environmental and also social aspects of sustainability, with more than 1.5 million new job opportunities created acr</w:t>
      </w:r>
    </w:p>
    <w:p>
      <w:pPr/>
      <w:r>
        <w:rPr>
          <w:b/>
        </w:rPr>
        <w:t>POSSIBLE 2021:</w:t>
      </w:r>
      <w:r>
        <w:t xml:space="preserve"> A modeler's guide to handle complexity in energy systems optimization — https://doi.org/10.1016/j.adapen.2021.100063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Determining environmentally- and economically-optimal energy systems designs and operations is complex. In particular, the integration of weather-dependent renewable energy technologies into energy system optimization models presents new challenges to computational tractability that cannot only be solved by advancements in computational resources. In consequence, energy system modelers must tackle the complexity of their models by applying various methods to manipulate the underlying data and model structure, with the ultimate goal of finding optimal solutions. As which complexity reduction method is suitable for which research question is often unclear, herein we review different approaches for handling complexity. We first analyze the determinants of complexity and note that many drivers of complexity could be avoided a priori with a tailored model design. Second, we conduct a review of systematic complexity reduction methods for energy system optimization models, which can range from simple linearization performed by modelers to sophisticated multi-level approaches combining aggregation and decomposition methods. Based on this overview, we develop a guide for energy system modelers who encounter computational limitations.</w:t>
      </w:r>
    </w:p>
    <w:p>
      <w:pPr/>
      <w:r>
        <w:rPr>
          <w:b/>
        </w:rPr>
        <w:t>POSSIBLE 2021:</w:t>
      </w:r>
      <w:r>
        <w:t xml:space="preserve"> Application of Markal Model Generator in Optimizing Energy Systems — https://doi.org/10.46873/2300-3960.1307</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The main objectives of European energy policy include: security of energy supply, reduction of greenhouse gas emissions and the development of efficient and clean energy technologies. The obligation to fulfil these objectives is connected, among others, with the optimization of the development of all energy system i.e. a group of facilities and equipment for the collection, transmission, processing, distribution and use of energy in all its forms. Computer programs such as MARKAL, TIMES, ENPEP, MIDAS are the basic tools for modelling different energy systems. Various simulation, optimization and macro models are created with them. Multi-criteria methods are also used. In this paper the use of MARKAL as a tool for the optimization of an energy system was the matter of research. The article presents the characteristics of MARKAL. Additionally, it includes an example of the use of the program to create a model of the supply of heat for the province of Silesia together with its results.</w:t>
      </w:r>
    </w:p>
    <w:p>
      <w:pPr/>
      <w:r>
        <w:rPr>
          <w:b/>
        </w:rPr>
        <w:t>POSSIBLE 2020:</w:t>
      </w:r>
      <w:r>
        <w:t xml:space="preserve"> A Novel Modular Optimization Framework for Modelling Investment and Operation of Energy Systems at European Level — https://openalex.org/W3026649545</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Project plan4res (www.plan4res.eu) involves the development of a modular framework for the modeling and analysis of energy system strategies at the European level. It will include models describing the investment and operation decisions for a wide variety of technologies related to electricity and non-electricity energy sectors across generation, consumption, transmission and distribution. The modularity of the framework allows for detailed modelling of major areas of energy systems that can help stakeholders from different backgrounds to focus on specific topics related to the energy landscape in Europe and to receive relevant outputs and insights tailored to their needs. The current paper presents a qualitative description of key concepts and methods of the novel modular optimization framework and provides insights into the corresponding energy landscape.</w:t>
      </w:r>
    </w:p>
    <w:p>
      <w:pPr>
        <w:pStyle w:val="Heading2"/>
      </w:pPr>
      <w:r>
        <w:t>668.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2023:</w:t>
      </w:r>
      <w:r>
        <w:t xml:space="preserve"> Elaborating, sharing, narrating: a narrative analysis of three approaches to health communication — https://doi.org/10.6084/m9.figshare.23584934</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2022:</w:t>
      </w:r>
      <w:r>
        <w:t xml:space="preserve"> FRAMING AND NARRATIVES AS ASSISTANTS IN ADVANCING A SCIENCE-ORIENTED MINDSET. THE EXAMPLE OF THE POLICE IN THE BALTICS — https://doi.org/10.17770/acj.v1i93.6492</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Country-specific knowledge offered by police science is a necessary precondition for successful policing. However, cursory data on police science in the Baltic countries raises many questions about the real use of scientific knowledge opportunities in these countries.The paper elaborates on a framework to advance a science-oriented mindset in the police. Principles of narratives and framing were used to overcome a possible conflict between scientists and practitioners, and bridge all the parties related to policing. In this framework, scientists should take the lead. External, internal, and strategic factors, as Alisson’s three key management functions, were used to specify factors of the framework in the research. The framing process that holds a focusing function allows the use of discovered narratives and presents a variety of possible future directions. Creating a metanarrative with beginning, middle, and end grasps all the agents and ties into future developments.</w:t>
      </w:r>
    </w:p>
    <w:p>
      <w:pPr/>
      <w:r>
        <w:rPr>
          <w:b/>
        </w:rPr>
        <w:t>POSSIBLE 2022:</w:t>
      </w:r>
      <w:r>
        <w:t xml:space="preserve"> For a narrative hospital : a training model to narrative medicine at the hospital — https://openalex.org/W4399152333</w:t>
      </w:r>
    </w:p>
    <w:p>
      <w:pPr/>
      <w:r>
        <w:rPr>
          <w:b/>
        </w:rPr>
        <w:t>Shared claim-specific concepts:</w:t>
      </w:r>
      <w:r>
        <w:t xml:space="preserve"> three, narratives, elaborated, based; EU scope not established. This is a provisional connection, not an outcome finding.</w:t>
      </w:r>
    </w:p>
    <w:p>
      <w:pPr>
        <w:pStyle w:val="SourceNote"/>
      </w:pPr>
      <w:r>
        <w:rPr>
          <w:b/>
        </w:rPr>
        <w:t>Available abstract (not full text):</w:t>
      </w:r>
      <w:r>
        <w:t xml:space="preserve"> Today, the Narrative Medicine training of health providers has three main challenges. How to overcome the limitations of individual training? How to promote the spread of Narrative Medicine? How to build narrative environments? This dissertation provides theoretical and pragmatic answers by considering the Narrative Medicine training that we have been carrying out at the Centre Hospitalier Intercommunal de Créteil (CHIC) since 2019.At first, we explain the methodology of this project based on the principles and practice of Narrative Medicine, as Rita Charon has elaborated them at Columbia University. At the CHIC, five interprofessional groups attend a two-hour Narrative Medicine workshop once a month: they read, write, and share texts and narratives of different nature (literary, clinical, artistic, and musical). At least, a «literary consultant» and a health professional provide the facilitation.In the light of experience, we developed an innovative three-phase model (Basic Workshops, Creative Workshops, Cofacilitated Workshops), and we describe it broadly. Our goal is to offer a training device that can be transferable and adaptable to other hospitals.Using an approach based on the dialogical research, as established by Arthur Frank, we provide feedback from participants to evaluate the effects of this training on professional wellbeing, narrative competence, and institutiona</w:t>
      </w:r>
    </w:p>
    <w:p>
      <w:pPr/>
      <w:r>
        <w:rPr>
          <w:b/>
        </w:rPr>
        <w:t>POSSIBLE 2021:</w:t>
      </w:r>
      <w:r>
        <w:t xml:space="preserve"> Elaborating Visual Narrative into Modern Adaptation Concept for Picture Book with Indonesian Folklore Theme — https://doi.org/10.2991/assehr.k.211228.061</w:t>
      </w:r>
    </w:p>
    <w:p>
      <w:pPr/>
      <w:r>
        <w:rPr>
          <w:b/>
        </w:rPr>
        <w:t>Shared claim-specific concepts:</w:t>
      </w:r>
      <w:r>
        <w:t xml:space="preserve"> three, based, literature, content; EU scope not established. This is a provisional connection, not an outcome finding.</w:t>
      </w:r>
    </w:p>
    <w:p>
      <w:pPr>
        <w:pStyle w:val="SourceNote"/>
      </w:pPr>
      <w:r>
        <w:rPr>
          <w:b/>
        </w:rPr>
        <w:t>Available abstract (not full text):</w:t>
      </w:r>
      <w:r>
        <w:t xml:space="preserve"> Folklore shows how a culture brings its point of view and values.It is also an agent of social values such as honesty, kindness, forgiveness, and many more.Through picture book, message from folklore can lead children understanding their society.These aspects are reasons why folklore becomes a favourite genre in picture book.Hence, some argue that folklore also store up cruelty and intimidating content which are not suitable for children.This leads creator and publisher to keep up with new way of adaptation.For example, by combining the method of modern storytelling technique and the art visual narration into the plot.The objective of this study is to design a new adaptation method for Indonesian folklore story by elaborating visual narrative into its story and illustration.By creating the formula, this study will not only help conserving Indonesian folklore stories, but also help delivering social values to children without the need of frighten the readers.This study follows a qualitative method by observing and existing Indonesian folklore books, which then categorized into three genres: Mythology, folktales, and fables.Samples from each category were then picked based on its popularity.A data collection of modern storytelling method and visual narrative literature were also done, which then mapped out into an adaptation concept suitable for children.The results show that vis</w:t>
      </w:r>
    </w:p>
    <w:p>
      <w:pPr/>
      <w:r>
        <w:rPr>
          <w:b/>
        </w:rPr>
        <w:t>POSSIBLE 2021:</w:t>
      </w:r>
      <w:r>
        <w:t xml:space="preserve"> About narrative: a study of the use of narratives in fashion design — https://doi.org/10.32920/ryerson.14646882</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2021:</w:t>
      </w:r>
      <w:r>
        <w:t xml:space="preserve"> About narrative: a study of the use of narratives in fashion design — https://doi.org/10.32920/ryerson.14646882.v1</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2020:</w:t>
      </w:r>
      <w:r>
        <w:t xml:space="preserve"> The Basic Concept of Narratology and Narrative — https://doi.org/10.15294/lc.v14i2.23247</w:t>
      </w:r>
    </w:p>
    <w:p>
      <w:pPr/>
      <w:r>
        <w:rPr>
          <w:b/>
        </w:rPr>
        <w:t>Shared claim-specific concepts:</w:t>
      </w:r>
      <w:r>
        <w:t xml:space="preserve"> three, narratives, elaborated, review; EU scope not established. This is a provisional connection, not an outcome finding.</w:t>
      </w:r>
    </w:p>
    <w:p>
      <w:pPr>
        <w:pStyle w:val="SourceNote"/>
      </w:pPr>
      <w:r>
        <w:rPr>
          <w:b/>
        </w:rPr>
        <w:t>Available abstract (not full text):</w:t>
      </w:r>
      <w:r>
        <w:t xml:space="preserve"> The field of narratology is concerned with the study and analysis of narrative texts. It puts under investigation literary pieces of language and yields an understanding of the components has in its very texture. The aim of this article is to provide insights about the field of ‘narratology’ and its associated subject of study ‘narrative’. It also tries to sketch the main issues concerning these two concepts. For this, the present review is presented in two major sections, each with related discussions about narratology and narrative. The first major part, narratology, will be presented in three sections: the first section, deals with the definitions and origins of narratology. The definitions are inspected and the researchers show how they go from general (encompassing all which is narrated) to more specific (encompassing literary narratives told by a narrator) ones. The second section, focuses on the two phases of narratology which are classical and post-classical ones in which narratology changed its orientations and scope. The last section is devoted to some of the elements and components of which narratology is made up, such as narration, focalization, narrative situation, action, story analysis, tellability, tense, time, and narrative modes which will be elaborated on in more details. The second major part, narrative, will be presented in four sections: first the concept </w:t>
      </w:r>
    </w:p>
    <w:p>
      <w:pPr/>
      <w:r>
        <w:rPr>
          <w:b/>
        </w:rPr>
        <w:t>POSSIBLE 2020:</w:t>
      </w:r>
      <w:r>
        <w:t xml:space="preserve"> Pastoral care and narrative: Towards a narrative pastoral care approach in intercultural communities — https://doi.org/10.4102/ids.v54i1.2619</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Narrative therapy, or narrative pastoral care, is one of the approaches of the last three decades that has attempted to address care for our current fluid communities. Stories and narratives play an important role in the meaning making of personhood and identity. Narratives and stories are becoming more used and recognised as an indispensable part of the healing of vulnerable persons within Psychology, Literature, Sociology and Theology. This contribution is an attempt to add to the growing scholarship of story and narrative approaches in Pastoral Care and Counselling by providing markers for a developing model of pastoral care within intercultural contexts. I will give a brief overview of pastoral care within four different contexts. The narrative approaches of Muller and Ganzevoort will be analysed and critically engaged because of their extensive and elaborative research of narrative for pastoral care and counselling. After a brief overview and critique of Muller and Ganzevoort, I will identify additional markers for narrative pastoral care in intercultural contexts.</w:t>
      </w:r>
    </w:p>
    <w:p>
      <w:pPr/>
      <w:r>
        <w:rPr>
          <w:b/>
        </w:rPr>
        <w:t>POSSIBLE 2020:</w:t>
      </w:r>
      <w:r>
        <w:t xml:space="preserve"> Narratives of the three extant chronicles — https://doi.org/10.1017/9781912961191.003</w:t>
      </w:r>
    </w:p>
    <w:p>
      <w:pPr/>
      <w:r>
        <w:rPr>
          <w:b/>
        </w:rPr>
        <w:t>Shared claim-specific concepts:</w:t>
      </w:r>
      <w:r>
        <w:t xml:space="preserve"> three, narratives, elaborated; EU scope not established. This is a provisional connection, not an outcome finding.</w:t>
      </w:r>
    </w:p>
    <w:p>
      <w:pPr>
        <w:pStyle w:val="SourceNote"/>
      </w:pPr>
      <w:r>
        <w:rPr>
          <w:b/>
        </w:rPr>
        <w:t>Available abstract (not full text):</w:t>
      </w:r>
      <w:r>
        <w:t xml:space="preserve"> The Chronicle of Kamatari THE FIRST SECTION of Tōshi Kaden describes the life of the patriarch of the Fujiwara line, Nakatomi no Kamatari, the eldest son of Nakatomi no Mikeko (?–?), information which is also confirmed in Kugyō bunin . In the context of Sovereign Jomei's (593–641) reign, the Nihon Shoki refers to Kamatari's father as Nakatomi no Muraji Mike , and mentions that he was one of four officials. Virtually nothing is known about his father but it is suggested that he was instrumental in the instalment of Jomei. On the death of Jomei in 641, Kamatari witnessed the dispute regarding his succession, a conflict that resulted in the dismissal and eventual forced suicide of Crown Prince Yamashiro no Ōe (?–643), the son of the illustrious Shōtoku Taishi, and the enthronement of Jomei's consort Kōgyoku. Tōshi Kaden starts exactly at this moment. Having elaborated on Kamatari's intellectual talents and his sense of morality, the chronicle narrates that the courtier Soga no Kuratsukuri (?–645), more commonly referred to as Iruka ‘increased his own fortune’ and controlled the court. Iruka was the son of Soga no Emishi (?–645), the head of the Soga, who was responsible for the removal of Prince Yamashiro and Jomei's enthronement. After having gained ground at court, he was quick to move against Prince Yamashiro, and during the ensuing standoff led by his son Iruka, the prince and</w:t>
      </w:r>
    </w:p>
    <w:p>
      <w:pPr>
        <w:pStyle w:val="Heading2"/>
      </w:pPr>
      <w:r>
        <w:t>669.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2022:</w:t>
      </w:r>
      <w:r>
        <w:t xml:space="preserve"> Prevalence of most common skin diseases in Europe: a population‐based study — https://doi.org/10.1111/jdv.18050</w:t>
      </w:r>
    </w:p>
    <w:p>
      <w:pPr/>
      <w:r>
        <w:rPr>
          <w:b/>
        </w:rPr>
        <w:t>Shared claim-specific concepts:</w:t>
      </w:r>
      <w:r>
        <w:t xml:space="preserve"> population, countries, policies, across;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Dataset on European diadromous species distributions from 1750 to present time in Europe, North Africa and the Middle East — https://doi.org/10.1016/j.dib.2022.107821</w:t>
      </w:r>
    </w:p>
    <w:p>
      <w:pPr/>
      <w:r>
        <w:rPr>
          <w:b/>
        </w:rPr>
        <w:t>Shared claim-specific concepts:</w:t>
      </w:r>
      <w:r>
        <w:t xml:space="preserve"> present, population, populations; EU scope visible. This is a provisional connection, not an outcome finding.</w:t>
      </w:r>
    </w:p>
    <w:p>
      <w:pPr>
        <w:pStyle w:val="SourceNote"/>
      </w:pPr>
      <w:r>
        <w:rPr>
          <w:b/>
        </w:rPr>
        <w:t>Available abstract (not full text):</w:t>
      </w:r>
      <w:r>
        <w:t xml:space="preserve"> EuroDiad version 4.0 is a set of data tables that store information about the presences/absences and population functionality of diadromous species (lampreys and fish) populations in selected catchments in Europe, the Middle East, and North Africa from 1750 to present time. This database contains distribution and life-history trait information for twenty-eight European diadromous species and geomorphological data for each of the selected catchments, though not every species has data for every catchment and time period. EuroDiad was originally created in 2005–2006 (EuroDiad 1.0 and 2.0), and contained data for 196 catchments and two time periods (1851–1950 and 1951–2010). It underwent a major update in 2009–2010 (EuroDiad 3.2) through a validation process by European fisheries experts. Version 3.2 included the addition of 63 small-sized catchments (&lt; 10,000 km2) and an additional time period (1751–1850) for select species and catchments. This database underwent a second validation process in 2019–2020 and was updated to v 4.0, with the primary goal of providing information for a new generation of species distribution models, referred to as hybrid models, which incorporate both habitat suitability and population dynamics within their framework. Secondary objectives of this update were to: (a) incorporate new catchments for which information was provided by additional experts, (b)</w:t>
      </w:r>
    </w:p>
    <w:p>
      <w:pPr/>
      <w:r>
        <w:rPr>
          <w:b/>
        </w:rPr>
        <w:t>POSSIBLE 2022:</w:t>
      </w:r>
      <w:r>
        <w:t xml:space="preserve"> Assessing the risk of establishment and transient populations of Spodoptera frugiperda in Europe — https://doi.org/10.1007/s10340-022-01517-0</w:t>
      </w:r>
    </w:p>
    <w:p>
      <w:pPr/>
      <w:r>
        <w:rPr>
          <w:b/>
        </w:rPr>
        <w:t>Shared claim-specific concepts:</w:t>
      </w:r>
      <w:r>
        <w:t xml:space="preserve"> present, population, demographic, potential, populations; EU scope visible. This is a provisional connection, not an outcome finding.</w:t>
      </w:r>
    </w:p>
    <w:p>
      <w:pPr>
        <w:pStyle w:val="SourceNote"/>
      </w:pPr>
      <w:r>
        <w:rPr>
          <w:b/>
        </w:rPr>
        <w:t>Available abstract (not full text):</w:t>
      </w:r>
      <w:r>
        <w:t xml:space="preserve"> Abstract The fall armyworm, Spodoptera frugiperda (J.E. Smith), is an invasive pest threatening crop production and food security worldwide. High concerns are linked to the potential establishment of the species in Europe. The high migratory capacity of S. frugiperda cause concerns about the potential impacts of transient populations invading new areas from suitable hotspots. In the present work, we developed and used a physiologically-based demographic model to quantitatively assess the risks of S. frugiperda in Europe. The risks were assessed considering a best-, a median-, and a worst-case scenario. The Mediterranean coastal areas of Southern Europe resulted suitable for the establishment of the species, with suitable areas reaching even higher latitudes, in the worst-case scenario. In Europe, up to 4 generations per year were predicted. The predicted average yearly adult population was 5 (± 4), 17 (± 5), and 139 (± 22) in the best, median-, and worst-case assessment scenario, respectively. Model results showed that Southern and Central Europe might be exposed to the risk of transient populations, at least up to the 48th parallel north, in the worst-case scenario. Depending on the latitude and on the period of arrival of the propagule, transient populations might be able to originate 1 or more generations per year. The model can be used to define strategies reducing the risk</w:t>
      </w:r>
    </w:p>
    <w:p>
      <w:pPr/>
      <w:r>
        <w:rPr>
          <w:b/>
        </w:rPr>
        <w:t>POSSIBLE 2022:</w:t>
      </w:r>
      <w:r>
        <w:t xml:space="preserve"> Population Genetics and Signatures of Selection in Early Neolithic European Farmers — https://doi.org/10.1093/molbev/msac108</w:t>
      </w:r>
    </w:p>
    <w:p>
      <w:pPr/>
      <w:r>
        <w:rPr>
          <w:b/>
        </w:rPr>
        <w:t>Shared claim-specific concepts:</w:t>
      </w:r>
      <w:r>
        <w:t xml:space="preserve"> present, population, migration, show, across; EU scope visible. This is a provisional connection, not an outcome finding.</w:t>
      </w:r>
    </w:p>
    <w:p>
      <w:pPr>
        <w:pStyle w:val="SourceNote"/>
      </w:pPr>
      <w:r>
        <w:rPr>
          <w:b/>
        </w:rPr>
        <w:t>Available abstract (not full text):</w:t>
      </w:r>
      <w:r>
        <w:t xml:space="preserve"> Human expansion in the course of the Neolithic transition in western Eurasia has been one of the major topics in ancient DNA research in the last 10 years. Multiple studies have shown that the spread of agriculture and animal husbandry from the Near East across Europe was accompanied by large-scale human expansions. Moreover, changes in subsistence and migration associated with the Neolithic transition have been hypothesized to involve genetic adaptation. Here, we present high quality genome-wide data from the Linear Pottery Culture site Derenburg-Meerenstieg II (DER) (N = 32 individuals) in Central Germany. Population genetic analyses show that the DER individuals carried predominantly Anatolian Neolithic-like ancestry and a very limited degree of local hunter-gatherer admixture, similar to other early European farmers. Increasing the Linear Pottery culture cohort size to ∼100 individuals allowed us to perform various frequency- and haplotype-based analyses to investigate signatures of selection associated with changes following the adoption of the Neolithic lifestyle. In addition, we developed a new method called Admixture-informed Maximum-likelihood Estimation for Selection Scans that allowed us test for selection signatures in an admixture-aware fashion. Focusing on the intersection of results from these selection scans, we identified various loci associated with immune fun</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union, range, policies, across;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The New European Political Arithmetic of Inequalities in Education: A History of the Present — https://doi.org/10.17645/si.v9i3.4339</w:t>
      </w:r>
    </w:p>
    <w:p>
      <w:pPr/>
      <w:r>
        <w:rPr>
          <w:b/>
        </w:rPr>
        <w:t>Shared claim-specific concepts:</w:t>
      </w:r>
      <w:r>
        <w:t xml:space="preserve"> present, population, demographic, policies, across; EU scope visible. This is a provisional connection, not an outcome finding.</w:t>
      </w:r>
    </w:p>
    <w:p>
      <w:pPr>
        <w:pStyle w:val="SourceNote"/>
      </w:pPr>
      <w:r>
        <w:rPr>
          <w:b/>
        </w:rPr>
        <w:t>Available abstract (not full text):</w:t>
      </w:r>
      <w:r>
        <w:t xml:space="preserve"> The article describes the emergence and development of positive epistemology and quantification tools in the dynamics of inequalities in education. It contributes to a history of the present at a time when datafication and experimentalism are reappearing in educational policies to justify the reduction of inequalities across international surveys and randomised controlled trials. This socio‐history of metrics also sheds light on transformations about relationships historically established between the welfare state and education that have shaped the representation of inequalities and social programs in education. The use of large‐scale surveys and controlled experiments in social and educational policies developed in the 1920s and 30s, even if their methods and techniques have become more sophisticated due to statistical progress. However, statistical reasoning is today no less persuasive in justifying the measurement of student skills and various forms of state intervention for “at‐risk” children and youth. With the rise of international organisations, notably the European Commission, demographic issues related to school population and the reduction of inequalities have shifted. It is less a question of selecting the most talented or gifted among working‐class students than of investing in human capital from early childhood to improve the education systems’ performance and comp</w:t>
      </w:r>
    </w:p>
    <w:p>
      <w:pPr/>
      <w:r>
        <w:rPr>
          <w:b/>
        </w:rPr>
        <w:t>POSSIBLE 2021:</w:t>
      </w:r>
      <w:r>
        <w:t xml:space="preserve"> Tinnitus prevalence in Europe: a multi-country cross-sectional population study — https://doi.org/10.1016/j.lanepe.2021.100250</w:t>
      </w:r>
    </w:p>
    <w:p>
      <w:pPr/>
      <w:r>
        <w:rPr>
          <w:b/>
        </w:rPr>
        <w:t>Shared claim-specific concepts:</w:t>
      </w:r>
      <w:r>
        <w:t xml:space="preserve"> population, countries, union, across; EU scope visible. This is a provisional connection, not an outcome finding.</w:t>
      </w:r>
    </w:p>
    <w:p>
      <w:pPr>
        <w:pStyle w:val="SourceNote"/>
      </w:pPr>
      <w:r>
        <w:rPr>
          <w:b/>
        </w:rPr>
        <w:t>Available abstract (not full text):</w:t>
      </w:r>
      <w:r>
        <w:t xml:space="preserve"> BACKGROUND: Tinnitus prevalence studies report large variability across countries that might be due to inconsistent research methods. Our study aimed to report a single Pan-European estimate for tinnitus prevalence and investigate the effect of individual and country-level characteristics on prevalence. We explored the relationships of healthcare resource use and hearing difficulty with tinnitus symptoms. METHODS: Between 2017-2018, a cross-sectional European Tinnitus Survey (ETS) was conducted in 12 European Union nations (Bulgaria, England, France, Germany, Greece, Ireland, Italy, Latvia, Poland, Portugal, Romania, and Spain), using a standardised set of tinnitus-related questions and response options in country-specific languages. We recruited 11,427 adults aged ≥18 years. FINDINGS: Prevalence of any tinnitus was 14·7% (14·0% in men and 15·2% in women), ranging from 8·7% in Ireland to 28·3% in Bulgaria. Severe tinnitus was found in 1·2% participants (1·0% in men and 1·4% in women), ranging from 0·6% in Ireland to 4·2% in Romania. Tinnitus prevalence significantly increased with increasing age and worsening of hearing status. Healthcare resource use for tinnitus increased with increasing tinnitus symptom severity. INTERPRETATION: This is the first multinational report of Pan-European tinnitus prevalence using standardised questions. The overall prevalence estimates refine pre</w:t>
      </w:r>
    </w:p>
    <w:p>
      <w:pPr/>
      <w:r>
        <w:rPr>
          <w:b/>
        </w:rPr>
        <w:t>POSSIBLE 2021:</w:t>
      </w:r>
      <w:r>
        <w:t xml:space="preserve"> Towards New Horizons: Climate Trends in Europe Increase the Environmental Suitability for Permanent Populations of Hyalomma marginatum (Ixodidae) — https://doi.org/10.3390/pathogens10020095</w:t>
      </w:r>
    </w:p>
    <w:p>
      <w:pPr/>
      <w:r>
        <w:rPr>
          <w:b/>
        </w:rPr>
        <w:t>Shared claim-specific concepts:</w:t>
      </w:r>
      <w:r>
        <w:t xml:space="preserve"> countries, show, increase, populations; EU scope visible. This is a provisional connection, not an outcome finding.</w:t>
      </w:r>
    </w:p>
    <w:p>
      <w:pPr>
        <w:pStyle w:val="SourceNote"/>
      </w:pPr>
      <w:r>
        <w:rPr>
          <w:b/>
        </w:rPr>
        <w:t>Available abstract (not full text):</w:t>
      </w:r>
      <w:r>
        <w:t xml:space="preserve"> Ticks and tick-borne pathogens are changing their current distribution, presumably due to the impact of the climate trends. On a large scale, these trends are changing the environmental suitability of Hyalomma marginatum, the main vector of several pathogens affecting human health. We generated annual models of environmental suitability for the tick in the period 1970–2018, using harmonic regression-derived data of the daily maximum and minimum temperature, soil moisture and water vapor deficit. The results demonstrate an expansion of the suitable area in Mediterranean countries, southeast central Europe and south of the Balkans. Also, the models allowed us to interpret the impact of the ecological variables on these changes. We deduced that (i) maximum temperature was significant for all of the biogeographical categories, (ii) soil humidity has an influence in the Mediterranean climate areas, and (iii) the minimum temperature and deficit water vapor did not influence the environmental suitability of the species. The conclusions clearly show that climate change could create new areas in Europe with suitable climates for H. marginatum, while keeping its “historical” distribution in the Mediterranean. Therefore, it is necessary to further explore possible risk areas for H. marginatum and its associated pathogens.</w:t>
      </w:r>
    </w:p>
    <w:p>
      <w:pPr/>
      <w:r>
        <w:rPr>
          <w:b/>
        </w:rPr>
        <w:t>POSSIBLE 2020:</w:t>
      </w:r>
      <w:r>
        <w:t xml:space="preserve"> A new typology of small farms in Europe — https://doi.org/10.1016/j.gfs.2020.100389</w:t>
      </w:r>
    </w:p>
    <w:p>
      <w:pPr/>
      <w:r>
        <w:rPr>
          <w:b/>
        </w:rPr>
        <w:t>Shared claim-specific concepts:</w:t>
      </w:r>
      <w:r>
        <w:t xml:space="preserve"> countries, range, across; EU scope visible. This is a provisional connection, not an outcome finding.</w:t>
      </w:r>
    </w:p>
    <w:p>
      <w:pPr>
        <w:pStyle w:val="SourceNote"/>
      </w:pPr>
      <w:r>
        <w:rPr>
          <w:b/>
        </w:rPr>
        <w:t>Available abstract (not full text):</w:t>
      </w:r>
      <w:r>
        <w:t xml:space="preserve"> We propose a new typology of small farms in Europe using a multivariate analysis drawing from household surveys from 14 European countries. The variables to develop the types covered a range of characteristics from farmers' histories and motivations, to farm production, assets and labour, market linkages and access to support. The clustering analysis found five types of small farms, two with relatively weak commercial orientation (peasant and part-time farms) and three with relatively strong commercial orientation (diversified businesses, specialized businesses, and new enterprises). This typology provides a richer picture of the diversity and nature of small farming across Europe beyond assumptions about their role in subsistence and fragile household economies. We find evidence of entrepreneurship and strong market linkages as well as a range of motivations, including lifestyle options. Typologies such as the one presented here can help to better document and understand the role of small-scale farming in Europe, and provide an input for evidence-based policy making that can enhance their livelihoods and contribution.</w:t>
      </w:r>
    </w:p>
    <w:p>
      <w:pPr/>
      <w:r>
        <w:rPr>
          <w:b/>
        </w:rPr>
        <w:t>POSSIBLE 2020:</w:t>
      </w:r>
      <w:r>
        <w:t xml:space="preserve"> Population of Eurasian beaver (Castor fiber) in Europe — https://doi.org/10.1016/j.gecco.2020.e01046</w:t>
      </w:r>
    </w:p>
    <w:p>
      <w:pPr/>
      <w:r>
        <w:rPr>
          <w:b/>
        </w:rPr>
        <w:t>Shared claim-specific concepts:</w:t>
      </w:r>
      <w:r>
        <w:t xml:space="preserve"> population, countries, increase, populations; EU scope visible. This is a provisional connection, not an outcome finding.</w:t>
      </w:r>
    </w:p>
    <w:p>
      <w:pPr>
        <w:pStyle w:val="SourceNote"/>
      </w:pPr>
      <w:r>
        <w:rPr>
          <w:b/>
        </w:rPr>
        <w:t>Available abstract (not full text):</w:t>
      </w:r>
      <w:r>
        <w:t xml:space="preserve"> The Eurasian beaver (Castor fiber) is an intensely expansionary species. Species reintroductions, which were conducted in various parts of Europe, as well as the rate of natural increase have resulted in the growth of the number of individuals. The dynamic development of the beaver population in Europe means that the available data concerning the quantity of beavers becomes outdated very quickly. The purpose of this manuscript is to update the available information about the beaver populations in all countries of Europe. The information was collected in the second half of 2019. Some of the data collected include generally available studies and articles. For some countries, the author had difficulty obtaining any data; therefore, personal communication was employed with various governmental or scientific units in the given country. The outcomes of the conducted analyses were figures about the Eurasian beaver population throughout Europe. It was found that the Eurasian beaver population in Europe numbered nearly 1,222,000 individuals.</w:t>
      </w:r>
    </w:p>
    <w:p>
      <w:pPr>
        <w:pStyle w:val="Heading2"/>
      </w:pPr>
      <w:r>
        <w:t>670.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2023:</w:t>
      </w:r>
      <w:r>
        <w:t xml:space="preserve"> The Macro Impact of Short‐Termism — https://doi.org/10.3982/ecta15420</w:t>
      </w:r>
    </w:p>
    <w:p>
      <w:pPr/>
      <w:r>
        <w:rPr>
          <w:b/>
        </w:rPr>
        <w:t>Shared claim-specific concepts:</w:t>
      </w:r>
      <w:r>
        <w:t xml:space="preserve"> forecasts, standard, estimate; EU scope not established. This is a provisional connection, not an outcome finding.</w:t>
      </w:r>
    </w:p>
    <w:p>
      <w:pPr>
        <w:pStyle w:val="SourceNote"/>
      </w:pPr>
      <w:r>
        <w:rPr>
          <w:b/>
        </w:rPr>
        <w:t>Available abstract (not full text):</w:t>
      </w:r>
      <w:r>
        <w:t xml:space="preserve"> R&amp;D investment reduces current profits, so short‐term pressure to hit profit targets may distort R&amp;D. In the data, firms just meeting Wall Street forecasts have lower R&amp;D growth and subsequent innovation, while managers just missing receive lower pay. But short‐termist distortions might not quantitatively matter if aggregation or equilibrium dampen their impact. So I build and estimate a quantitative endogenous growth model in which short‐termism arises naturally as discipline on conflicted managers and boosts firm value by about 1%. But short‐termism reduces R&amp;D, and the social return to R&amp;D is higher than the private return due to standard channels including knowledge spillovers and imperfect competition. So at the macro level, short‐termist distortions slow growth by 5 basis points yearly and lower social welfare by about 1%.</w:t>
      </w:r>
    </w:p>
    <w:p>
      <w:pPr/>
      <w:r>
        <w:rPr>
          <w:b/>
        </w:rPr>
        <w:t>POSSIBLE 2022:</w:t>
      </w:r>
      <w:r>
        <w:t xml:space="preserve"> From Short-Term Risk to Long-Term Strategic Challenges: Reviewing the Consequences of Geopolitics and COVID-19 on Economic Performance — https://doi.org/10.3390/su142114455</w:t>
      </w:r>
    </w:p>
    <w:p>
      <w:pPr/>
      <w:r>
        <w:rPr>
          <w:b/>
        </w:rPr>
        <w:t>Shared claim-specific concepts:</w:t>
      </w:r>
      <w:r>
        <w:t xml:space="preserve"> short-term, approach; EU scope visible. This is a provisional connection, not an outcome finding.</w:t>
      </w:r>
    </w:p>
    <w:p>
      <w:pPr>
        <w:pStyle w:val="SourceNote"/>
      </w:pPr>
      <w:r>
        <w:rPr>
          <w:b/>
        </w:rPr>
        <w:t>Available abstract (not full text):</w:t>
      </w:r>
      <w:r>
        <w:t xml:space="preserve"> The COVID-19 crisis and the war between Russia and Ukraine affects the world economy badly. The western countries’ economic sanctions on Russia and the Russian government’s reverse sanctions on western countries create pressure on the world economy. This study was conducted to investigate how the economic performance is responding to COVID-19 and the geopolitical crisis of the era. In doing so, both theoretical and numerical data reviews have been performed. The objective of the study is to investigate the short-term risks and long-term strategic challenges of the crisis. The study used a bibliometric approach with the help of RStudio software. The Web of Science database was used for extracting the resources in line with the grey literature from the Google Search engine. A total of 895 documents were utilized in this bibliometric analysis. At the same time, secondary panel data extracted from the international monetary fund (IMF) for a period of 4 years (2019–2022) were utilized for reviewing numerical implications. The purposive sampling technique is used for data selection and main economic variables. The findings of the study imply that countries over the world registered less economic growth, high inflation rate, and high government debt in 2022 compared to the fiscal period of 2019–2021. The emerging economies and developing countries of Europe were badly affected by the </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labour, output;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Remote Sensing for Short-Term Economic Forecasts — https://doi.org/10.3390/su13179593</w:t>
      </w:r>
    </w:p>
    <w:p>
      <w:pPr/>
      <w:r>
        <w:rPr>
          <w:b/>
        </w:rPr>
        <w:t>Shared claim-specific concepts:</w:t>
      </w:r>
      <w:r>
        <w:t xml:space="preserve"> short-term, forecasts, potential, very; EU scope not established. This is a provisional connection, not an outcome finding.</w:t>
      </w:r>
    </w:p>
    <w:p>
      <w:pPr>
        <w:pStyle w:val="SourceNote"/>
      </w:pPr>
      <w:r>
        <w:rPr>
          <w:b/>
        </w:rPr>
        <w:t>Available abstract (not full text):</w:t>
      </w:r>
      <w:r>
        <w:t xml:space="preserve"> Economic forecasts are an important instrument to judge the nation-wide economic situation. Such forecasts are mainly based on data from statistical offices. However, there is a time lag between the end of the reporting period and the release of the statistical data that arises for instance from the time needed to collect and process the data. To improve the forecasts by reducing the delay, it is of interest to find alternative data sources that provide information on economic activity without significant delays. Among others, satellite images are thought to assist here. This paper addresses the potential of earth observation imagery for short-term economic forecasts. The study is focused on the estimation of investments in the construction sector based on high resolution (HR) (10–20 m) and very high resolution (VHR) (0.3–0.5 m) images as well as on the estimation of investments in agricultural machinery based on orthophotos (0.1 m) simulating VHR satellite imagery. By applying machine learning it is possible to extract the objects of interest to a certain extent. For the detection of construction areas, VHR satellite images are much better suited than HR satellite images. VHR satellite images with a ground resolution of 30–50 cm are able to identify agricultural machinery. These results are promising and provide new and unconventional input for economic forecasting models.</w:t>
      </w:r>
    </w:p>
    <w:p>
      <w:pPr/>
      <w:r>
        <w:rPr>
          <w:b/>
        </w:rPr>
        <w:t>POSSIBLE 2020:</w:t>
      </w:r>
      <w:r>
        <w:t xml:space="preserve"> Short-term and long-term health impacts of air pollution reductions from COVID-19 lockdowns in China and Europe: a modelling study — https://doi.org/10.1016/s2542-5196(20)30224-2</w:t>
      </w:r>
    </w:p>
    <w:p>
      <w:pPr/>
      <w:r>
        <w:rPr>
          <w:b/>
        </w:rPr>
        <w:t>Shared claim-specific concepts:</w:t>
      </w:r>
      <w:r>
        <w:t xml:space="preserve"> short-term; EU scope visible. This is a provisional connection, not an outcome finding.</w:t>
      </w:r>
    </w:p>
    <w:p>
      <w:pPr>
        <w:pStyle w:val="SourceNote"/>
      </w:pPr>
      <w:r>
        <w:rPr>
          <w:b/>
        </w:rPr>
        <w:t>Available abstract (not full text):</w:t>
      </w:r>
      <w:r>
        <w:t xml:space="preserve"> Background Exposure to poor air quality leads to increased premature mortality from cardiovascular and respiratory diseases. Among the far-reaching implications of the ongoing COVID-19 pandemic, a substantial improvement in air quality was observed worldwide after the lockdowns imposed by many countries. We aimed to assess the implications of different lockdown measures on air pollution levels in Europe and China, as well as the short-term and long-term health impact. Methods For this modelling study, observations of fine particulate matter (PM 2·5 ) concentrations from more than 2500 stations in Europe and China during 2016–20 were integrated with chemical transport model simulations to reconstruct PM 2·5 fields at high spatiotemporal resolution. The health benefits, expressed as short-term and long-term avoided mortality from PM 2·5 exposure associated with the interventions imposed to control the COVID-19 pandemic, were quantified on the basis of the latest epidemiological studies. To explore the long-term variability in air quality and associated premature mortality, we built different scenarios of economic recovery (immediate or gradual resumption of activities, a second outbreak in autumn, and permanent lockdown for the whole of 2020). Findings The lockdown interventions led to a reduction in population-weighted PM 2·5 of 14·5 μg m −3 across China (−29·7%) and 2·2 μg m −3</w:t>
      </w:r>
    </w:p>
    <w:p>
      <w:pPr/>
      <w:r>
        <w:rPr>
          <w:b/>
        </w:rPr>
        <w:t>POSSIBLE 2020:</w:t>
      </w:r>
      <w:r>
        <w:t xml:space="preserve"> Effect of B Corp Certification on Short-Term Growth: European Evidence — https://doi.org/10.3390/su12208459</w:t>
      </w:r>
    </w:p>
    <w:p>
      <w:pPr/>
      <w:r>
        <w:rPr>
          <w:b/>
        </w:rPr>
        <w:t>Shared claim-specific concepts:</w:t>
      </w:r>
      <w:r>
        <w:t xml:space="preserve"> short-term, potential; EU scope visible. This is a provisional connection, not an outcome finding.</w:t>
      </w:r>
    </w:p>
    <w:p>
      <w:pPr>
        <w:pStyle w:val="SourceNote"/>
      </w:pPr>
      <w:r>
        <w:rPr>
          <w:b/>
        </w:rPr>
        <w:t>Available abstract (not full text):</w:t>
      </w:r>
      <w:r>
        <w:t xml:space="preserve"> This paper investigates the effect of sustainability certification on the short-term growth rates of socially responsible companies. A changing business environment in which stakeholders became more sensitive to the sustainability practices of companies induced a growing popularity of hybrid firms, which use market-based approaches to pursue environmental and social goals. However, stakeholders do not take unsubstantiated claims about companies’ sustainability efforts for granted, creating a potential economic role for independent certification organizations. In addition, the internal processes brought about by the external verification procedure could turn the social mission, which is often creating tension with financial goals, into a strategic advantage. B Lab is one such well-known and rapidly growing organization, granting so-called B Corp certificates across many countries around the world. This paper contributes to the hybrid firm literature by ascertaining the benefit of certification as measured by firm growth. Using a panel dataset of financial data of European firms that obtained B Corp certification between 2012 and 2018 and a quasi-experimental difference-in-difference research design, this paper empirically shows that B Corp certification positively impacts the turnover growth rates one year pre versus one year post certification. No significant effects on employe</w:t>
      </w:r>
    </w:p>
    <w:p>
      <w:pPr>
        <w:pStyle w:val="Heading2"/>
      </w:pPr>
      <w:r>
        <w:t>671.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Meeting the European green deal objective of expanding organic farming — https://doi.org/10.24136/eq.2022.021</w:t>
      </w:r>
    </w:p>
    <w:p>
      <w:pPr/>
      <w:r>
        <w:rPr>
          <w:b/>
        </w:rPr>
        <w:t>Shared claim-specific concepts:</w:t>
      </w:r>
      <w:r>
        <w:t xml:space="preserve"> objective, three, developed, methods, approach; EU scope visible. This is a provisional connection, not an outcome finding.</w:t>
      </w:r>
    </w:p>
    <w:p>
      <w:pPr>
        <w:pStyle w:val="SourceNote"/>
      </w:pPr>
      <w:r>
        <w:rPr>
          <w:b/>
        </w:rPr>
        <w:t>Available abstract (not full text):</w:t>
      </w:r>
      <w:r>
        <w:t xml:space="preserve"> Research background: Economic growth is unsustainable. However, a circular economy has the potential to lead to sustainable development, while decoupling economic growth from the negative consequences of resource depletion and environmental degradation. The EU's strategy of climate neutralization in 2050 developed, inter alia, into a European Green Deal action plan aiming at the efficient use of resources by moving to a cleaner, circular economy. More sustainable EU food system is a cornerstone of the European Green Deal. The European Commission's goal is 25% of agricultural land to be used for organic production in 2030. The question is if it is possible to reach the objective with the use of current incentives. What else may be done to encourage European farmers to convert to organic farming? Purpose of the article: The aim of this research is to review the development of organic agriculture in Europe and the EU and to identify incentives for farmers to convert to organic farming. Methods: First of all, the methodological approach is to iteratively review the existing literature to frame the problem. Secondly, the data on organic agriculture in Europe is to be analyzed to answer the research questions. The analysis is based on international statistics, mainly collected by FiBL, IFOAM, EC Agri-food data portal and Eurostat..Fitting the trend functions to the actual data has be</w:t>
      </w:r>
    </w:p>
    <w:p>
      <w:pPr/>
      <w:r>
        <w:rPr>
          <w:b/>
        </w:rPr>
        <w:t>POSSIBLE 2022:</w:t>
      </w:r>
      <w:r>
        <w:t xml:space="preserve"> COVID-19 in Europe: from outbreak to vaccination — https://doi.org/10.1186/s12889-022-14454-5</w:t>
      </w:r>
    </w:p>
    <w:p>
      <w:pPr/>
      <w:r>
        <w:rPr>
          <w:b/>
        </w:rPr>
        <w:t>Shared claim-specific concepts:</w:t>
      </w:r>
      <w:r>
        <w:t xml:space="preserve"> objective, three, affect, across, methods, approach;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evolution, methods, identification, stage;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factors, across, methods, approach, applied;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r>
        <w:rPr>
          <w:b/>
        </w:rPr>
        <w:t>POSSIBLE 2020:</w:t>
      </w:r>
      <w:r>
        <w:t xml:space="preserve"> Energy Performance of the European Union Countries in Terms of Reaching the European Energy Union Objectives — https://doi.org/10.3390/en13205317</w:t>
      </w:r>
    </w:p>
    <w:p>
      <w:pPr/>
      <w:r>
        <w:rPr>
          <w:b/>
        </w:rPr>
        <w:t>Shared claim-specific concepts:</w:t>
      </w:r>
      <w:r>
        <w:t xml:space="preserve"> objective, project, methods; EU scope visible. This is a provisional connection, not an outcome finding.</w:t>
      </w:r>
    </w:p>
    <w:p>
      <w:pPr>
        <w:pStyle w:val="SourceNote"/>
      </w:pPr>
      <w:r>
        <w:rPr>
          <w:b/>
        </w:rPr>
        <w:t>Available abstract (not full text):</w:t>
      </w:r>
      <w:r>
        <w:t xml:space="preserve"> European energy policy, especially the project of the Energy Union, is one of the most rapidly developing areas of the EU, and one through which European institutions are obtaining gradually more extensive power over the performance of the national energy sectors. The paper focuses on an analysis of the energy performance of EU member states (MS) with regard to the priorities of the European Energy Union. For an assessment of the energy performance of EU countries, the Technique for Order of Preference by Similarity to Ideal Solution (TOPSIS) was chosen, using the Coefficient of Variation method (CV) as an objective method for determining the weights of eight input indicators, including CO2 intensity, electricity and gas price, energy productivity, energy dependence, consumption of renewables and research and development. The analysis for the period from 2008 to 2016 showed significant changes in the input indicators, which directly influenced the results of both methods mentioned above. Long-term differences between the best- and worst-rated countries are seen mainly in CO2 emissions, energy imports and total consumption of renewable energy sources. It is these aspects of comprehensive energy performance and their convergence at the level of EU countries that we believe should be addressed in the near future.</w:t>
      </w:r>
    </w:p>
    <w:p>
      <w:pPr/>
      <w:r>
        <w:rPr>
          <w:b/>
        </w:rPr>
        <w:t>POSSIBLE 2020:</w:t>
      </w:r>
      <w:r>
        <w:t xml:space="preserve"> Branch-and-bound and objective branching with three objectives — https://openalex.org/W4412331006</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Besides the classical dominance test, bound sets are used to improve the computational time by imposing inequalities derived from (partial) dominance in the objective space. This process is called objective branching since it is mostly applied when generating child nodes. In this paper, we extend the concept of objective branching to tri-objective combinatorial optimization problems. Several difficulties arise in this case, as there is no longer a lexicographic order among nondominated outcome vectors in the multi-objective case, with more than two objectives. We discuss the general concept of objective branching in any number of dimensions and suggest a merging operation of local upper bounds to avoid the generation of redundant subproblems. Numerical experiments on tri-objective knapsack, assignment and facility location problems show a significant speed-up in the B&amp;B framework.</w:t>
      </w:r>
    </w:p>
    <w:p>
      <w:pPr>
        <w:pStyle w:val="Heading2"/>
      </w:pPr>
      <w:r>
        <w:t>672.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developed, large-scale, technology, environmental,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even, though;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environmental, initiatives;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pStyle w:val="Heading2"/>
      </w:pPr>
      <w:r>
        <w:t>673.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focus, energy;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Energy Systems — https://doi.org/10.1017/9781009157926.008</w:t>
      </w:r>
    </w:p>
    <w:p>
      <w:pPr/>
      <w:r>
        <w:rPr>
          <w:b/>
        </w:rPr>
        <w:t>Shared claim-specific concepts:</w:t>
      </w:r>
      <w:r>
        <w:t xml:space="preserve"> energy, system, without, total, increased; EU scope not established. This is a provisional connection, not an outcome finding.</w:t>
      </w:r>
    </w:p>
    <w:p>
      <w:pPr>
        <w:pStyle w:val="SourceNote"/>
      </w:pPr>
      <w:r>
        <w:rPr>
          <w:b/>
        </w:rPr>
        <w:t>Available abstract (not full text):</w:t>
      </w:r>
      <w:r>
        <w:t xml:space="preserve">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pPr/>
      <w:r>
        <w:rPr>
          <w:b/>
        </w:rPr>
        <w:t>POSSIBLE 2022:</w:t>
      </w:r>
      <w:r>
        <w:t xml:space="preserve"> Investigation of European modular façade system utilizing renewable energy — https://doi.org/10.1093/ijlct/ctab101</w:t>
      </w:r>
    </w:p>
    <w:p>
      <w:pPr/>
      <w:r>
        <w:rPr>
          <w:b/>
        </w:rPr>
        <w:t>Shared claim-specific concepts:</w:t>
      </w:r>
      <w:r>
        <w:t xml:space="preserve"> energy, system, without; EU scope visible. This is a provisional connection, not an outcome finding.</w:t>
      </w:r>
    </w:p>
    <w:p>
      <w:pPr>
        <w:pStyle w:val="SourceNote"/>
      </w:pPr>
      <w:r>
        <w:rPr>
          <w:b/>
        </w:rPr>
        <w:t>Available abstract (not full text):</w:t>
      </w:r>
      <w:r>
        <w:t xml:space="preserve"> Abstract The purpose of this investigation is to summarize modular façade construction using renewable energy features in different aspects. Researches done so far primarily focusing on building envelop have shown various constructions of building enclosure without energy usage. This paper mainly focuses on modular façade renovation system programmes of European Horizon 2020 [34] and IEA ECBCS Annex 50 Prefabricated Systems for Low Energy Renovation of Residential Buildings in terms of construction, material, installation and thermal performance. Four aspects of construction, material, installation and thermal performance are adopted to evaluate these practices. Related website, paper and report from European commission constitute the database providing for review. Final results illustrate that all modular façade systems mentioned above could be classified into three layers: interior; module and exterior layer, taking charge of disparate functions. Both insulation and energy usage achieve the innovative envelop constructions manufacture. Integrating the renewable energy resources utilization technique into insulated building façade system is the core of this innovative projects achievement.</w:t>
      </w:r>
    </w:p>
    <w:p>
      <w:pPr/>
      <w:r>
        <w:rPr>
          <w:b/>
        </w:rPr>
        <w:t>POSSIBLE 2021:</w:t>
      </w:r>
      <w:r>
        <w:t xml:space="preserve"> Incorporating uncertainties towards a sustainable European energy system: A stochastic approach for decarbonization paths focusing on the transport sector — https://doi.org/10.1016/j.esr.2021.100707</w:t>
      </w:r>
    </w:p>
    <w:p>
      <w:pPr/>
      <w:r>
        <w:rPr>
          <w:b/>
        </w:rPr>
        <w:t>Shared claim-specific concepts:</w:t>
      </w:r>
      <w:r>
        <w:t xml:space="preserve"> energy, system, co2, reduction, period; EU scope visible. This is a provisional connection, not an outcome finding.</w:t>
      </w:r>
    </w:p>
    <w:p>
      <w:pPr>
        <w:pStyle w:val="SourceNote"/>
      </w:pPr>
      <w:r>
        <w:rPr>
          <w:b/>
        </w:rPr>
        <w:t>Available abstract (not full text):</w:t>
      </w:r>
      <w:r>
        <w:t xml:space="preserve"> According to the Paris Agreement, the European energy system transition is essential to achieve GHG emission reduction targets set by the EU and limit the growth of global temperatures. Investigating the role of emerging mitigation technologies and their uncertainties together with the different GHG reduction targets is crucial to realize this transition. This study analyzes the uncertainties of electric vehicles' learning paths and biomass availability for biofuels, considering policy uncertainties. Since these technologies are considered possible alternatives to conventional fuels to reduce CO2 emissions in transport, it is critical to understand their future role and the possible impact of their uncertainties during the European energy system design in case of different climate ambitions. Stochastic modeling is applied to analyze associated uncertainties as an additional approach to a traditional sensitivity analysis. Our results show that decarbonization of car transport is prioritized, and electric cars appear as no-regret options in the sector's design during the energy transition. Therefore, early deployments of EVs are essential to hedge the given uncertainties independent of the hedging period's length. Longer resolution time reduces the deployment of electric vehicles in the recourse strategies compared to having a shorter one due to a delay in the cost reductions. Th</w:t>
      </w:r>
    </w:p>
    <w:p>
      <w:pPr/>
      <w:r>
        <w:rPr>
          <w:b/>
        </w:rPr>
        <w:t>POSSIBLE 2021:</w:t>
      </w:r>
      <w:r>
        <w:t xml:space="preserve"> Thinking, doing, organising: Prefiguring just and sustainable energy systems via collective prosumer ecosystems in Europe — https://doi.org/10.1016/j.erss.2021.102425</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article positions collective renewable energy prosumerism as a social movement that engages in energy system transformation. Collective renewable energy prosumer initiatives engage in ‘prefigurative’ work through their discursive framings (ways of thinking), their activities (ways of doing) and their understanding and enactment of social relations (ways of organising). The core of this article is a comparative analysis of the prefigurative work of 13 collective prosumers from 7 European countries (Belgium, Croatia, Germany, Italy, Netherlands, Portugal, United Kingdom). The article discusses their contributions to energy system transformation, including renewable energy production, different mechanisms for involving citizens, local value creation, and the degree of desired and actual collaboration and networking within broader prosumer ecosystems. We then discuss these contributions against societal discourses and expectations towards prosumerism, such as energy democracy, energy justice, and environmental sustainability and decarbonisation. This reveals three tensions: 1) a focus on decarbonisation but not on broader environmental problems, 2) the involvement of certain people and not of others, and 3) the building of prosumer eco-systems while ignoring incumbency. Future research avenues are formulated to conclude the article.</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system, cumulative;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Actuating the European Energy System Transition: Indicators for Translating Energy Systems Modelling Results into Policy-Making — https://doi.org/10.3389/fenrg.2021.677208</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In this paper, we define indicators, with a focus on the electricity sector, that translate the results of energy systems modelling to quantitative entities that can facilitate assessments of the transitions required to meet stringent climate targets. Such indicators, which are often overlooked in model scenario presentations, can be applied to make the modelling results more accessible and are useful for managing the transition on the policy level, as well as for internal evaluations of modelling results. We propose a set of 13 indicators related to: 1) the resource and material usages in modelled energy system designs; 2) the rates of transition from current to future energy systems; and 3) the energy security in energy system modelling results. To illustrate its value, the proposed set of indicators is applied to energy system scenarios derived from an electricity system investment model for Northern Europe. We show that the proposed indicators are useful for facilitating discussions, raising new questions, and relating the modelling results to Sustainable Development Goals and thus facilitate better policy processes. The indicators presented here should not be seen as a complete set, but rather as examples. Therefore, this paper represents a starting point and a call to other modellers to expand and refine the list of indicators.</w:t>
      </w:r>
    </w:p>
    <w:p>
      <w:pPr/>
      <w:r>
        <w:rPr>
          <w:b/>
        </w:rPr>
        <w:t>POSSIBLE 2020:</w:t>
      </w:r>
      <w:r>
        <w:t xml:space="preserve"> Utility scale energy storage systems: possible business cases in Europe, with focus on Germany and Italy — https://openalex.org/W3151406791</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Energy transition &amp; storage: overview and analysis. The electric power system. The role of storage in VRE integration. The European power sector. Renevable outlook in the EU. Research questions and methodology. Financial drivers of ESSs. Project financing for VRE and ESSs. Construction of a financial model of ESS–comparative analysis. First business case–Germany. Second business case–Italy.</w:t>
      </w:r>
    </w:p>
    <w:p>
      <w:pPr/>
      <w:r>
        <w:rPr>
          <w:b/>
        </w:rPr>
        <w:t>POSSIBLE 2020:</w:t>
      </w:r>
      <w:r>
        <w:t xml:space="preserve"> Europeanization of the Swiss Energy System — https://openalex.org/W3016255705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Switzerland and the EU have been negotiating an electricity agreement since 2007. Irrespective of the outcome of these negotiations, whose success is also dependent on other factors, European energy policy will influence the framework conditions and players in Switzerland’s energy policy. The effects of a «Europeanization» of Swiss energy policy are the primary interest of this book. It focuses on the influence of current and future EU policies on the (regulatory) framework and policy instruments in Switzerland, including the effects on public and private actors active in the Swiss energy sector. It will also present the consequences of the possible integration of Swiss energy policy into the complex European multi-level governance system, taking into account two scenarios: the «direct Europeanization» in case of the conclusion of a bilateral electricity agreement between Switzerland and the EU as well as the possible «indirect Europeanization» in the sense of autonomous adjustments to European policies.</w:t>
      </w:r>
    </w:p>
    <w:p>
      <w:pPr/>
      <w:r>
        <w:rPr>
          <w:b/>
        </w:rPr>
        <w:t>POSSIBLE 2020:</w:t>
      </w:r>
      <w:r>
        <w:t xml:space="preserve"> Early decarbonisation of the European energy system pays off — https://doi.org/10.1038/s41467-020-20015-4</w:t>
      </w:r>
    </w:p>
    <w:p>
      <w:pPr/>
      <w:r>
        <w:rPr>
          <w:b/>
        </w:rPr>
        <w:t>Shared claim-specific concepts:</w:t>
      </w:r>
      <w:r>
        <w:t xml:space="preserve"> energy, system, reduction, cumulative; EU scope visible. This is a provisional connection, not an outcome finding.</w:t>
      </w:r>
    </w:p>
    <w:p>
      <w:pPr>
        <w:pStyle w:val="SourceNote"/>
      </w:pPr>
      <w:r>
        <w:rPr>
          <w:b/>
        </w:rPr>
        <w:t>Available abstract (not full text):</w:t>
      </w:r>
      <w:r>
        <w:t xml:space="preserve"> Abstract For a given carbon budget over several decades, different transformation rates for the energy system yield starkly different results. Here we consider a budget of 33 GtCO2 for the cumulative carbon dioxide emissions from the European electricity, heating, and transport sectors between 2020 and 2050, which represents Europe’s contribution to the Paris Agreement. We have found that following an early and steady path in which emissions are strongly reduced in the first decade is more cost-effective than following a late and rapid path in which low initial reduction targets quickly deplete the carbon budget and require a sharp reduction later. We show that solar photovoltaic, onshore and offshore wind can become the cornerstone of a fully decarbonised energy system and that installation rates similar to historical maxima are required to achieve timely decarbonisation. Key to those results is a proper representation of existing balancing strategies through an open, hourly-resolved, networked model of the sector-coupled European energy system.</w:t>
      </w:r>
    </w:p>
    <w:p>
      <w:pPr>
        <w:pStyle w:val="Heading2"/>
      </w:pPr>
      <w:r>
        <w:t>674.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2022:</w:t>
      </w:r>
      <w:r>
        <w:t xml:space="preserve"> Does the transition to renewable energy increase inflation in European countries? — https://doi.org/10.21203/rs.3.rs-1408222/v1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Review of PV Solar Energy Development 2011–2021 in Central European Countries — https://doi.org/10.3390/en15218307</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data collected in 2022 during 5th International Off-Grid Renewable Energy Conference organized in Abu Dhabi by the International Renewable Energy Agency, the global energy requirements show a negative impact on approximately 785 million people facing energy poverty. The long-term energy sustainability solutions should consider off-grid solutions in the planning of an energy mix and be considered as interim both in remote and already urbanized areas. These measures require integrated planning and partnering with local distribution networks. The review presents the development of photovoltaic installations in Central European countries. For more than 40 years, this area belonged to different regimes and joined the European Union at various dates. Hence, the development of energy policies and cultural and social expectations differ even when based on the Green Deal presented by the European Union in 2020. The outcomes prove that even with a variety of policy measures, the strongest boost can be given only by a set of national rules and financial incentives supporting the stakeholders. It should be noted that the advancement of PV often does not rely on climatic conditions, but more on the level of incentives undertaken by each country, as well as the general policy measures undertaken on the EU level.</w:t>
      </w:r>
    </w:p>
    <w:p>
      <w:pPr/>
      <w:r>
        <w:rPr>
          <w:b/>
        </w:rPr>
        <w:t>POSSIBLE 2022:</w:t>
      </w:r>
      <w:r>
        <w:t xml:space="preserve"> CAN GREECE STRENGTHEN EUROPEAN ENERGY SECURITY? — https://openalex.org/W7112735520</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energy security is at risk mainly due to its high dependence on Russian energy resources. Although some scholars have argued that the Kremlin would not weaponize its natural resources, the Russian invasion of Ukraine in 2022 has made them reconsider. This thesis seeks to answer whether Greece can strengthen the energy security of the European Union through two energy projects: the EastMed pipeline and the electrical interconnectors. These two case studies analyzed the potential barriers that emerged from the literature review of respective energy projects. The research shows that the economic factor does not seem to be an obstacle to implementing EastMed and electricity interconnection projects. Moreover, this thesis points out that both energy projects at the domestic political level find a fertile environment for their construction. On the other hand, the thesis indicates that the geopolitical factor, specifically Turkey’s role, is the main inhibiting factor that endangers the implementation of energy projects. However, according to the research findings, Turkey’s positions do not find international acceptance, its actions are condemned, and the investors of the energy projects do not seem to be affected. Thus, the implementation of EastMed and electrical interconnections does not seem to be affected, and Greece can, through them, strengthen the energy se</w:t>
      </w:r>
    </w:p>
    <w:p>
      <w:pPr/>
      <w:r>
        <w:rPr>
          <w:b/>
        </w:rPr>
        <w:t>POSSIBLE 2022:</w:t>
      </w:r>
      <w:r>
        <w:t xml:space="preserve"> Assessment of the Economic Efficiency of Energy Development in the Industrial Sector of the European Union Area Countries — https://doi.org/10.3390/en15093322</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Green Deal emphasises the importance of improving the efficiency of the energy sector in its countries, which is why the issues involved are relevant in both scientific and practical terms. The article sets out the hypothesis that conveying the state of the economic efficiency of energy development by grades does not reflect the real situation. Instead of ranks, it is proposed to form homogeneous groups of some countries based on non-linear data normalisation instead of today’s universally used linearisation. Grouping the euro area countries in the European Union on the basis of the value of the cost-effectiveness indicator for the energy development of their industrial sector confirmed the appropriateness of the proposed method-ology. In this way, three groups of countries were formed according to the level of cost-effectiveness achieved. The proposed methodology for grouping countries is universal and can be used for international comparisons of any kind.</w:t>
      </w:r>
    </w:p>
    <w:p>
      <w:pPr/>
      <w:r>
        <w:rPr>
          <w:b/>
        </w:rPr>
        <w:t>POSSIBLE 2021:</w:t>
      </w:r>
      <w:r>
        <w:t xml:space="preserve"> Review of methods for the combined assessment of seismic resilience and energy efficiency towards sustainable retrofitting of existing European buildings — https://doi.org/10.1016/j.scs.2021.103556</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Sustainable retrofitting of existing buildings is a prerequisite for achieving climatic and energy objectives in the EU. Thus, practical tools supporting the evaluation and decision-making process when planning retrofit interventions are required. In specific areas, in addition to energy efficiency, the improvement in building resilience to natural hazards is requested; in several European regions, seismicity poses a significant hazard. This study aims to analyse the state-of-the-art of the integrated methods for the implementation of structural and energy retrofitting. The work consists of reviewing available tools, international sustainability protocols, and methods specifically developed for combined energy and seismic assessment. In the first group of methods, assessment is independently referred to specific criteria for energy performance and seismic safety, quantified according to available codes. Besides, in a second group, integrated evaluation is achieved considering ‘equivalent’ initial or life-cycle costs associated with energy consumption and seismic vulnerability. The collected methods were evaluated for qualitative requirements for optimal integration, such as multidisciplinary, life-cycle approaches, and other indicators. Finally, a critical evaluation is provided, highlighting what can be used for future developments toward a sustainable and resilient retrofitti</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Positioning Positive Energy Districts in European Cities — https://doi.org/10.3390/buildings11010019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There are many concepts for buildings with integrated renewable energy systems that have received increased attention during the last few years. However, these concepts only strive to streamline building-level renewable energy solutions. In order to improve the flexibility of decentralized energy generation, individual buildings and energy systems should be able to interact with each other. The positive energy district (PED) concept highlights the importance of active interaction between energy generation systems, energy consumers and energy storage within a district. This paper strives to inform the public, decision makers and fellow researchers about the aspects that should be accounted for when planning and implementing different types of PEDs in different regions throughout the European Union. The renewable energy environment varies between different EU regions, in terms of the available renewable energy sources, energy storage potential, population, energy consumption behaviour, costs and regulations, which affect the design and operation of PEDs, and hence, no PED is like the other. This paper provides clear definitions for different types of PEDs, a survey of the renewable energy market circumstances in the EU and a detailed analysis of factors that play an essential role in the PED planning process.</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r>
        <w:rPr>
          <w:b/>
        </w:rPr>
        <w:t>POSSIBLE 2020:</w:t>
      </w:r>
      <w:r>
        <w:t xml:space="preserve"> Trends in Social Acceptance of Renewable Energy Across Europe—A Literature Review — https://doi.org/10.3390/ijerph17249161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Social acceptance has proven to be a significant barrier in the implementation of renewable energy systems (hereinafter "RES"). While a general acceptance of RES is high, low local acceptance has hindered the development of renewable energy projects (hereinafter "REP"). This study assesses the determinants of local and general social acceptance of REP across Europe through a qualitative analysis from 25 case studies of the most significant social drivers and barriers that include all European countries. These case studies contain qualitative and quantitative analyses of the main factors for social acceptance of many representative groups including residents, stakeholders, and experts. Understanding the influences of social acceptance enables us to create strategies that will promote the development of REP by mitigating any public opposition.</w:t>
      </w:r>
    </w:p>
    <w:p>
      <w:pPr>
        <w:pStyle w:val="Heading2"/>
      </w:pPr>
      <w:r>
        <w:t>675.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r>
        <w:rPr>
          <w:b/>
        </w:rPr>
        <w:t>POSSIBLE 2023:</w:t>
      </w:r>
      <w:r>
        <w:t xml:space="preserve"> Pillars of long-term antiretroviral therapy success — https://doi.org/10.1016/j.phrs.2023.106898</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BACKGROUND: Meeting the challenge of antiretroviral therapy (ART) whose efficacy can last a lifetime requires continuous updating of the virological, pharmacological, and quality of life outcomes to be pursued and a continuous review of literature data on the efficacy and tolerability of new drugs and therapeutic strategies. METHODS: With the aim of identifying open questions and answers about the current controversies in modern ART, we adapted the Design Thinking methodology to the needs of the design phase of a scientific article, involving a team of experts in HIV care. RESULTS: Five main pillars of treatment success were discussed: sustained virologic suppression over time; immunological recovery; pharmacological attributes; long-term tolerability and safety of ART; and people's satisfaction and quality of life. The definition of the outcomes to be achieved in each thematic area and the tools to achieve them were reviewed and discussed. CONCLUSIONS: Long-term treatment success should be intended as a combination of HIV-RNA suppression, immune recovery, and high quality of life. To achieve this, the regimen should be well-tolerated, with high potency, genetic barrier, and forgiveness, and should be tailored by a person-centered perspective, based on individual needs, preferences, and therapeutic history.</w:t>
      </w:r>
    </w:p>
    <w:p>
      <w:pPr/>
      <w:r>
        <w:rPr>
          <w:b/>
        </w:rPr>
        <w:t>POSSIBLE 2022:</w:t>
      </w:r>
      <w:r>
        <w:t xml:space="preserve"> Decarbonizing Prudence: How Realigning Present Pleasure and Long-Term Thinking is Climate Action — https://doi.org/10.21428/dd52e8dc.baa71636</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Present Pleasure and Long-Term Thinking is Climate Action 2 "The people I love the best jump into work head first without dallying in the shallows and swim off with sure strikes almost out of sight.They seem to become the natives of that element, the black sleek heads of seals bouncing like half-submerged balls.I love people who harness themselves, an ox to a heavy cart, who pull like water buffalo, with massive patience, who strain in the mud and the muck to move things forward who do what has to be done, again and again."-To Be of Use by Marge Pierce</w:t>
      </w:r>
    </w:p>
    <w:p>
      <w:pPr/>
      <w:r>
        <w:rPr>
          <w:b/>
        </w:rPr>
        <w:t>POSSIBLE 2022:</w:t>
      </w:r>
      <w:r>
        <w:t xml:space="preserve"> Wishful thinking? Addressing the long-term implications of COVID-19 for transport in Nigeria — https://doi.org/10.1016/j.trd.2022.103206</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With their inherent economic and infrastructure challenges, developing countries must assess commuters' travel behaviour and establish whether consumers' desire for sustainable transportation is feasible or merely wishful thinking. Using a qualitative research design, these issues were explored based on semi-structured interviews conducted with 72 participants across the six geopolitical zones of Nigeria. Findings suggest that the desires and dreams of the commuters are great, and they want to reduce their journeys, work from home, and do online shopping. However, when they consider the inherent challenges, they can only hope for a better future. COVID-19 has impacted the ownership or use of motorised and non-motorised transport, but this is also influenced by affordability, convenience, and awareness. Likewise, there are long-term effects on home and work location choices, but this is further influenced by the large informal economy of the country, job accessibility and the infrastructural developments across the country.</w:t>
      </w:r>
    </w:p>
    <w:p>
      <w:pPr/>
      <w:r>
        <w:rPr>
          <w:b/>
        </w:rPr>
        <w:t>POSSIBLE 2022:</w:t>
      </w:r>
      <w:r>
        <w:t xml:space="preserve"> complexity and criticality of long-term collaborative processes — https://doi.org/10.22456/1982-8918.127557</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There has been increasing recognition that social collectives, such as knowledge communities and professional learning networks, support teachers and enhance their practice. At the same time, there is little research on how such communities form, are sustained over time, create professional knowledge and practices, and transform the professional lives of their participants. We address these gaps in this paper by drawing on self-study methodology to structure a critical reflection of Luiz’s experiences of participating in an autonomous group of teacher-researchers that constituted their own knowledge community since 2005. Through critical friendship, a complexity thinking lens guided the shared reflection on Luiz’s experience in the knowledge community by considering the relational connections, affective forces, opportunities for action and agential capacities that are continually made and reconfigured within the collective nature of learning communities. In conclusion, we discuss both the facilitation and cultivation of long-term collaborative processes towards a complex, critical, and socially just perspective of PETE.</w:t>
      </w:r>
    </w:p>
    <w:p>
      <w:pPr/>
      <w:r>
        <w:rPr>
          <w:b/>
        </w:rPr>
        <w:t>POSSIBLE 2021:</w:t>
      </w:r>
      <w:r>
        <w:t xml:space="preserve"> Thinking Beyond the Pandemic: Monetary Policy Challenges in the Medium- to Long-Term — https://doi.org/10.2139/ssrn.3873976</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Thinking Beyond the Pandemic: Monetary Policy Challenges in the Medium- to Long-Term (preprint) — https://openalex.org/W3180662084</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The economic characteristics of the COVID-19 crisis differ from those of previous crises. It is a combination of demand- and supply-side constraints which led to the formation of a monetary overhang that will be unfrozen once the pandemic ends. Monetary policy must take this effect into consideration, along with other pro-inflationary factors, in the post-pandemic era. It must also think in advance about how to avoid a policy trap coming from fiscal dominance. This paper is organized as follows: Chapter 2 deals with the economic characteristics of the COVID-19 pandemic and its impact on the effectiveness of the monetary policy response measures undertaken. In Chapter 3, we analyse the monetary policy decisions of the ECB (and other major CBs for comparison) and their effectiveness in achieving the declared policy goals in the short term. Chapter 4 is devoted to an analysis of the policy challenges which may be faced by the ECB and other major CBs once the pandemic emergency comes to its end. Chapter 5 contains a summary and the conclusions of our analysis.</w:t>
      </w:r>
    </w:p>
    <w:p>
      <w:pPr/>
      <w:r>
        <w:rPr>
          <w:b/>
        </w:rPr>
        <w:t>POSSIBLE 2020:</w:t>
      </w:r>
      <w:r>
        <w:t xml:space="preserve"> Casting Long-Term and Regenerative Perspectives on Global Sustainability through Systems and Resilience Thinking — https://doi.org/10.3390/su12031230</w:t>
      </w:r>
    </w:p>
    <w:p>
      <w:pPr/>
      <w:r>
        <w:rPr>
          <w:b/>
        </w:rPr>
        <w:t>Shared claim-specific concepts:</w:t>
      </w:r>
      <w:r>
        <w:t xml:space="preserve"> long-term, thinking, casting, action, local; EU scope not established. This is a provisional connection, not an outcome finding.</w:t>
      </w:r>
    </w:p>
    <w:p>
      <w:pPr>
        <w:pStyle w:val="SourceNote"/>
      </w:pPr>
      <w:r>
        <w:rPr>
          <w:b/>
        </w:rPr>
        <w:t>Available abstract (not full text):</w:t>
      </w:r>
      <w:r>
        <w:t xml:space="preserve"> The main objective of this work is to foster long-term and regenerative perspectives on global sustainability. In pursuing this goal, this study encompasses a critical analysis and synthesis of insights from the fields of systems and resilience thinking, a conceptual framework for modeling and envisioning socio-ecological systems, and the proposition of the “flourishing within boundaries” archetype, which is conceived to provide meaningful insights regarding the essential conditions that would enable global society to flourish not just safely but also fairly. Through systems dynamics modeling, portrayed scenarios emphasize that the higher the regenerative societal change achieved, the greater the exponential behavior of the system’s speed towards promising socio-ecological outcomes. Especially for longer time horizons, the overall results reveal that the pace of the transitions associated with the societal action is inherently higher than those associated with the limiting social and ecological factors. Actions taken by individuals in the local realm and short-term time horizon may not only have immediate local effects but also a variety of innumerous ones that radiate out for years, decades, and even centuries to come. Finally, the pursuit of flourishing within boundaries relies on thinking rationally, globally, and above all, through a long-term and regenerative perspective.</w:t>
      </w:r>
    </w:p>
    <w:p>
      <w:pPr>
        <w:pStyle w:val="Heading2"/>
      </w:pPr>
      <w:r>
        <w:t>676.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2021:</w:t>
      </w:r>
      <w:r>
        <w:t xml:space="preserve"> Summary of evidence and recommendations — https://doi.org/10.4324/9781003048558-14</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In this final chapter, we bring together recommendations from the experience and research of our expert authors. We have not tried to prioritise our list of key actions for developing countries to implement to enhance mathematical and statistical knowledge, skills and understanding for sustainable economic growth as there are so many variations between countries. What we can conclude though is that future generations of young people will need enhanced mathematical and statistical competency and transferable skills in an increasingly technological and competitive world and that significant investment in education is crucial for long-term economic growth and success.</w:t>
      </w:r>
    </w:p>
    <w:p>
      <w:pPr/>
      <w:r>
        <w:rPr>
          <w:b/>
        </w:rPr>
        <w:t>POSSIBLE 2020:</w:t>
      </w:r>
      <w:r>
        <w:t xml:space="preserve"> Summary, recommendations, and conclusions — https://doi.org/10.4324/9781351047289-6</w:t>
      </w:r>
    </w:p>
    <w:p>
      <w:pPr/>
      <w:r>
        <w:rPr>
          <w:b/>
        </w:rPr>
        <w:t>Shared claim-specific concepts:</w:t>
      </w:r>
      <w:r>
        <w:t xml:space="preserve"> summary, recommendations, develop; EU scope not established. This is a provisional connection, not an outcome finding.</w:t>
      </w:r>
    </w:p>
    <w:p>
      <w:pPr>
        <w:pStyle w:val="SourceNote"/>
      </w:pPr>
      <w:r>
        <w:rPr>
          <w:b/>
        </w:rPr>
        <w:t>Available abstract (not full text):</w:t>
      </w:r>
      <w:r>
        <w:t xml:space="preserve"> Chapter 6 summarizes the study and concludes that the choice of policies made the difference between where Malaysia and Ghana are today. In Ghana’s haste to develop, it misdirected resources; in its initial adoption of a socialist model of economic development, it disrupted the market based economic system which it had inherited from the British and set the economy back many years; in its frequent changes in government, it created an environment that was not conducive for business. Malaysia, by adopting a go-slow approach to development, did not disrupt the economic system it had inherited from the British, and also created an environment that was hospitable for the private sector; by creating institutions that mobilized local resources, it was able to increase growth and reduce poverty. More importantly, Malaysia, by embracing inclusive economic growth, kept the country stable, prevented civil strife, and thereby benefited from continuity in development plans.</w:t>
      </w:r>
    </w:p>
    <w:p>
      <w:pPr/>
      <w:r>
        <w:rPr>
          <w:b/>
        </w:rPr>
        <w:t>POSSIBLE 2020:</w:t>
      </w:r>
      <w:r>
        <w:t xml:space="preserve"> ESCAP practice guidance for autism: a summary of evidence-based recommendations for diagnosis and treatment — https://doi.org/10.1007/s00787-020-01587-4</w:t>
      </w:r>
    </w:p>
    <w:p>
      <w:pPr/>
      <w:r>
        <w:rPr>
          <w:b/>
        </w:rPr>
        <w:t>Shared claim-specific concepts:</w:t>
      </w:r>
      <w:r>
        <w:t xml:space="preserve"> summary, recommendations, information; EU scope visible. This is a provisional connection, not an outcome finding.</w:t>
      </w:r>
    </w:p>
    <w:p>
      <w:pPr>
        <w:pStyle w:val="SourceNote"/>
      </w:pPr>
      <w:r>
        <w:rPr>
          <w:b/>
        </w:rPr>
        <w:t>Available abstract (not full text):</w:t>
      </w:r>
      <w:r>
        <w:t xml:space="preserve"> Across Europe, there is increased awareness of the frequency and importance of autism spectrum disorder (ASD), which is now recognised not only as a childhood disorder but as a heterogeneous, neurodevelopmental condition that persists throughout life. Services for individuals with autism and their families vary widely, but in most European countries, provision is limited. In 2018, European Society of Child and Adolescent Psychiatry (ESCAP) identified the need for a Practice Guidance document that would help to improve knowledge and practice, especially for individuals in underserviced areas. The present document, prepared by the ASD Working Party and endorsed by the ESCAP Board on October 3, 2019, summarises current information on autism and focuses on ways of detecting, diagnosing, and treating this condition.</w:t>
      </w:r>
    </w:p>
    <w:p>
      <w:pPr>
        <w:pStyle w:val="Heading2"/>
      </w:pPr>
      <w:r>
        <w:t>677.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678.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2022:</w:t>
      </w:r>
      <w:r>
        <w:t xml:space="preserve"> Trust in official statistics across Europe: Evidence from two waves of Eurobarometer using multilevel models — https://doi.org/10.3233/sji-220070</w:t>
      </w:r>
    </w:p>
    <w:p>
      <w:pPr/>
      <w:r>
        <w:rPr>
          <w:b/>
        </w:rPr>
        <w:t>Shared claim-specific concepts:</w:t>
      </w:r>
      <w:r>
        <w:t xml:space="preserve"> uses, two; EU scope visible. This is a provisional connection, not an outcome finding.</w:t>
      </w:r>
    </w:p>
    <w:p>
      <w:pPr>
        <w:pStyle w:val="SourceNote"/>
      </w:pPr>
      <w:r>
        <w:rPr>
          <w:b/>
        </w:rPr>
        <w:t>Available abstract (not full text):</w:t>
      </w:r>
      <w:r>
        <w:t xml:space="preserve"> This paper uses data from Eurobarometer for the years 2007 and 2015 to investigate the determinants of trust in official statistics across 28 countries and 2 regions in Europe. Our estimation follows a multilevel modelling approach, which allows us to distinguish within-country and between-country variation in individual trust in official statistics. Our estimation results show that the within-country variation is mainly explained by individual-level statistical literacy and education, as well as occupational status. With respect to the variation between countries, we show that neither the level of GPD nor the index of inequality are important in explaining cross-country variation. Instead, EU membership history, i.e. the ‘acquis communautaire’, is the main macro variable that explains the increase in trust for the official statistics across Europe.</w:t>
      </w:r>
    </w:p>
    <w:p>
      <w:pPr/>
      <w:r>
        <w:rPr>
          <w:b/>
        </w:rPr>
        <w:t>POSSIBLE 2022:</w:t>
      </w:r>
      <w:r>
        <w:t xml:space="preserve"> Evapotranspiration Retrieval Using S-SEBI Model with Landsat-8 Split-Window Land Surface Temperature Products over Two European Agricultural Crops — https://doi.org/10.3390/rs14112723</w:t>
      </w:r>
    </w:p>
    <w:p>
      <w:pPr/>
      <w:r>
        <w:rPr>
          <w:b/>
        </w:rPr>
        <w:t>Shared claim-specific concepts:</w:t>
      </w:r>
      <w:r>
        <w:t xml:space="preserve"> two, energy; EU scope visible. This is a provisional connection, not an outcome finding.</w:t>
      </w:r>
    </w:p>
    <w:p>
      <w:pPr>
        <w:pStyle w:val="SourceNote"/>
      </w:pPr>
      <w:r>
        <w:rPr>
          <w:b/>
        </w:rPr>
        <w:t>Available abstract (not full text):</w:t>
      </w:r>
      <w:r>
        <w:t xml:space="preserve"> Crop evapotranspiration (ET) is a key variable within the global hydrological cycle to account for the irrigation scheduling, water budgeting, and planning of the water resources associated with irrigation in croplands. Remote sensing techniques provide geophysical information at a large spatial scale and over a relatively long time series, and even make possible the retrieval of ET at high spatiotemporal resolutions. The present short study analyzed the daily ET maps generated with the S-SEBI model, adapted to Landsat-8 retrieved land surface temperatures and broadband albedos, at two different crop sites for two consecutive years (2017–2018). Maps of land surface temperatures were determined using Landsat-8 Collection 2 data, after applying the split-window (SW) algorithm proposed for the operational SW product, which will be implemented in the future Collection 3. Preliminary results showed a good agreement with ground reference data for the main surface energy balance fluxes Rn and LE, and for daily ET values, with RMSEs around 50 W/m2 and 0.9 mm/d, respectively, and high correlation coefficient (R2 = 0.72–0.91). The acceptable uncertainties observed when comparing with local ground data were reaffirmed after the regional (spatial resolution of 9 km) comparison with reanalysis data obtained from ERA5-Land model, showing a StDev of 0.9 mm/d, RMSE = 1.1 mm/d, MAE = 0.9 mm/d, </w:t>
      </w:r>
    </w:p>
    <w:p>
      <w:pPr/>
      <w:r>
        <w:rPr>
          <w:b/>
        </w:rPr>
        <w:t>POSSIBLE 2021:</w:t>
      </w:r>
      <w:r>
        <w:t xml:space="preserve"> Modeling and forecasting the spread of COVID-19 with stochastic and deterministic approaches: Africa and Europe — https://doi.org/10.1186/s13662-021-03213-2</w:t>
      </w:r>
    </w:p>
    <w:p>
      <w:pPr/>
      <w:r>
        <w:rPr>
          <w:b/>
        </w:rPr>
        <w:t>Shared claim-specific concepts:</w:t>
      </w:r>
      <w:r>
        <w:t xml:space="preserve"> two, system, first; EU scope visible. This is a provisional connection, not an outcome finding.</w:t>
      </w:r>
    </w:p>
    <w:p>
      <w:pPr>
        <w:pStyle w:val="SourceNote"/>
      </w:pPr>
      <w:r>
        <w:rPr>
          <w:b/>
        </w:rPr>
        <w:t>Available abstract (not full text):</w:t>
      </w:r>
      <w:r>
        <w:t xml:space="preserve"> Using the existing collected data from European and African countries, we present a statistical analysis of forecast of the future number of daily deaths and infections up to 10 September 2020. We presented numerous statistical analyses of collected data from both continents using numerous existing statistical theories. Our predictions show the possibility of the second wave of spread in Europe in the worse scenario and an exponential growth in the number of infections in Africa. The projection of statistical analysis leads us to introducing an extended version of the well-blancmange function to further capture the spread with fractal properties. A mathematical model depicting the spread with nine sub-classes is considered, first converted to a stochastic system, where the existence and uniqueness are presented. Then the model is extended to the concept of nonlocal operators; due to nonlinearity, a modified numerical scheme is suggested and used to present numerical simulations. The suggested mathematical model is able to predict two to three waves of the spread in the near future.</w:t>
      </w:r>
    </w:p>
    <w:p>
      <w:pPr/>
      <w:r>
        <w:rPr>
          <w:b/>
        </w:rPr>
        <w:t>POSSIBLE 2021:</w:t>
      </w:r>
      <w:r>
        <w:t xml:space="preserve"> The 2020 update of the European Seismic Hazard Model - ESHM20: Model Overview — https://doi.org/10.12686/a15</w:t>
      </w:r>
    </w:p>
    <w:p>
      <w:pPr/>
      <w:r>
        <w:rPr>
          <w:b/>
        </w:rPr>
        <w:t>Shared claim-specific concepts:</w:t>
      </w:r>
      <w:r>
        <w:t xml:space="preserve"> two, system, several, design; EU scope visible. This is a provisional connection, not an outcome finding.</w:t>
      </w:r>
    </w:p>
    <w:p>
      <w:pPr>
        <w:pStyle w:val="SourceNote"/>
      </w:pPr>
      <w:r>
        <w:rPr>
          <w:b/>
        </w:rPr>
        <w:t>Available abstract (not full text):</w:t>
      </w:r>
      <w:r>
        <w:t xml:space="preserve"> The 2020 European Seismic Hazard Model (ESHM20) provides an update of the earthquake hazard assessment of the Euro-Mediterranean region. ESHM20 has received funding from the European Union's Horizon 2020 research and innovation programme under grant agreement No.s 730900 of the SERA-Project (www.sera-eu.org). The ESHM20 follows the same principles as the ESHM13, with state-of-the art procedures homogeneously applied for the entire pan-European region, without the country-borders issues. The model was built upon recently compiled datasets (i.e. earthquake catalogues, active faults, ground shaking recordings), information (tectonic and geological) and models (seismogenic sources, ground shaking). A fully probabilistic framework was adopted in the hazard model implementation and all datasets and inputs are fully cross-border harmonized. The newly developed seismogenic source model encompass fully harmonized and cross borders seismogenic sources following the recent national earthquake hazard models. The inherent uncertainties in characterizing the earthquake rupture forecast are handled by a complex logic tree, consisting of two main models (branches): an area source-based model and a hybrid fault-smoothed seismicity model. The ground motion characteristic model is built upon the most complete ground shaking recordings in Europe and aims at capturing the effects of source and atte</w:t>
      </w:r>
    </w:p>
    <w:p>
      <w:pPr/>
      <w:r>
        <w:rPr>
          <w:b/>
        </w:rPr>
        <w:t>POSSIBLE 2020:</w:t>
      </w:r>
      <w:r>
        <w:t xml:space="preserve"> Analysis of crash injury severity on two trans-European transport network corridors in Spain using discrete-choice models and random forests — https://doi.org/10.1080/15389588.2020.1733539</w:t>
      </w:r>
    </w:p>
    <w:p>
      <w:pPr/>
      <w:r>
        <w:rPr>
          <w:b/>
        </w:rPr>
        <w:t>Shared claim-specific concepts:</w:t>
      </w:r>
      <w:r>
        <w:t xml:space="preserve"> two, implications, first, design; EU scope visible. This is a provisional connection, not an outcome finding.</w:t>
      </w:r>
    </w:p>
    <w:p>
      <w:pPr>
        <w:pStyle w:val="SourceNote"/>
      </w:pPr>
      <w:r>
        <w:rPr>
          <w:b/>
        </w:rPr>
        <w:t>Available abstract (not full text):</w:t>
      </w:r>
      <w:r>
        <w:t xml:space="preserve"> Objective: The objective of this paper is to identify the list of crash severity contributing factors and evaluate their impact on multiple-vehicle crashes on two high use Trans-European interurban, freight corridors in Spain (southern Europe): Madrid - Irùn and Barcelona – Almerìa.Methods: We have used both logistic regression and random forests to identify crash severity predictors and estimate their impacts on crash outcomes. Although both statistical methods can provide useful information to help explain the safety implications of highway crashes, using both methods may further enable a more comprehensive understanding of this phenomenon. For this effort, we disaggregated the crash data into different crash types (i.e., head-on, angle, sideswipe and rear-end) and analyzed this data using roadway design elements, driver characteristics, and environmental factors. To identify the most important predictors of crash severity, we used the random forests data mining approach. We then used ordered logit models to estimate the effect of external factors on the severity of each crash type. Finally, we assessed the accuracy of the model estimates using bootstrap sampling.Results: The results of data mining analyses indicated that roadway design factors such as horizontal and vertical curvature, super elevation, and lane and shoulder width are among the most important factors associat</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two, based, first;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Multispectral Models from Bare Soil Composites for Mapping Topsoil Properties over Europe — https://doi.org/10.3390/rs12091369</w:t>
      </w:r>
    </w:p>
    <w:p>
      <w:pPr/>
      <w:r>
        <w:rPr>
          <w:b/>
        </w:rPr>
        <w:t>Shared claim-specific concepts:</w:t>
      </w:r>
      <w:r>
        <w:t xml:space="preserve"> two, system, first, capacity; EU scope visible. This is a provisional connection, not an outcome finding.</w:t>
      </w:r>
    </w:p>
    <w:p>
      <w:pPr>
        <w:pStyle w:val="SourceNote"/>
      </w:pPr>
      <w:r>
        <w:rPr>
          <w:b/>
        </w:rPr>
        <w:t>Available abstract (not full text):</w:t>
      </w:r>
      <w:r>
        <w:t xml:space="preserve"> Reflectance of light across the visible, near-infrared and shortwave infrared (VIS-NIR-SWIR, 0.4–2.5 µm) spectral region is very useful for investigating mineralogical, physical and chemical properties of soils, which can reduce the need for traditional wet chemistry analyses. As many collections of multispectral satellite data are available for environmental studies, a large extent with medium resolution mapping could be benefited from the spectral measurements made from remote sensors. In this paper, we explored the use of bare soil composites generated from the large historical collections of Landsat images for mapping cropland topsoil attributes across the European extent. For this task, we used the Geospatial Soil Sensing System (GEOS3) for generating two bare soil composites of 30 m resolution (named synthetic soil images, SYSI), which were employed to represent the median topsoil reflectance of bare fields. The first (framed SYSI) was made with multitemporal images (2006–2012) framed to the survey time of the Land-Use/Land-Cover Area Frame Survey (LUCAS) soil dataset (2009), seeking to be more compatible to the soil condition upon the sampling campaign. The second (full SYSI) was generated from the full collection of Landsat images (1982–2018), which although displaced to the field survey, yields a higher proportion of bare areas for soil mapping. For evaluating the two </w:t>
      </w:r>
    </w:p>
    <w:p>
      <w:pPr/>
      <w:r>
        <w:rPr>
          <w:b/>
        </w:rPr>
        <w:t>POSSIBLE 2020:</w:t>
      </w:r>
      <w:r>
        <w:t xml:space="preserve"> The making of the New European Wind Atlas – Part 1: Model sensitivity — https://doi.org/10.5194/gmd-13-5053-2020</w:t>
      </w:r>
    </w:p>
    <w:p>
      <w:pPr/>
      <w:r>
        <w:rPr>
          <w:b/>
        </w:rPr>
        <w:t>Shared claim-specific concepts:</w:t>
      </w:r>
      <w:r>
        <w:t xml:space="preserve"> two, several, first, optimal; EU scope visible. This is a provisional connection, not an outcome finding.</w:t>
      </w:r>
    </w:p>
    <w:p>
      <w:pPr>
        <w:pStyle w:val="SourceNote"/>
      </w:pPr>
      <w:r>
        <w:rPr>
          <w:b/>
        </w:rPr>
        <w:t>Available abstract (not full text):</w:t>
      </w:r>
      <w:r>
        <w:t xml:space="preserve"> Abstract. This is the first of two papers that documents the creation of the New European Wind Atlas (NEWA). It describes the sensitivity analysis and evaluation procedures that formed the basis for choosing the final setup of the mesoscale model simulations of the wind atlas. An optimal combination of model setup and parameterisations was found for simulating the climatology of the wind field at turbine-relevant heights with the Weather Research and Forecasting (WRF) model. Initial WRF model sensitivity experiments compared the wind climate generated by using two commonly used planetary boundary layer schemes and were carried out over several regions in Europe. They confirmed that the largest differences in annual mean wind speed at 100 m above ground level mostly coincide with areas of high surface roughness length and not with the location of the domains or maximum wind speed. Then an ensemble of more than 50 simulations with different setups for a single year was carried out for one domain covering Northern Europe, for which tall mast observations were available. Many different parameters were varied across the simulations, for example, model version, forcing data, various physical parameterisations and the size of the model domain. These simulations showed that although virtually every parameter change affects the results in some way, significant changes on the wind climat</w:t>
      </w:r>
    </w:p>
    <w:p>
      <w:pPr>
        <w:pStyle w:val="Heading2"/>
      </w:pPr>
      <w:r>
        <w:t>679.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2023:</w:t>
      </w:r>
      <w:r>
        <w:t xml:space="preserve"> Homopositivity Across Europe: Predictors, Pathways, and Moderators — https://doi.org/10.1007/s10508-023-02531-8</w:t>
      </w:r>
    </w:p>
    <w:p>
      <w:pPr/>
      <w:r>
        <w:rPr>
          <w:b/>
        </w:rPr>
        <w:t>Shared claim-specific concepts:</w:t>
      </w:r>
      <w:r>
        <w:t xml:space="preserve"> pathways, socioeconomic, those; EU scope visible. This is a provisional connection, not an outcome finding.</w:t>
      </w:r>
    </w:p>
    <w:p>
      <w:pPr>
        <w:pStyle w:val="SourceNote"/>
      </w:pPr>
      <w:r>
        <w:rPr>
          <w:b/>
        </w:rPr>
        <w:t>Available abstract (not full text):</w:t>
      </w:r>
      <w:r>
        <w:t xml:space="preserve">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pathways, support, vision;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Protective genes and pathways in Alzheimer’s disease: moving towards precision interventions — https://doi.org/10.1186/s13024-021-00452-5</w:t>
      </w:r>
    </w:p>
    <w:p>
      <w:pPr/>
      <w:r>
        <w:rPr>
          <w:b/>
        </w:rPr>
        <w:t>Shared claim-specific concepts:</w:t>
      </w:r>
      <w:r>
        <w:t xml:space="preserve"> pathways, moving, shift; EU scope not established. This is a provisional connection, not an outcome finding.</w:t>
      </w:r>
    </w:p>
    <w:p>
      <w:pPr>
        <w:pStyle w:val="SourceNote"/>
      </w:pPr>
      <w:r>
        <w:rPr>
          <w:b/>
        </w:rPr>
        <w:t>Available abstract (not full text):</w:t>
      </w:r>
      <w:r>
        <w:t xml:space="preserve"> Alzheimer's disease (AD) is a progressive, neurodegenerative disorder that is characterized by neurodegeneration, cognitive impairment, and an eventual inability to perform daily tasks. The etiology of Alzheimer's is complex, with numerous environmental and genetic factors contributing to the disease. Late-onset AD is highly heritable (60 to 80%), and over 40 risk loci for AD have been identified via large genome-wide association studies, most of which are common variants with small effect sizes. Although these discoveries have provided novel insight on biological contributors to AD, disease-modifying treatments remain elusive. Recently, the concepts of resistance to pathology and resilience against the downstream consequences of pathology have been of particular interest in the Alzheimer's field as studies continue to identify individuals who evade the pathology of the disease even into late life and individuals who have all of the neuropathological features of AD but evade downstream neurodegeneration and cognitive impairment. It has been hypothesized that a shift in focus from Alzheimer's risk to resilience presents an opportunity to uncover novel biological mechanisms of AD and to identify promising therapeutic targets for the disease. This review will highlight a selection of genes and variants that have been reported to confer protection from AD within the literature and </w:t>
      </w:r>
    </w:p>
    <w:p>
      <w:pPr/>
      <w:r>
        <w:rPr>
          <w:b/>
        </w:rPr>
        <w:t>POSSIBLE 2021:</w:t>
      </w:r>
      <w:r>
        <w:t xml:space="preserve"> Marketing Farmers’ Varieties in Europe: Encouraging Pathways with Missing Links for the Recognition and Support of Farmer Seed Systems — https://doi.org/10.3390/agronomy11112159</w:t>
      </w:r>
    </w:p>
    <w:p>
      <w:pPr/>
      <w:r>
        <w:rPr>
          <w:b/>
        </w:rPr>
        <w:t>Shared claim-specific concepts:</w:t>
      </w:r>
      <w:r>
        <w:t xml:space="preserve"> pathways, support, shows; EU scope visible. This is a provisional connection, not an outcome finding.</w:t>
      </w:r>
    </w:p>
    <w:p>
      <w:pPr>
        <w:pStyle w:val="SourceNote"/>
      </w:pPr>
      <w:r>
        <w:rPr>
          <w:b/>
        </w:rPr>
        <w:t>Available abstract (not full text):</w:t>
      </w:r>
      <w:r>
        <w:t xml:space="preserve"> Farmer seed systems come in many shades: Conserving, producing, and using diverse plant material for different motives and purposes, whether the conservation or selection of locally adapted plant varieties and populations, or the safeguard of social bonds to secure economic stability and integration into rural communities. In Europe, strict seed marketing rules, by viewing any exchange of seeds as commercial exploitation, have first outlawed these farmer seed systems and the varieties conserved and developed in these systems, before carving out limited space for them as derogations to the main regime that remains based on mandatory variety registration and certified seed production. Examining these spaces in the legislation of the European Union (‘EU’) and Switzerland, along with their practical implications on the ground, the article shows the conceptual shortcomings of the EU legislation to fully address all the characteristics of farmer seed systems, especially to recognize farmers’ innovation. It exposes the need to carefully define, assess and adjust the underlying objectives of the future EU legislative effort to register farmers’ varieties or allow for their exchange, to fully represent and address the complex socio-economic values and diversity of farmer seed systems. The success of these endeavors will lie in the truthful representation, but also the engagement of farm</w:t>
      </w:r>
    </w:p>
    <w:p>
      <w:pPr/>
      <w:r>
        <w:rPr>
          <w:b/>
        </w:rPr>
        <w:t>POSSIBLE 2021:</w:t>
      </w:r>
      <w:r>
        <w:t xml:space="preserve"> Unraveling pathways of elevated ozone induced by the 2020 lockdown in Europe by an observationally constrained regional model using TROPOMI — https://doi.org/10.5194/acp-21-18227-2021</w:t>
      </w:r>
    </w:p>
    <w:p>
      <w:pPr/>
      <w:r>
        <w:rPr>
          <w:b/>
        </w:rPr>
        <w:t>Shared claim-specific concepts:</w:t>
      </w:r>
      <w:r>
        <w:t xml:space="preserve"> pathways, support, gas, emissions, those; EU scope visible. This is a provisional connection, not an outcome finding.</w:t>
      </w:r>
    </w:p>
    <w:p>
      <w:pPr>
        <w:pStyle w:val="SourceNote"/>
      </w:pPr>
      <w:r>
        <w:rPr>
          <w:b/>
        </w:rPr>
        <w:t>Available abstract (not full text):</w:t>
      </w:r>
      <w:r>
        <w:t xml:space="preserve"> Abstract. Questions about how emissions are changing during the COVID-19 lockdown periods cannot be answered by observations of atmospheric trace gas concentrations alone, in part due to simultaneous changes in atmospheric transport, emissions, dynamics, photochemistry, and chemical feedback. A chemical transport model simulation benefiting from a multi-species inversion framework using well-characterized observations should differentiate those influences enabling to closely examine changes in emissions. This approach has another advantage in that we can, to a certain extent, disentangle the chemical and physical processes involved in the formation of ozone. Accordingly, we jointly constrain NOx and VOC emissions using well-characterized TROPOMI HCHO and NO2 columns during the months of March, April, and May 2020 (lockdown) and 2019 (baseline). We observe a noticeable decline in the magnitude of NOx emissions in March 2020 (14–31 %) in several major cities including Paris, London, Madrid, and Milan expanding further to Rome, Brussels, Frankfurt, Warsaw, Belgrade, Kyiv, and Moscow (34–51 %) in April. The large variability of changes in NOx emissions is indicative of different dates and the degree of restrictions enacted to prevent the spread of the virus. For instance, NOx emissions remain at somewhat similar values or even higher in northern Germany and Moscow in March 2020 com</w:t>
      </w:r>
    </w:p>
    <w:p>
      <w:pPr/>
      <w:r>
        <w:rPr>
          <w:b/>
        </w:rPr>
        <w:t>POSSIBLE 2020:</w:t>
      </w:r>
      <w:r>
        <w:t xml:space="preserve"> NORA moving forward: Developing an oyster restoration network in Europe to support the Berlin Oyster Recommendation — https://doi.org/10.1002/aqc.3447</w:t>
      </w:r>
    </w:p>
    <w:p>
      <w:pPr/>
      <w:r>
        <w:rPr>
          <w:b/>
        </w:rPr>
        <w:t>Shared claim-specific concepts:</w:t>
      </w:r>
      <w:r>
        <w:t xml:space="preserve"> support, moving, enhance; EU scope visible. This is a provisional connection, not an outcome finding.</w:t>
      </w:r>
    </w:p>
    <w:p>
      <w:pPr>
        <w:pStyle w:val="SourceNote"/>
      </w:pPr>
      <w:r>
        <w:rPr>
          <w:b/>
        </w:rPr>
        <w:t>Available abstract (not full text):</w:t>
      </w:r>
      <w:r>
        <w:t xml:space="preserve"> Abstract The Native Oyster Restoration Alliance (NORA) supports the protection and ecological restoration of the native European oyster, Ostrea edulis , and its habitat across its current and historical biogeographical range. NORA works to overcome barriers to the conservation, restoration, and recovery of the European oyster by providing a platform for the NORA community to collaborate and participate in knowledge exchange. NORA seeks to support responsible restoration practice, in compliance with biosecurity and sustainability. Against this background, the NORA community formulated a series of specific recommendations, the Berlin Oyster Recommendation, to support native oyster restoration by developing and applying best practice with the aim to recover healthy and resilient marine ecosystems. In combination with the Standards for Ecological Restoration (SER) and the Restoration Guidelines for Shellfish Reefs, the Berlin Oyster Recommendation is a relevant tool for successful and sustainable oyster restoration in Europe. The establishment of NORA working groups will support the implementation and further development of the six corresponding recommendations. Current NORA working groups cover site selection, biosecurity, production, and monitoring. The site selection working group will address the identification of suitable sites for oyster restoration to support policy relevant</w:t>
      </w:r>
    </w:p>
    <w:p>
      <w:pPr/>
      <w:r>
        <w:rPr>
          <w:b/>
        </w:rPr>
        <w:t>POSSIBLE 2020:</w:t>
      </w:r>
      <w:r>
        <w:t xml:space="preserve"> Moving Toward an Agenda on Ocean Health and Human Health in Europe — https://doi.org/10.3389/fmars.2020.00037</w:t>
      </w:r>
    </w:p>
    <w:p>
      <w:pPr/>
      <w:r>
        <w:rPr>
          <w:b/>
        </w:rPr>
        <w:t>Shared claim-specific concepts:</w:t>
      </w:r>
      <w:r>
        <w:t xml:space="preserve"> moving, actions, well-being; EU scope visible. This is a provisional connection, not an outcome finding.</w:t>
      </w:r>
    </w:p>
    <w:p>
      <w:pPr>
        <w:pStyle w:val="SourceNote"/>
      </w:pPr>
      <w:r>
        <w:rPr>
          <w:b/>
        </w:rPr>
        <w:t>Available abstract (not full text):</w:t>
      </w:r>
      <w:r>
        <w:t xml:space="preserve"> The integrated study of ocean health and human health is an emerging area of increasing global importance. Growing evidences demonstrate that the health of the ocean and the health of humans have always been and will continue to be, inextricably linked. Our actions towards the oceans will significantly influence the future of the whole planet and, in turn, our own health. The current review of these issues arose from a summer school in San Sebastian (Spain), from 5th-7th June, 2019. An interdisciplinary group of researchers discussed key risks (e.g. microbial pollution, pharmaceuticals, harmful algal blooms, plastic pollution) and benefits (e.g. bathing waters, recreation, tourism) of the seas and global ocean for humanity; and debated the future priorities and potential actions for a joint Oceans and Human Health research and governance programme in Europe. The aim of this review is to contribute to the emerging scientific agenda on ocean health and human health, as well as coordinate efforts with stakeholders, policy makers and the general public. This agenda operates within the larger context of the upcoming United Nations Decade of Ocean Science for Sustainable Development: 2021-2030, which strives to achieve the Sustainable Development Goals (SDG), including healthy (human) lives and well-being (SDG3) and conserving and sustainably using the oceans (SDG14), among others. I</w:t>
      </w:r>
    </w:p>
    <w:p>
      <w:pPr>
        <w:pStyle w:val="Heading2"/>
      </w:pPr>
      <w:r>
        <w:t>680.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among, countries, population, between;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countries, between;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On Virtual Mobility in Three Central European Universities: Similar but Different? — https://doi.org/10.22381/kc11320235</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This article examines the patterns and determinants of virtual mobility among students in the social sciences and humanities at three universities in Central Europe: University of Hradec Kralove (HKU) in the Czech Republic, Adam Mickiewicz University, Poznan (AMU) in Poland and Constantine the Philosopher University in Nitra (UKF) in Slovakia. Virtual mobility, a form of international cooperation facilitated by information and communication technologies, has become increasingly important, especially during the COVID-19 pandemic. The study investigates students’ motivation, resources and experiences in this form of mobility. Findings show that a similar percentage of students participated in both physical and virtual mobility across the three universities, with over 60% not participating in any form of mobility. Work experience significantly impacted participation, as students with employment records were likelier to participate. Gender and level of study did not have a significant influence on participation. Noticeable differences in motivation were observed between universities, with students at the AMU demonstrating a higher level of motivation for virtual mobility. The study also revealed differences in students’ perceptions of technical resources and organisational effectiveness for virtual mobility.</w:t>
      </w:r>
    </w:p>
    <w:p>
      <w:pPr/>
      <w:r>
        <w:rPr>
          <w:b/>
        </w:rPr>
        <w:t>POSSIBLE 2022:</w:t>
      </w:r>
      <w:r>
        <w:t xml:space="preserve"> The burden of mental disorders, substance use disorders and self-harm among young people in Europe, 1990–2019: Findings from the Global Burden of Disease Study 2019 — https://doi.org/10.1016/j.lanepe.2022.100341</w:t>
      </w:r>
    </w:p>
    <w:p>
      <w:pPr/>
      <w:r>
        <w:rPr>
          <w:b/>
        </w:rPr>
        <w:t>Shared claim-specific concepts:</w:t>
      </w:r>
      <w:r>
        <w:t xml:space="preserve"> findings, among, countries, population; EU scope visible. This is a provisional connection, not an outcome finding.</w:t>
      </w:r>
    </w:p>
    <w:p>
      <w:pPr>
        <w:pStyle w:val="SourceNote"/>
      </w:pPr>
      <w:r>
        <w:rPr>
          <w:b/>
        </w:rPr>
        <w:t>Available abstract (not full text):</w:t>
      </w:r>
      <w:r>
        <w:t xml:space="preserve"> Background: Mental health is a public health issue for European young people, with great heterogeneity in resource allocation. Representative population-based studies are needed. The Global Burden of Disease (GBD) Study 2019 provides internationally comparable information on trends in the health status of populations and changes in the leading causes of disease burden over time. Methods: Prevalence, incidence, Years Lived with Disability (YLDs) and Years of Life Lost (YLLs) from mental disorders (MDs), substance use disorders (SUDs) and self-harm were estimated for young people aged 10-24 years in 31 European countries. Rates per 100,000 population, percentage changes in 1990-2019, 95% Uncertainty Intervals (UIs), and correlations with Sociodemographic Index (SDI), were estimated. Findings: In 2019, rates per 100,000 population were 16,983 (95% UI 12,823 - 21,630) for MDs, 3,891 (3,020 - 4,905) for SUDs, and 89·1 (63·8 - 123·1) for self-harm. In terms of disability, anxiety contributed to 647·3 (432-912·3) YLDs, while in terms of premature death, self-harm contributed to 319·6 (248·9-412·8) YLLs, per 100,000 population. Over the 30 years studied, YLDs increased in eating disorders (14·9%;9·4-20·1) and drug use disorders (16·9%;8·9-26·3), and decreased in idiopathic developmental intellectual disability (-29·1%;23·8-38·5). YLLs decreased in self-harm (-27·9%;38·3-18·7). Variatio</w:t>
      </w:r>
    </w:p>
    <w:p>
      <w:pPr/>
      <w:r>
        <w:rPr>
          <w:b/>
        </w:rPr>
        <w:t>POSSIBLE 2022:</w:t>
      </w:r>
      <w:r>
        <w:t xml:space="preserve"> Oral health and quality of life: findings from the Survey of Health, Ageing and Retirement in Europe — https://doi.org/10.1186/s12903-022-02599-z</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BACKGROUND: The aim of this study was to clarify the link between oral health and quality of life among older adults in Europe. METHODS: Cross-sectional data from wave 5 (n = 59,048 observations) were used from the representative Survey of Health, Ageing and Retirement in Europe. Oral health was quantified by three questions: presence of all natural teeth (yes; no); among individuals with missing natural teeth, the number of missing teeth and the extent of replaced natural teeth were quantified. Quality of life was quantified using the widely used CASP-12. Multiple linear regressions were used to determine the association between oral health and quality of life, adjusting for various potential confounders. RESULTS: Multiple linear regressions showed that higher quality of life was associated with (1) the presence of all natural teeth and among individuals with missing natural teeth, with (2) a lower number of missing natural teeth and (3) completely replaced natural teeth. Additionally, quality of life was positively associated with younger age, being female, being married or in a partnership, higher income, higher educational level, not currently smoking, a lower number of functional impairments, better self-rated health, a lower number of depressive symptoms and a lower number of chronic diseases. CONCLUSION: Study findings showed an association between oral health and qualit</w:t>
      </w:r>
    </w:p>
    <w:p>
      <w:pPr/>
      <w:r>
        <w:rPr>
          <w:b/>
        </w:rPr>
        <w:t>POSSIBLE 2021:</w:t>
      </w:r>
      <w:r>
        <w:t xml:space="preserve"> Digital Inequality Among States at a European Level — https://doi.org/10.4018/ijdldc.291969</w:t>
      </w:r>
    </w:p>
    <w:p>
      <w:pPr/>
      <w:r>
        <w:rPr>
          <w:b/>
        </w:rPr>
        <w:t>Shared claim-specific concepts:</w:t>
      </w:r>
      <w:r>
        <w:t xml:space="preserve"> findings, among, three, identifies, countries; EU scope visible. This is a provisional connection, not an outcome finding.</w:t>
      </w:r>
    </w:p>
    <w:p>
      <w:pPr>
        <w:pStyle w:val="SourceNote"/>
      </w:pPr>
      <w:r>
        <w:rPr>
          <w:b/>
        </w:rPr>
        <w:t>Available abstract (not full text):</w:t>
      </w:r>
      <w:r>
        <w:t xml:space="preserve"> For the past 25 years, digital inequalities have been analyzed by several scholars. Many empirical studies have shaped a theoretical framework that identifies three main digital divides. However, most of the scientific contributions have been focusing on digital inequalities within countries, leaving inequalities among countries behind. This paper aims at analyzing what kind of digital inequalities emerge among European countries, focusing on the trends that characterized Europe in the last decade, to consider whether some of the main elements of the digital divide literature replicate at the continental level. The paper analyzes secondary data, mainly retrieved from Eurostat. It emerges that inequalities in digital skills and use of the web persist in Europe, and some of the trends that scholars found among individuals are identifiable among countries as well. These findings contribute to the description of digital inequalities, a social phenomenon not so deeply studied at the continental level.</w:t>
      </w:r>
    </w:p>
    <w:p>
      <w:pPr/>
      <w:r>
        <w:rPr>
          <w:b/>
        </w:rPr>
        <w:t>POSSIBLE 2021:</w:t>
      </w:r>
      <w:r>
        <w:t xml:space="preserve"> Seroprevalence of SARS-CoV-2 IgG antibodies among health care workers prior to vaccine administration in Europe, the USA and East Asia: A systematic review and meta-analysis — https://doi.org/10.1016/j.eclinm.2021.100770</w:t>
      </w:r>
    </w:p>
    <w:p>
      <w:pPr/>
      <w:r>
        <w:rPr>
          <w:b/>
        </w:rPr>
        <w:t>Shared claim-specific concepts:</w:t>
      </w:r>
      <w:r>
        <w:t xml:space="preserve"> findings, among, three, countries, considered; EU scope visible. This is a provisional connection, not an outcome finding.</w:t>
      </w:r>
    </w:p>
    <w:p>
      <w:pPr>
        <w:pStyle w:val="SourceNote"/>
      </w:pPr>
      <w:r>
        <w:rPr>
          <w:b/>
        </w:rPr>
        <w:t>Available abstract (not full text):</w:t>
      </w:r>
      <w:r>
        <w:t xml:space="preserve"> BACKGROUND: Knowing the seroprevalence of SARS-CoV-2 IgG antibodies across geographic regions before vaccine administration is one key piece of knowledge to achieve herd immunity. While people of all ages, occupations, and communities are at risk of getting infected with SARS-CoV-2, the health care workers (HCWs) are possibly at the highest risk. Most seroprevalence surveys with HCWs conducted worldwide have been limited to Europe, North America, and East Asia. We aimed to understand how the seroprevalence of SARS-CoV-2 IgG antibodies varied across these geographic regions among HCWs based on the available evidences. METHODS: statistics. We performed sensitivity analyses based on sample size, diagnostic method and publication status. The study protocol was registered with PROSPERO (CRD42020219086). FINDINGS: A total of 53 peer-reviewed articles were selected, including 173,353 HCWs (32.7% male) from the United States, ten European, and three East Asian countries. The overall seropositive prevalence rate of IgG antibodies was 8.6% in these regions (95% CI= 7.2-9.9%). Pooled seroprevalence of IgG antibodies was higher in studies conducted in the USA (12.4%, 95% CI= 7.8-17%) than in Europe (7.7%, 95% CI=6.3-9.2%) and East Asia (4.8%, 95% CI=2.9-6.7%). The subgroup study also estimated that male HCWs had 9.4% (95% CI= 7.2-11.6%) IgG seroconversion, and female HCWs had 7.8% (95% CI=</w:t>
      </w:r>
    </w:p>
    <w:p>
      <w:pPr/>
      <w:r>
        <w:rPr>
          <w:b/>
        </w:rPr>
        <w:t>POSSIBLE 2020:</w:t>
      </w:r>
      <w:r>
        <w:t xml:space="preserve"> How Many Older Informal Caregivers Are There in Europe? Comparison of Estimates of Their Prevalence from Three European Surveys — https://doi.org/10.3390/ijerph17249531</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Informal caregivers are people providing some type of unpaid, ongoing assistance to a person with a chronic illness or disability. Long-term care measures and policies cannot take place without taking into account the quantitatively crucial role played by informal caregivers. We use the European Health Interview Survey (EHIS), the European Quality of Life Survey (EQLS), and the Study on Health and Ageing in Europe (SHARE) to measure the prevalence of informal caregivers in the European population, and analyze associated socio-demographic factors. This rate ranges between about 13 percent in Portugal and Spain, and more than 22 percent in Luxembourg, Belgium, and Denmark. It declines in older age groups and, on average, is lower in men than in women in all countries studied, and lower among the poorly educated compared to those with higher levels of education. However, large variance was observed in the average share of informal caregivers for most countries between the three surveys. Our findings, estimated through the three surveys, reveal common trends, but also a series of disparities. Additional research will be needed to enable policy makers to access a richer and more harmonized body of data, allowing them to adopt truly evidence-based and targeted policies and interventions in this field.</w:t>
      </w:r>
    </w:p>
    <w:p>
      <w:pPr/>
      <w:r>
        <w:rPr>
          <w:b/>
        </w:rPr>
        <w:t>POSSIBLE 2020:</w:t>
      </w:r>
      <w:r>
        <w:t xml:space="preserve"> Physical Inactivity among Ghanaians in Ghana and Ghanaian Migrants in Europe — https://doi.org/10.1249/mss.0000000000002357</w:t>
      </w:r>
    </w:p>
    <w:p>
      <w:pPr/>
      <w:r>
        <w:rPr>
          <w:b/>
        </w:rPr>
        <w:t>Shared claim-specific concepts:</w:t>
      </w:r>
      <w:r>
        <w:t xml:space="preserve"> findings, among, three; EU scope visible. This is a provisional connection, not an outcome finding.</w:t>
      </w:r>
    </w:p>
    <w:p>
      <w:pPr>
        <w:pStyle w:val="SourceNote"/>
      </w:pPr>
      <w:r>
        <w:rPr>
          <w:b/>
        </w:rPr>
        <w:t>Available abstract (not full text):</w:t>
      </w:r>
      <w:r>
        <w:t xml:space="preserve"> PURPOSE: There is a paucity of data on physical activity (PA) among migrants from sub-Saharan Africa, yet physical inactivity is a key risk factor for noncommunicable diseases. We examined the levels of physical inactivity and its determinants among Ghanaians in different geographical locations. METHODS: We used the Research on Obesity and Diabetes among African Migrants data of Ghanaian adults (n = 4760) age 25-70 yr in rural and urban Ghana and three European cities (Amsterdam, London, and Berlin). Using total physical activity metabolic equivalent of task, physical inactivity was defined as total physical activity metabolic equivalent of task minutes per week less than 600. Logistic regression was used to examine the differences in the levels and the determinants of physical inactivity across sites. RESULTS: Physical inactivity was higher among Ghanaian migrants (14.6% in Amsterdam, 24.1% in Berlin, and 36.6% in London) and urban Ghanaians (29.0%) compared with rural Ghanaians (11.2%). After adjustment for covariates (age, sex, education, health status, smoking status, body mass index, and social network) using rural Ghanaians as the comparator group, the odds ratios for physical inactivity in men ranged from 3.67 (95% confidence interval, 2.19-6.16) in urban Ghanaians to 10.37 (5.96-18.02) in London Ghanaians, and from 3.27 (2.46-4.35) in urban Ghanaians to 4.41 (3.12-6.22)</w:t>
      </w:r>
    </w:p>
    <w:p>
      <w:pPr>
        <w:pStyle w:val="Heading2"/>
      </w:pPr>
      <w:r>
        <w:t>681.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2021:</w:t>
      </w:r>
      <w:r>
        <w:t xml:space="preserve"> Fiscal Policy, Consumption and Current Account in the European Countries — https://doi.org/10.5281/zenodo.4686796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This paper explores the relationship between fiscal deficit, trade deficit and private consumption in European countries in the years 1970-2010. The aim of the study is to test empirically the validity and rationale of the Keynesian proposition (conventional view or Twin Deficits hypothesis) and the Ricardian Equivalence hypothesis, as well as to analyze the relationship between fiscal policy and private consumption. The empirical findings of our study show mixed results. In fact, static panel data estimates suggest that a one per cent increase in fiscal deficit/GDP ratio tends to deteriorate the current account/GDP ratio of 0.21 per cent, although it increases the private consumption of 0.21 per cent. Furthermore, the dynamic estimates largely depend on the estimator chosen, since the GMM-Dif estimates show a significant effect of fiscal deficit both on trade balance and on private consumption, in line with TD hypothesis; on the contrary, GMM-Sys estimator suggests that these effects are irrelevant, supporting RE hypothesis. With regard to the former estimates, we observed that each euro rise in fiscal deficit is associated, on average, with a 22 cents decline in the current account, while the estimated rise in private consumption is smaller (11 cents). Finally, Granger causality tests show mixed results.</w:t>
      </w:r>
    </w:p>
    <w:p>
      <w:pPr/>
      <w:r>
        <w:rPr>
          <w:b/>
        </w:rPr>
        <w:t>POSSIBLE 2020:</w:t>
      </w:r>
      <w:r>
        <w:t xml:space="preserve"> European bird declines: Do we need to rethink approaches to the management of abundant generalist predators? — https://doi.org/10.1111/1365-2664.13695</w:t>
      </w:r>
    </w:p>
    <w:p>
      <w:pPr/>
      <w:r>
        <w:rPr>
          <w:b/>
        </w:rPr>
        <w:t>Shared claim-specific concepts:</w:t>
      </w:r>
      <w:r>
        <w:t xml:space="preserve"> current, decline, however, not; EU scope visible. This is a provisional connection, not an outcome finding.</w:t>
      </w:r>
    </w:p>
    <w:p>
      <w:pPr>
        <w:pStyle w:val="SourceNote"/>
      </w:pPr>
      <w:r>
        <w:rPr>
          <w:b/>
        </w:rPr>
        <w:t>Available abstract (not full text):</w:t>
      </w:r>
      <w:r>
        <w:t xml:space="preserve"> Abstract Bird species are declining across Europe. Current European policy, that is, the Birds and Habitats Directives, focus on habitat management as a way of halting the declines. This paper explores the role of predation in causing bird population declines and asks if we need to reconsider our approach to the management of generalist predators. We analysed bird population trends and distribution changes across Europe, Britain and Ireland, reflecting an increasing gradient of generalist predator abundance (principally red fox Vulpes vulpes and species of the family Corvidae). We tested if ground‐nesting bird species, considered more vulnerable to predation, were in greater decline compared to other nesting strategies. We also compared Annex I designated species to non‐designated species as a proxy for habitat management. We found that across Europe, 74% of ground‐nesting bird species were in decline, compared to 41% of other species. This was especially evident in Britain, where the pattern was 66% compared to 31%, and in Ireland, 71% compared to 20%. Ground‐nesting species were significantly more likely to be declining than other species. These patterns are consistent with the idea that population declines are at least partially related to the increased abundance of generalist predators. In Britain, ground‐nesting species were less likely to be in decline if covered by Annex</w:t>
      </w:r>
    </w:p>
    <w:p>
      <w:pPr/>
      <w:r>
        <w:rPr>
          <w:b/>
        </w:rPr>
        <w:t>POSSIBLE 2020:</w:t>
      </w:r>
      <w:r>
        <w:t xml:space="preserve"> Poland as the country with the steepest decline in per capita cigarette consumption in Europe — https://doi.org/10.18332/tpc/128479</w:t>
      </w:r>
    </w:p>
    <w:p>
      <w:pPr/>
      <w:r>
        <w:rPr>
          <w:b/>
        </w:rPr>
        <w:t>Shared claim-specific concepts:</w:t>
      </w:r>
      <w:r>
        <w:t xml:space="preserve"> average, decline, number; EU scope visible. This is a provisional connection, not an outcome finding.</w:t>
      </w:r>
    </w:p>
    <w:p>
      <w:pPr>
        <w:pStyle w:val="SourceNote"/>
      </w:pPr>
      <w:r>
        <w:rPr>
          <w:b/>
        </w:rPr>
        <w:t>Available abstract (not full text):</w:t>
      </w:r>
      <w:r>
        <w:t xml:space="preserve"> Background In recent years, we have seen the publication of several large studies and surveys allowing us to trace the changes in the exposure of European populations to tobacco. These included a publication on tobacco smoking in the European Union1, a Global Burden of Disease analysis2 and estimates of cigarette consumption for 713. Objectives To summarise the existing state of knowledge on cigarette consumption and smoking prevalence in European countries. To explore and analyse in-depth the case of Poland. Methods A ranking table and analysis of cigarette consumption and smoking prevalence in European countries between 1970 and 2015 were prepared. Results In the early 1990s, during political change in Eastern Europe, Poland had the highest per capita cigarette consumption in Europe (almost 4000 per annum) one of the highest smoking prevalence levels in the world (70% in men and 30% in women). After introducing wide-ranging tobacco control measures, Poland experienced a steady decline in cigarette consumption and smoking prevalence. The pace of decline in the number of cigarettes consumed per capita per annum was fastest in Poland and reached less than 1500 cigarettes per capita per annum in 2015. Currently, Poland is an average European country when it comes to smoking rates, with a prevalence of 26% in men and 17% in women. Conclusions The case of Poland illustrates that ap</w:t>
      </w:r>
    </w:p>
    <w:p>
      <w:pPr/>
      <w:r>
        <w:rPr>
          <w:b/>
        </w:rPr>
        <w:t>POSSIBLE 2020:</w:t>
      </w:r>
      <w:r>
        <w:t xml:space="preserve"> Smoking epidemic in Europe in the 21st century — https://doi.org/10.1136/tobaccocontrol-2020-055658</w:t>
      </w:r>
    </w:p>
    <w:p>
      <w:pPr/>
      <w:r>
        <w:rPr>
          <w:b/>
        </w:rPr>
        <w:t>Shared claim-specific concepts:</w:t>
      </w:r>
      <w:r>
        <w:t xml:space="preserve"> average, decline, reach; EU scope visible. This is a provisional connection, not an outcome finding.</w:t>
      </w:r>
    </w:p>
    <w:p>
      <w:pPr>
        <w:pStyle w:val="SourceNote"/>
      </w:pPr>
      <w:r>
        <w:rPr>
          <w:b/>
        </w:rPr>
        <w:t>Available abstract (not full text):</w:t>
      </w:r>
      <w:r>
        <w:t xml:space="preserve"> OBJECTIVE: To estimate smoking-attributable mortality in the long-term future in 29 European countries using a novel data-driven forecasting approach that integrates the wave pattern of the smoking epidemic and the cohort dimension. METHODS: We estimated and forecasted age-specific and age-standardised smoking-attributable mortality fractions (SAMF) and 95% projection intervals for 29 European countries by sex, 1950-2100, using age-period-cohort modelling with a generalised logit link function. We projected the (decelerating) period increases (women) by a quadratic curve to obtain future declines, and extrapolated the past period decline (men). In addition, we extrapolated the recent cohort trend. RESULTS: SAMF among men are projected to decline from, on average, 25% in 2014 (11% (Sweden)-41% (Hungary)) to 11% in 2040 (range: 6.3%-15.4%), 7% in 2065 (range: 5.9%-9.4%) and 6% in 2100. SAMF among women in 21 non-Eastern European countries, currently at an average of 16%, are projected to reach peak levels in 2013 (Northern Europe), 2019 (Western Europe), 2027 (Greece, Italy) and 2022 (Central Europe), with maximum levels of, on average, 17% (8% (Greece)-28% (Denmark)), and to decline to 10% in 2040 (range: 4%-20%), 5% in 2065 (range: 3.5%-7.6%) and 4% in 2100. For women, a short-term shift in the peak of the inverse U-shaped age pattern to higher ages is projected, and crossovers</w:t>
      </w:r>
    </w:p>
    <w:p>
      <w:pPr/>
      <w:r>
        <w:rPr>
          <w:b/>
        </w:rPr>
        <w:t>POSSIBLE 2020:</w:t>
      </w:r>
      <w:r>
        <w:t xml:space="preserve"> Decline of depressive symptoms in Europe: differential trends across the lifespan — https://doi.org/10.1007/s00127-020-01979-6</w:t>
      </w:r>
    </w:p>
    <w:p>
      <w:pPr/>
      <w:r>
        <w:rPr>
          <w:b/>
        </w:rPr>
        <w:t>Shared claim-specific concepts:</w:t>
      </w:r>
      <w:r>
        <w:t xml:space="preserve"> decline, however, not; EU scope visible. This is a provisional connection, not an outcome finding.</w:t>
      </w:r>
    </w:p>
    <w:p>
      <w:pPr>
        <w:pStyle w:val="SourceNote"/>
      </w:pPr>
      <w:r>
        <w:rPr>
          <w:b/>
        </w:rPr>
        <w:t>Available abstract (not full text):</w:t>
      </w:r>
      <w:r>
        <w:t xml:space="preserve"> PURPOSE: We examined changes in the burden of depressive symptoms between 2006 and 2014 in 18 European countries across different age groups. METHODS: We used population-based data drawn from the European Social Survey (N = 64.683, 54% female, age 14-90 years) covering 18 countries (Austria, Belgium, Denmark, Estonia, Finland, France, Germany, Great Britain, Hungary, Ireland, The Netherlands, Norway, Poland, Portugal, Slovenia, Spain, Sweden, Switzerland) from 2006 to 2014. Depressive symptoms were measured via the CES-D 8. Generalized additive models, multilevel regression, and linear regression analyses were conducted. RESULTS: We found a general decline in CES-D 8 scale scores in 2014 as compared with 2006, with only few exceptions in some countries. This decline was most strongly pronounced in older adults, less strongly in middle-aged adults, and least in young adults. Including education, health and income partially explained the decline in older but not younger or middle-aged adults. CONCLUSIONS: Burden of depressive symptoms decreased in most European countries between 2006 and 2014. However, the decline in depressive symptoms differed across age groups and was most strongly pronounced in older adults and least in younger adults. Future studies should investigate the mechanisms that contribute to these overall and differential changes over time in depressive symptoms.</w:t>
      </w:r>
    </w:p>
    <w:p>
      <w:pPr>
        <w:pStyle w:val="Heading2"/>
      </w:pPr>
      <w:r>
        <w:t>682.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2022:</w:t>
      </w:r>
      <w:r>
        <w:t xml:space="preserve"> role of trade unions in sport - the essence, features and perspectives — https://doi.org/10.12775/jehs.2022.12.10.009</w:t>
      </w:r>
    </w:p>
    <w:p>
      <w:pPr/>
      <w:r>
        <w:rPr>
          <w:b/>
        </w:rPr>
        <w:t>Shared claim-specific concepts:</w:t>
      </w:r>
      <w:r>
        <w:t xml:space="preserve"> taking, trade, perspective; EU scope visible. This is a provisional connection, not an outcome finding.</w:t>
      </w:r>
    </w:p>
    <w:p>
      <w:pPr>
        <w:pStyle w:val="SourceNote"/>
      </w:pPr>
      <w:r>
        <w:rPr>
          <w:b/>
        </w:rPr>
        <w:t>Available abstract (not full text):</w:t>
      </w:r>
      <w:r>
        <w:t xml:space="preserve"> Trade unions play an important role in organizing activities in the field of labour law, although some representatives of the doctrine believe that the ruling powers of trade unions are in fact administrative in nature. The role of trade unions is important in all sectors of the economy, including sports. In many European countries, trade unions in sport play a key role in ensuring that players’ right are respected. The potential of trade unions in Poland is still not fully used. The aim of this article is to analyse the role of trade unions in sport by determining their features and perspectives, in particular taking into account the extension of the subjective scope of the coalition right after the amendment to the Trade Unions Act. The deliberations will lead to an answer to the question: Is it finally time for trade unions in the professional sport sector or is it still a distant perspective? The article uses the dogmatic and legal method, and also indicates foreign solutions in relation to the comparative method. The considerations present legal solutions in the USA, England and the Netherlands. The deliberations concern both labor law and sports law. The main conclusion from the conducted research is that there are formal and legal possibilities for trade unions to play a more important role in the medium and long term, however, there is no specific entity or group of ent</w:t>
      </w:r>
    </w:p>
    <w:p>
      <w:pPr/>
      <w:r>
        <w:rPr>
          <w:b/>
        </w:rPr>
        <w:t>POSSIBLE 2021:</w:t>
      </w:r>
      <w:r>
        <w:t xml:space="preserve"> Perspectives on Trade and Structural Transformation — https://doi.org/10.3386/w28720</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macro-models to advance our understanding of structural change.</w:t>
      </w:r>
    </w:p>
    <w:p>
      <w:pPr/>
      <w:r>
        <w:rPr>
          <w:b/>
        </w:rPr>
        <w:t>POSSIBLE 2019:</w:t>
      </w:r>
      <w:r>
        <w:t xml:space="preserve"> European antiquities trade: a refuge for money laundering and terrorism financing — https://doi.org/10.1108/jmlc-09-2017-0051</w:t>
      </w:r>
    </w:p>
    <w:p>
      <w:pPr/>
      <w:r>
        <w:rPr>
          <w:b/>
        </w:rPr>
        <w:t>Shared claim-specific concepts:</w:t>
      </w:r>
      <w:r>
        <w:t xml:space="preserve"> taking, trade, implications; EU scope visible. This is a provisional connection, not an outcome finding.</w:t>
      </w:r>
    </w:p>
    <w:p>
      <w:pPr>
        <w:pStyle w:val="SourceNote"/>
      </w:pPr>
      <w:r>
        <w:rPr>
          <w:b/>
        </w:rPr>
        <w:t>Available abstract (not full text):</w:t>
      </w:r>
      <w:r>
        <w:t xml:space="preserve"> Purpose This paper aims to demonstrate how criminals launder money in the antiquities trade in Austria, Germany, Liechtenstein and Switzerland. Design/methodology/approach A qualitative content analysis of 58 semi-structured expert interviews with both criminals and prevention experts and a quantitative survey of 184 compliance officers revealed the concrete techniques used to launder money in the European antiquities trade. Findings The antiquities market facilitates the placement, layering and integration of the transfer of assets to terrorist organizations. Most importantly, it is among the few profitable methods of laundering money. Research limitations/implications As the findings of the qualitative study are based on semi-standardized interviews, they are limited to the 58 interviewees’ perspectives. Practical implications The identification of concrete methods of money laundering and terrorism financing aims to provide compliance officers, law enforcement agencies and legislators with valuable insight into criminal activity. Originality/value While the existing literature focuses on organizations fighting money laundering and the financing of terrorism, this study instead describes how criminals avoid detection by taking into account prevention and criminal perspectives.</w:t>
      </w:r>
    </w:p>
    <w:p>
      <w:pPr/>
      <w:r>
        <w:rPr>
          <w:b/>
        </w:rPr>
        <w:t>POSSIBLE 2019:</w:t>
      </w:r>
      <w:r>
        <w:t xml:space="preserve"> Europe avoids conflicts with trading partners; Germany avoids a hard landing — https://doi.org/10.4324/9780429054006-28</w:t>
      </w:r>
    </w:p>
    <w:p>
      <w:pPr/>
      <w:r>
        <w:rPr>
          <w:b/>
        </w:rPr>
        <w:t>Shared claim-specific concepts:</w:t>
      </w:r>
      <w:r>
        <w:t xml:space="preserve"> taking, trade, perspective, current; EU scope visible. This is a provisional connection, not an outcome finding.</w:t>
      </w:r>
    </w:p>
    <w:p>
      <w:pPr>
        <w:pStyle w:val="SourceNote"/>
      </w:pPr>
      <w:r>
        <w:rPr>
          <w:b/>
        </w:rPr>
        <w:t>Available abstract (not full text):</w:t>
      </w:r>
      <w:r>
        <w:t xml:space="preserve"> The current eurozone is doomed to maintain high trade and current account surpluses, which will provoke currency and trade wars. This situation, difficult or impossible to resolve within the eurozone, will be able to resolve itself automatically after a return to national currencies. This chapter examines this question from the German perspective as well, as Germany’s current account surplus constitutes the bulk of the eurozone surplus. If Germany itself doesn’t manage to reduce this surplus in a controlled fashion, sooner or later it will happen as a result of changes in its trading partners’ policies or a global economic slowdown. In that case, the German economy may face a hard landing – a recession and growth in unemployment. The authors argue that the proposed strategy for a controlled dismantling of the eurozone will allow Germany to solve the problem of its persistent trade surpluses in a way that’s much gentler and safer than other potential methods. Taking into account the dangerous consequences of a potential crisis in Germany, a safe resolution of German surplus problem is in the interest of the entire European Union.</w:t>
      </w:r>
    </w:p>
    <w:p>
      <w:pPr>
        <w:pStyle w:val="Heading2"/>
      </w:pPr>
      <w:r>
        <w:t>683.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r>
        <w:rPr>
          <w:b/>
        </w:rPr>
        <w:t>POSSIBLE 2023:</w:t>
      </w:r>
      <w:r>
        <w:t xml:space="preserve"> Using Registration Data to Measure International and Internal Migration in the European Union: S. Makaryan — https://doi.org/10.1007/978-3-031-19631-7_41</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Mapping and modelling the main determinants of Migration Flows at the NUTS2 Level in European Union using Spatial Data Analysis Techniques — https://doi.org/10.2478/mmcks-2023-0032</w:t>
      </w:r>
    </w:p>
    <w:p>
      <w:pPr/>
      <w:r>
        <w:rPr>
          <w:b/>
        </w:rPr>
        <w:t>Shared claim-specific concepts:</w:t>
      </w:r>
      <w:r>
        <w:t xml:space="preserve"> data, migration, flows, between, international, countries; EU scope visible. This is a provisional connection, not an outcome finding.</w:t>
      </w:r>
    </w:p>
    <w:p>
      <w:pPr>
        <w:pStyle w:val="SourceNote"/>
      </w:pPr>
      <w:r>
        <w:rPr>
          <w:b/>
        </w:rPr>
        <w:t>Available abstract (not full text):</w:t>
      </w:r>
      <w:r>
        <w:t xml:space="preserve"> Abstract Spatial data analysis approaches have grown in popularity in recent years as there has been an increased interest in studying migration at the regional level. We employed in our analysis the Nomenclature of Territorial Units for Statistics (NUTS) level, which offers a more thorough view of migratory patterns inside a nation as well as among EU countries.Using spatial data analytic tools, this research aims to investigate the key determinants of international migration at the NUTS2 level. Using data from the Eurostat database, we undertake an extensive analysis of migration movements in a sample of European Union countries. We apply spatial econometric models to examine the relationship between crude rate migration and other relevant variables as independent variables. Although the available data at the NUTS2 level of regional ranking are limited, we believe that we included the most comprehensive set of relevant variables in our analysis.Our study contributes to the existing literature on migration determinants by highlighting the importance of spatial analysis techniques in understanding migration factors at the NUTS2 level.</w:t>
      </w:r>
    </w:p>
    <w:p>
      <w:pPr/>
      <w:r>
        <w:rPr>
          <w:b/>
        </w:rPr>
        <w:t>POSSIBLE 2023:</w:t>
      </w:r>
      <w:r>
        <w:t xml:space="preserve"> Migration Practices in Europe: Economic and Cultural Factors — https://doi.org/10.22146/ijg.82169</w:t>
      </w:r>
    </w:p>
    <w:p>
      <w:pPr/>
      <w:r>
        <w:rPr>
          <w:b/>
        </w:rPr>
        <w:t>Shared claim-specific concepts:</w:t>
      </w:r>
      <w:r>
        <w:t xml:space="preserve"> data, migration, objective, countries; EU scope visible. This is a provisional connection, not an outcome finding.</w:t>
      </w:r>
    </w:p>
    <w:p>
      <w:pPr>
        <w:pStyle w:val="SourceNote"/>
      </w:pPr>
      <w:r>
        <w:rPr>
          <w:b/>
        </w:rPr>
        <w:t>Available abstract (not full text):</w:t>
      </w:r>
      <w:r>
        <w:t xml:space="preserve"> This research aimed to identify the economic and cultural factors of migration in Europe within the context of contemporary economic and social realities. To achieve the research objective, a comprehensive multi-stage research project was developed and implemented, incorporating the advantages of statistical analysis, monitoring, rating and summary statistics. The research relied on harmonized and validated statistical data from 48 European countries, divided into four sub-regions, serving as the informational foundation for the study. Using summary statistics on migration factors in the context of economic and cultural factors made it possible to demonstrate the importance of considering cultural human rights in the country’s migration policy. An interpretation of migration practices in Europe by this means enables us to highlight the cultural context as a determining indicator, based on an analysis of objective indicators in the development of migration processes. Furthermore, the study shows that the high quality of life and cultural attractiveness of the national policy stimulates the migration intentions of a person to seek out countries with more developed economies.The findings of this study hold relevance for policymakers and specialists in public administration, particularly those involved in the regulation and control of migration. Additionally, academic researchers c</w:t>
      </w:r>
    </w:p>
    <w:p>
      <w:pPr/>
      <w:r>
        <w:rPr>
          <w:b/>
        </w:rPr>
        <w:t>POSSIBLE 2022:</w:t>
      </w:r>
      <w:r>
        <w:t xml:space="preserve"> Searching for migration: estimating Japanese migration to Europe with Google Trends data — https://doi.org/10.1007/s11135-022-01560-0</w:t>
      </w:r>
    </w:p>
    <w:p>
      <w:pPr/>
      <w:r>
        <w:rPr>
          <w:b/>
        </w:rPr>
        <w:t>Shared claim-specific concepts:</w:t>
      </w:r>
      <w:r>
        <w:t xml:space="preserve"> data, used, migration, flows, predictions; EU scope visible. This is a provisional connection, not an outcome finding.</w:t>
      </w:r>
    </w:p>
    <w:p>
      <w:pPr>
        <w:pStyle w:val="SourceNote"/>
      </w:pPr>
      <w:r>
        <w:rPr>
          <w:b/>
        </w:rPr>
        <w:t>Available abstract (not full text):</w:t>
      </w:r>
      <w:r>
        <w:t xml:space="preserve"> In recent research, Google Trends data has been identified as a potentially useful data source to complement or even replace otherwise traditional data for predicting migration flows. However, the research on this is in its infancy, and as of yet suffers from a distinctive Western bias both in the topics covered as in the applicability of the methods. To examine its wider utility, this paper evaluates the predictive potential of Google Trends data, which captures Google search frequencies, but applies it to the case of Japanese migration flows to Europe. By doing so, we focus on some of the specific challenging aspects of the Japanese language, such as its various writing systems, and of its migration flows, characterized by its relative stability and sometimes limit size. In addition, this research investigates to what extent Google Trends data can be used to empirically test theory in the form of the aspirations and (cap)ability approach. The results show that after careful consideration, this method has the potential to reach satisfactory predictions, but that there are many obstacles to overcome. As such, sufficient care and prior investigation are paramount when attempting this method for less straightforward cases, and additional studies need to address some of the key limitations more in detail to validate or annul some of the findings presented here. Supplementary Infor</w:t>
      </w:r>
    </w:p>
    <w:p>
      <w:pPr>
        <w:pStyle w:val="Heading2"/>
      </w:pPr>
      <w:r>
        <w:t>684.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r>
        <w:rPr>
          <w:b/>
        </w:rPr>
        <w:t>POSSIBLE 2019:</w:t>
      </w:r>
      <w:r>
        <w:t xml:space="preserve"> Euromodernity's Undertone: On Reconceptualizing Political Speech — https://openalex.org/W2943803555</w:t>
      </w:r>
    </w:p>
    <w:p>
      <w:pPr/>
      <w:r>
        <w:rPr>
          <w:b/>
        </w:rPr>
        <w:t>Shared claim-specific concepts:</w:t>
      </w:r>
      <w:r>
        <w:t xml:space="preserve"> about, racialized, others, conditions; EU scope not established. This is a provisional connection, not an outcome finding.</w:t>
      </w:r>
    </w:p>
    <w:p>
      <w:pPr>
        <w:pStyle w:val="SourceNote"/>
      </w:pPr>
      <w:r>
        <w:rPr>
          <w:b/>
        </w:rPr>
        <w:t>Available abstract (not full text):</w:t>
      </w:r>
      <w:r>
        <w:t xml:space="preserve"> This dissertation contends speech is indispensable to politics. It begins with Aristotle, whose conception of political speech grounds our modern understanding. I argue the Aristotelian position is colonizing insofar as it essentializes speech as sound. The consequence is that speech becomes phonocentric, privileging a particular mode of communication. This raises the issue of Deaf subjects who engage politics in non-phonocentric ways. That is, their speech is seen in what I contend is a visual vernacular. Subsequently, I turn to the issue of race. If Deaf subjects raise questions about what it means to speak, Black subjects, who speak audibly and are still unheard, raise a correspondent question: What does it mean to be heard? Within Euromodernity, I contend political speech becomes essentialized and racialized. Here, particular human beings (whites) are deemed as deserving of being heard, while others (Blacks) are silenced and thus, rendered speechless.\nIn response to these conditions, I argue Black and Deaf subjects do speak and their speech challenges existing hegemonic, colonized forms. Black and Deaf political speech allow for the creation of Black and Deaf lifeworlds, an articulation of their own ways of existing in the social world. The result is a project actualizing freedom. Ultimately, I posit a creolizing of political speech, a mixing of Deaf and Black existential </w:t>
      </w:r>
    </w:p>
    <w:p>
      <w:pPr>
        <w:pStyle w:val="Heading2"/>
      </w:pPr>
      <w:r>
        <w:t>685.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2022:</w:t>
      </w:r>
      <w:r>
        <w:t xml:space="preserve"> Impact of external cost internalization on short sea shipping – The case of the Portugal-Northern Europe trade — https://doi.org/10.1016/j.trd.2022.103544</w:t>
      </w:r>
    </w:p>
    <w:p>
      <w:pPr/>
      <w:r>
        <w:rPr>
          <w:b/>
        </w:rPr>
        <w:t>Shared claim-specific concepts:</w:t>
      </w:r>
      <w:r>
        <w:t xml:space="preserve"> case, northern, used, regarding, different; EU scope visible. This is a provisional connection, not an outcome finding.</w:t>
      </w:r>
    </w:p>
    <w:p>
      <w:pPr>
        <w:pStyle w:val="SourceNote"/>
      </w:pPr>
      <w:r>
        <w:rPr>
          <w:b/>
        </w:rPr>
        <w:t>Available abstract (not full text):</w:t>
      </w:r>
      <w:r>
        <w:t xml:space="preserve"> This paper presents research on the impact of transportation external costs internalization in the competitiveness of short sea shipping. Numerical methods for calculating emissions and external costs, that consider the full range of technical and operational vehicle characteristics are presented. The impacts of existing and future emission control areas, emissions abatement technologies, types of fuel, ship speed, cargo capacity and utilization factors in the required freight rate are evaluated. Internal and external costs are used to evaluate alternative intermodal chains for a set of pairs origin/destination extending to a range of regions in Northern Europe. Short sea shipping is competitive for a large set of destinations and its scope of competitiveness does not change significantly between different scenarios. Competitiveness regarding external costs shows more variation but, due to the small relative magnitude of these costs, internalization shows a moderate potential for promoting modal shift towards short sea shipping.</w:t>
      </w:r>
    </w:p>
    <w:p>
      <w:pPr/>
      <w:r>
        <w:rPr>
          <w:b/>
        </w:rPr>
        <w:t>POSSIBLE 2022:</w:t>
      </w:r>
      <w:r>
        <w:t xml:space="preserve"> Epidemiological Trends of Human Monkeypox Cases in Northern, Southern, Western, and Eastern Regions in Europe: A Cross-Sectional Study — https://doi.org/10.1155/2022/4042962</w:t>
      </w:r>
    </w:p>
    <w:p>
      <w:pPr/>
      <w:r>
        <w:rPr>
          <w:b/>
        </w:rPr>
        <w:t>Shared claim-specific concepts:</w:t>
      </w:r>
      <w:r>
        <w:t xml:space="preserve"> northern, portugal, different; EU scope visible. This is a provisional connection, not an outcome finding.</w:t>
      </w:r>
    </w:p>
    <w:p>
      <w:pPr>
        <w:pStyle w:val="SourceNote"/>
      </w:pPr>
      <w:r>
        <w:rPr>
          <w:b/>
        </w:rPr>
        <w:t>Available abstract (not full text):</w:t>
      </w:r>
      <w:r>
        <w:t xml:space="preserve"> Background: The growing amount of monkeypox cases in non-endemic regions raises concerns in societies as a potential pandemic. This study highlights the prevalence and epidemiological trends of a human monkeypox outbreak in various regions in Europe. Methods: This cross-sectional study was conducted in the Department of Physiology, College of Medicine, King Saud University, Riyadh, Saudi Arabia. The data about the monkeypox outbreak in European countries were recorded by the World Health Organization (WHO), and Centers for Disease Control and Prevention (CDC) reports. The period prevalence-based data were recorded from Jan 1, 2022, to July 7, 2022, and analyzed, and epidemiological trends were established in different European regions and countries. Results: In Europe, the human monkeypox rapidly spread in all the four subregions and involved 30 European countries, infecting 6077 people. The rising number of monkeypox cases is identified in Western Europe, 2599 (42.76%); Southern Europe, 1932 (31.79%); Northern Europe, 1487 (24.46%); and Eastern Europe, 59 (0.97%). In Western Europe, significant cases are found in Germany (1304), France (604), the Netherlands (352), Belgium (168), and Switzerland (131). In Northern Europe, it is found in the United Kingdom (1351), Ireland (44), Sweden (28), and Denmark (26); in Southern Europe, it is found in Spain (1256), Portugal (415), and I</w:t>
      </w:r>
    </w:p>
    <w:p>
      <w:pPr/>
      <w:r>
        <w:rPr>
          <w:b/>
        </w:rPr>
        <w:t>POSSIBLE 2022:</w:t>
      </w:r>
      <w:r>
        <w:t xml:space="preserve"> The impact of the COVID-19 pandemic on Portuguese events: the case of Northern Portugal — https://doi.org/10.34190/ictr.15.1.209</w:t>
      </w:r>
    </w:p>
    <w:p>
      <w:pPr/>
      <w:r>
        <w:rPr>
          <w:b/>
        </w:rPr>
        <w:t>Shared claim-specific concepts:</w:t>
      </w:r>
      <w:r>
        <w:t xml:space="preserve"> case, northern, portugal, used, regarding; EU scope visible. This is a provisional connection, not an outcome finding.</w:t>
      </w:r>
    </w:p>
    <w:p>
      <w:pPr>
        <w:pStyle w:val="SourceNote"/>
      </w:pPr>
      <w:r>
        <w:rPr>
          <w:b/>
        </w:rPr>
        <w:t>Available abstract (not full text):</w:t>
      </w:r>
      <w:r>
        <w:t xml:space="preserve"> Events, as forms of leisure and tourism, have had an exponential growth, visible in academic studies, but also as a new form of communication. Acting as important tools for territorial dynamization, they are assumed as generators of development opportunities for a region and leverage the positioning of a strong and positive image for tourist destinations. COVID-19 has had an impact on almost all aspects of our life. Many industries have faced significant revenue losses and contracted in terms of their growth and, naturally, one of the worst affected by the pandemic was the events industry. This pandemic crisis has introduced an unparalleled level of doubts regarding the type of events that will take place in the coming years and how they will be produced. Also, with restrictions and a population less willing to be in the physical presence of others, it's important to understand how participants are facing the possibility to attend future events. This research study aims to investigate and understand the impact of the Covid-19 pandemic on the tourism sector, particularly on the events industry, especially in the North of Portugal. It is also analysed how Portuguese were affected by the cancellation and/or postponement of events and also how they anticipate the future of this area. It is also analysed the risk and fear management and its relationship with the pandemic. In methodo</w:t>
      </w:r>
    </w:p>
    <w:p>
      <w:pPr/>
      <w:r>
        <w:rPr>
          <w:b/>
        </w:rPr>
        <w:t>POSSIBLE 2022:</w:t>
      </w:r>
      <w:r>
        <w:t xml:space="preserve"> Pastoralism, multifunctionality, and environmental agency: Insights from mountain sheep pastoralists in Northern Portugal — https://doi.org/10.1111/joac.12480</w:t>
      </w:r>
    </w:p>
    <w:p>
      <w:pPr/>
      <w:r>
        <w:rPr>
          <w:b/>
        </w:rPr>
        <w:t>Shared claim-specific concepts:</w:t>
      </w:r>
      <w:r>
        <w:t xml:space="preserve"> case, northern, portugal, trajectories; EU scope visible. This is a provisional connection, not an outcome finding.</w:t>
      </w:r>
    </w:p>
    <w:p>
      <w:pPr>
        <w:pStyle w:val="SourceNote"/>
      </w:pPr>
      <w:r>
        <w:rPr>
          <w:b/>
        </w:rPr>
        <w:t>Available abstract (not full text):</w:t>
      </w:r>
      <w:r>
        <w:t xml:space="preserve"> Abstract The idea of multifunctionality permeates European agriculture. Pastoralism is not spared and is valued as a vector of environmental management of the mountainous areas. Multifunctionality is nonetheless connected to entrepreneurial agriculture. Although entrepreneurship is disseminated in the European agricultural sector, little is known about the entrepreneurial evolution within traditional mountain pastoralist communities. This ethnographic paper builds on the case study of mountain sheep pastoralists in Braganza, Portugal, to augment this knowledge. It dives into the dynamics of production of sheep farming to uncover the cultural drivers of traditional pastoralism in Northern Portugal. Results show that pastoralists are unresponsive to the entrepreneurial narratives of multifunctionality as they respond to the occupational identity of shepherds in a moral economy of subsistence ethics. Pastoralists nevertheless exercise valuable environmental agency grounded in their condition as rural dwellers. Tailored narratives to their subsistence ethic are then required to rapidly address and valorize this environmental agency as new fire regimes progress and traditional pastoralism stands at the brink of extinction in Portugal. These results may ultimately contribute to the global literature and policy making on pastoralism, multifunctionality and environment: worldwide pasto</w:t>
      </w:r>
    </w:p>
    <w:p>
      <w:pPr/>
      <w:r>
        <w:rPr>
          <w:b/>
        </w:rPr>
        <w:t>POSSIBLE 2022:</w:t>
      </w:r>
      <w:r>
        <w:t xml:space="preserve"> Application of a Geobiodiversity Index to Natural Protected Areas in Northern Portugal — https://doi.org/10.5194/icg2022-722</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The majority of studies on geodiversity and geoheritage have been focused exclusively on the analysis and evaluation of abiotic elements. Although some authors have highlighted the important connections between abiotic and biotic elements, it was not enough to highlight them systematically. In this sense, it is necessary to do the geodiversity potential analysis in a more complete sense. That is, all elements should be contemplated. In the context of the project “Clictour - Climate change resilient tourism in protected areas of Northern Portugal”, three protected areas were chosen as case studies. These areas are located in northwest Portugal, namely the Peneda-Gerês National Park, the Alvão Natural Park, and the Litoral Norte Natural Park. Despite their geodiversity richness, these parks were established mainly based on their biodiversity. The objective of this proposal is the application of a geobiodiversity index. This index is based on the work done by Steinke (2021), which is capable of indicating the most relevant areas of geological, geomorphological, and vegetational aspects to be conserved within existing legal instruments. The methodological procedures were centered on segmenting the three areas in hexagonal cells. The parks were subjected to a spatial matrix analysis in GIS and geostatistical environments capable of articulating the various elements and generating an</w:t>
      </w:r>
    </w:p>
    <w:p>
      <w:pPr/>
      <w:r>
        <w:rPr>
          <w:b/>
        </w:rPr>
        <w:t>POSSIBLE 2022:</w:t>
      </w:r>
      <w:r>
        <w:t xml:space="preserve"> From Problematic Laggard to Star of the South? The Comparative Significance of the Portuguese Case — https://doi.org/10.1093/oxfordhb/9780192855404.013.1</w:t>
      </w:r>
    </w:p>
    <w:p>
      <w:pPr/>
      <w:r>
        <w:rPr>
          <w:b/>
        </w:rPr>
        <w:t>Shared claim-specific concepts:</w:t>
      </w:r>
      <w:r>
        <w:t xml:space="preserve"> case, northern, portugal, used; EU scope visible. This is a provisional connection, not an outcome finding.</w:t>
      </w:r>
    </w:p>
    <w:p>
      <w:pPr>
        <w:pStyle w:val="SourceNote"/>
      </w:pPr>
      <w:r>
        <w:rPr>
          <w:b/>
        </w:rPr>
        <w:t>Available abstract (not full text):</w:t>
      </w:r>
      <w:r>
        <w:t xml:space="preserve"> Abstract This chapter identifies points of major comparative and theoretical importance of the Portuguese case and reviews hypotheses that are potentially useful for explaining the country’s unusual record of performance and democratic practice. The chapter also considers alternative frames of reference that have been used to compare the Portuguese case with others. Portugal’s status as the pioneer of the worldwide Third Wave of democratization in 1974 marked a clear break in the country’s political development, even though the pre-democratization past continues to exert its influence in various ways. With the functioning of the institutions and political culture put in place by the 1974 Carnation Revolution and its aftermath, Portugal achieved remarkable progress on many dimensions of performance, such as political inclusion, and can be viewed as an unusually successful case. Indeed, according to some indicators, such as women’s participation in the labour force and certain types of cultural tastes, Portuguese data has come closer to the levels found in Northern Europe than the ones from the rest of Southern Europe. This chapters examines several potential explanations for this recent record, while offering important conceptual and theoretical lessons that extend well beyond the Portuguese case.</w:t>
      </w:r>
    </w:p>
    <w:p>
      <w:pPr/>
      <w:r>
        <w:rPr>
          <w:b/>
        </w:rPr>
        <w:t>POSSIBLE 2022:</w:t>
      </w:r>
      <w:r>
        <w:t xml:space="preserve"> Microplastic Contamination and Ecological Status of Freshwater Ecosystems: A Case Study in Two Northern Portuguese Rivers — https://doi.org/10.3390/ijerph192315956</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BACKGROUND: Most European rivers have not yet achieved "good" ecological status. In addition, the presence and abundance of microplastics (MPs) in freshwater is a matter of great concern to the scientific community. METHODOLOGY: This study assesses the ecological status of four sampling sites of Selho (S1-S4) and Costa-Couros (C1-C4) rivers (Guimarães, Portugal), and the abundance of MPs in sediments and benthic macroinvertebrates (Oligochaeta) from those sites. RESULTS: All sites of both rivers under higher pressure did not reach a "good" ecological status (S2-S3, C2-C4) based on the macroinvertebrate community. High levels of nutrients were observed at all sites in both rivers (except C2), especially phosphorus. In the Oligochaeta's gut of Costa-Couros river, the high number of MPs seems to be associated with their weight (95.25 ± 25.61 to 1069.00 ± 385.30 MPs g/fresh weight), suggesting the existence of malnutrition and digestive disorders, whereas the highest number of MPs in gut (134.00 ± 30.36 to 558.6 ± 100.70 MPs g/fresh weight) were found for the heaviest organisms of Selho. CONCLUSIONS: Thus, sites with higher ecological status do not necessarily have lower abundance of MPs. In the sediments, urbanization seems to be the main driver for MP contamination. MP contamination is pervasive across the sediments and Oligochaeta's gut in both rivers. Since MPs have the potenti</w:t>
      </w:r>
    </w:p>
    <w:p>
      <w:pPr/>
      <w:r>
        <w:rPr>
          <w:b/>
        </w:rPr>
        <w:t>POSSIBLE 2021:</w:t>
      </w:r>
      <w:r>
        <w:t xml:space="preserve"> Accessibility in European Peripheral Territories: Analyzing the Portuguese Mainland Connectivity Patterns from 1985 to 2020 — https://doi.org/10.3390/infrastructures6060092</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The inner periphery European countries, as is the case of Portugal, are characterized by poor access to essential areas and services of general and social relations. Contextually, this paper aims to explore the linkages between inner peripheries, ultra-peripherality concepts, and the concept of accessibility from 1985 to 2020, in parallel with the analysis of some demographic trends in the same research period. Thus, the study deals with accessibility and the analysis of accessibility-related spatial distribution to represent the traditional core—periphery pattern, with the highest accessibility in the center of the mainland and west coastal area, and the lowest accessibility in remote regions. The results show that the distribution of the road infrastructure is not uniform in Portugal. Furthermore, the NUTS II regions of PT13 Lisboa e Vale do Tejo (the Lisbon region) and PT11 Norte (northern Portugal) have the greatest road per km2. The Lisbon region has the highest concentration of national roads globally, while the northern region has the highest concentration of municipal roads. These two regions are, by far, the most densely populated, encompassing about ¾ of the national population and GDP.</w:t>
      </w:r>
    </w:p>
    <w:p>
      <w:pPr>
        <w:pStyle w:val="Heading2"/>
      </w:pPr>
      <w:r>
        <w:t>686.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2021:</w:t>
      </w:r>
      <w:r>
        <w:t xml:space="preserve"> Testing UNFC as a harmonized supporting tool for resource management in Europe — https://doi.org/10.5194/egusphere-egu21-15566</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With the global increase in raw material demand comes the need for harmonized supporting tools for sustainable resource management in Europe. Europe needs to assess their resource potential, but the European countries do not have a common tool to aggregate information for continent-wide resource inventories. The United Nations Framework Classification for Resources (UNFC) is a system that may be used for this purpose. One of the specific tasks in the MINTELL4EU project under the GeoERA programme is to test if the European geological surveys will be able to use UNFC as a tool to evaluate a country’s known and potential resources across variable levels of knowledge. The project will also show, if the application of UNFC can provide better harmonization of mineral resource data nationally and across Europe. The work on UNFC in MINTELL4EU is based on case studies to gain experience. Based on the knowledge and lessons learned from the case studies, guidelines and recommendations for further work will be given. Preliminary results show that there is a need for a more harmonized system and that stricter guidelines are required. On top of this, there are different levels of experience in UNFC among the European geological surveys, and the approach and methods on UNFC varies between the countries.</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potential, modelling, find;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r>
        <w:rPr>
          <w:b/>
        </w:rPr>
        <w:t>POSSIBLE 2020:</w:t>
      </w:r>
      <w:r>
        <w:t xml:space="preserve"> Environmental impacts of household appliances in Europe and scenarios for their impact reduction — https://doi.org/10.1016/j.jclepro.2020.121952</w:t>
      </w:r>
    </w:p>
    <w:p>
      <w:pPr/>
      <w:r>
        <w:rPr>
          <w:b/>
        </w:rPr>
        <w:t>Shared claim-specific concepts:</w:t>
      </w:r>
      <w:r>
        <w:t xml:space="preserve"> potential, method, several; EU scope visible. This is a provisional connection, not an outcome finding.</w:t>
      </w:r>
    </w:p>
    <w:p>
      <w:pPr>
        <w:pStyle w:val="SourceNote"/>
      </w:pPr>
      <w:r>
        <w:rPr>
          <w:b/>
        </w:rPr>
        <w:t>Available abstract (not full text):</w:t>
      </w:r>
      <w:r>
        <w:t xml:space="preserve"> Assessing the environmental impact due to consumption of goods and services is a pivotal step towards achieving the sustainable development goal related to responsible production and consumption (i.e. SDG 12). Household appliances plays a crucial role and should be assessed in a systemic manner, namely considering all life cycle stages, technological efficiency, and affluence aspects. The present study assess the impact of such household appliances used in Europe, and tests scenarios of potential impact reduction at various scales. Life cycle assessment is applied to 14 different household appliances (ranging from dishwashers to television devices) selected to build a set of representative products, based on their economic value and diffusion in households in Europe. Related impacts are calculated with the Environmental Footprint method for calculating a Consumer Footprint "appliances" for the baseline year 2010.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The baseline Consumer Footprint is confirming the importance of the use phase in leading the impacts in almost all impact categories. Testing different scenarios concl</w:t>
      </w:r>
    </w:p>
    <w:p>
      <w:pPr/>
      <w:r>
        <w:rPr>
          <w:b/>
        </w:rPr>
        <w:t>POSSIBLE 2020:</w:t>
      </w:r>
      <w:r>
        <w:t xml:space="preserve"> Matching CIE illuminants to measured spectral power distributions: A method to evaluate non-visual potential of daylight in two European cities — https://doi.org/10.1016/j.solener.2020.08.021</w:t>
      </w:r>
    </w:p>
    <w:p>
      <w:pPr/>
      <w:r>
        <w:rPr>
          <w:b/>
        </w:rPr>
        <w:t>Shared claim-specific concepts:</w:t>
      </w:r>
      <w:r>
        <w:t xml:space="preserve"> potential, method; EU scope visible. This is a provisional connection, not an outcome finding.</w:t>
      </w:r>
    </w:p>
    <w:p>
      <w:pPr>
        <w:pStyle w:val="SourceNote"/>
      </w:pPr>
      <w:r>
        <w:rPr>
          <w:b/>
        </w:rPr>
        <w:t>Available abstract (not full text):</w:t>
      </w:r>
      <w:r>
        <w:t xml:space="preserve"> The evaluation of non-visual effects of light is a crucial topic in lighting design research and practice. Performing such analysis requires precise information about the spectral distribution of the tested light source. Assessing non-visual effects of daylight is complicated due to its spectral composition continuously changing, depending on many factors. Currently there are no available databases with spectral and spatial radiation patterns of the sky vault for locations spread all over the world, and an easy and common method to evaluate non-visual effects of daylight is lacking. The goal of the paper is to provide a simple method to evaluate the non-visual potential of daylight, accounting for its variability. In order to present it, spectral measurements were conducted in two European cities in spring and summer. Horizontal and vertical illuminance toward the four cardinal directions was measured. Daylight variability was analysed in terms of illuminance, Correlated Colour Temperature (CCT) and Melanopic to Photopic (M/P) ratio. A comparison between the measured spectra and the CIE standard illuminants was performed and it was found that the usefulness of this method to evaluate non-visual effects of light in terms of M/P is adequate and provides reliable results. Therefore, a simple method to estimate the non-visual potential of daylight based on the use of D series of il</w:t>
      </w:r>
    </w:p>
    <w:p>
      <w:pPr/>
      <w:r>
        <w:rPr>
          <w:b/>
        </w:rPr>
        <w:t>POSSIBLE 2019:</w:t>
      </w:r>
      <w:r>
        <w:t xml:space="preserve"> Economic, geological and technical potential mapping test in Europe for GSHP systems — https://openalex.org/W2921479659</w:t>
      </w:r>
    </w:p>
    <w:p>
      <w:pPr/>
      <w:r>
        <w:rPr>
          <w:b/>
        </w:rPr>
        <w:t>Shared claim-specific concepts:</w:t>
      </w:r>
      <w:r>
        <w:t xml:space="preserve"> test, potential, method, several, sites; EU scope visible. This is a provisional connection, not an outcome finding.</w:t>
      </w:r>
    </w:p>
    <w:p>
      <w:pPr>
        <w:pStyle w:val="SourceNote"/>
      </w:pPr>
      <w:r>
        <w:rPr>
          <w:b/>
        </w:rPr>
        <w:t>Available abstract (not full text):</w:t>
      </w:r>
      <w:r>
        <w:t xml:space="preserve"> In order to promote the deployment of low enthalpy geothermal closed-loop systems at European scale, the definition and quantification of the feasibility and potential for different locations is fundamental. In particular, spatial information presented as thematic maps allow the decision process optimization, by identifying the most suitable areas and quantifying their economic and energetic potential. The mapping work described hereafter is related to the European project “Cheap-GSHPs”, which aims to reduce the total cost of ownership, composed out of investment and operating costs, by increasing the safety of shallow geothermal systems during installation and operation and by increasing the awareness of this technology throughout Europe. The work here presented is voted to merge all geological, climatic and energetic data, developing a method to map the techno-economic potential of closed-loop shallow geothermal systems (expressed as €/kW) applied in some test sites representative of main European contexts. Several databases have been created after the collection of geological, climatic, energetic, technological, environmental and economic data at European scale produced within the project. A large amount of numerical simulations were run to standardize 9 representative building types (residential and non- residential) and their energetic requirements in the identified 10 ref</w:t>
      </w:r>
    </w:p>
    <w:p>
      <w:pPr/>
      <w:r>
        <w:rPr>
          <w:b/>
        </w:rPr>
        <w:t>POSSIBLE 2019:</w:t>
      </w:r>
      <w:r>
        <w:t xml:space="preserve"> HIV testing strategies outside of health care settings in the European Union (EU)/European Economic Area (EEA): a systematic review to inform European Centre for Disease Prevention and Control guidance — https://doi.org/10.1111/hiv.12807</w:t>
      </w:r>
    </w:p>
    <w:p>
      <w:pPr/>
      <w:r>
        <w:rPr>
          <w:b/>
        </w:rPr>
        <w:t>Shared claim-specific concepts:</w:t>
      </w:r>
      <w:r>
        <w:t xml:space="preserve"> test, potential, several; EU scope visible. This is a provisional connection, not an outcome finding.</w:t>
      </w:r>
    </w:p>
    <w:p>
      <w:pPr>
        <w:pStyle w:val="SourceNote"/>
      </w:pPr>
      <w:r>
        <w:rPr>
          <w:b/>
        </w:rPr>
        <w:t>Available abstract (not full text):</w:t>
      </w:r>
      <w:r>
        <w:t xml:space="preserve"> OBJECTIVES: In recent years, new technologies and new approaches to scale up HIV testing have emerged. The objective of this paper was to synthesize the body of recent evidence on strategies aimed at increasing the uptake and coverage of HIV testing outside of health care settings in the European Union (EU)/European Economic Area (EEA). METHODS: Systematic searches to identify studies describing effective HIV testing interventions and barriers to testing were run in five databases (2010-2017) with no language restrictions; the grey literature was searched for similar unpublished studies (2014-2017). Study selection, data extraction and critical appraisal were performed by two independent reviewers following Preferred Reporting Items for Systematic Reviews and Meta-Analyses (PRISMA) guidelines. RESULTS: Eighty studies on HIV testing in non-health care settings were identified, the majority set in Northern Europe. Testing was implemented in 65 studies, with men who have sex with men the risk group most often targeted. Testing coverage and positivity/reactivity rates varied widely by setting and population group. However, testing in community and outreach settings was effective at reaching people who had never previously been tested and acceptability of HIV testing, particularly rapid testing, outside of health care settings was found to be high. Other interventions aimed to incre</w:t>
      </w:r>
    </w:p>
    <w:p>
      <w:pPr>
        <w:pStyle w:val="Heading2"/>
      </w:pPr>
      <w:r>
        <w:t>687.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2023:</w:t>
      </w:r>
      <w:r>
        <w:t xml:space="preserve"> There is no such thing as a validated prediction model — https://doi.org/10.1186/s12916-023-02779-w</w:t>
      </w:r>
    </w:p>
    <w:p>
      <w:pPr/>
      <w:r>
        <w:rPr>
          <w:b/>
        </w:rPr>
        <w:t>Shared claim-specific concepts:</w:t>
      </w:r>
      <w:r>
        <w:t xml:space="preserve"> prediction, support, not, but; EU scope not established. This is a provisional connection, not an outcome finding.</w:t>
      </w:r>
    </w:p>
    <w:p>
      <w:pPr>
        <w:pStyle w:val="SourceNote"/>
      </w:pPr>
      <w:r>
        <w:rPr>
          <w:b/>
        </w:rPr>
        <w:t>Available abstract (not full text):</w:t>
      </w:r>
      <w:r>
        <w:t xml:space="preserve"> BACKGROUND: Clinical prediction models should be validated before implementation in clinical practice. But is favorable performance at internal validation or one external validation sufficient to claim that a prediction model works well in the intended clinical context? MAIN BODY: We argue to the contrary because (1) patient populations vary, (2) measurement procedures vary, and (3) populations and measurements change over time. Hence, we have to expect heterogeneity in model performance between locations and settings, and across time. It follows that prediction models are never truly validated. This does not imply that validation is not important. Rather, the current focus on developing new models should shift to a focus on more extensive, well-conducted, and well-reported validation studies of promising models. CONCLUSION: Principled validation strategies are needed to understand and quantify heterogeneity, monitor performance over time, and update prediction models when appropriate. Such strategies will help to ensure that prediction models stay up-to-date and safe to support clinical decision-making.</w:t>
      </w:r>
    </w:p>
    <w:p>
      <w:pPr/>
      <w:r>
        <w:rPr>
          <w:b/>
        </w:rPr>
        <w:t>POSSIBLE 2020:</w:t>
      </w:r>
      <w:r>
        <w:t xml:space="preserve"> Prediction models for diagnosis and prognosis of covid-19: systematic review and critical appraisal — https://doi.org/10.1136/bmj.m1328</w:t>
      </w:r>
    </w:p>
    <w:p>
      <w:pPr/>
      <w:r>
        <w:rPr>
          <w:b/>
        </w:rPr>
        <w:t>Shared claim-specific concepts:</w:t>
      </w:r>
      <w:r>
        <w:t xml:space="preserve"> prediction, developed, support, also; EU scope not established. This is a provisional connection, not an outcome finding.</w:t>
      </w:r>
    </w:p>
    <w:p>
      <w:pPr>
        <w:pStyle w:val="SourceNote"/>
      </w:pPr>
      <w:r>
        <w:rPr>
          <w:b/>
        </w:rPr>
        <w:t>Available abstract (not full text):</w:t>
      </w:r>
      <w:r>
        <w:t xml:space="preserve"> Abstract Objective To review and appraise the validity and usefulness of published and preprint reports of prediction models for prognosis of patients with covid-19, and for detecting people in the general population at increased risk of covid-19 infection or being admitted to hospital or dying with the disease. Design Living systematic review and critical appraisal by the covid-PRECISE (Precise Risk Estimation to optimise covid-19 Care for Infected or Suspected patients in diverse sEttings) group. Data sources PubMed and Embase through Ovid, up to 17 February 2021, supplemented with arXiv, medRxiv, and bioRxiv up to 5 May 2020. Study selection Studies that developed or validated a multivariable covid-19 related prediction model. Data extraction At least two authors independently extracted data using the CHARMS (critical appraisal and data extraction for systematic reviews of prediction modelling studies) checklist; risk of bias was assessed using PROBAST (prediction model risk of bias assessment tool). Results 126 978 titles were screened, and 412 studies describing 731 new prediction models or validations were included. Of these 731, 125 were diagnostic models (including 75 based on medical imaging) and the remaining 606 were prognostic models for either identifying those at risk of covid-19 in the general population (13 models) or predicting diverse outcomes in those individ</w:t>
      </w:r>
    </w:p>
    <w:p>
      <w:pPr/>
      <w:r>
        <w:rPr>
          <w:b/>
        </w:rPr>
        <w:t>POSSIBLE 2020:</w:t>
      </w:r>
      <w:r>
        <w:t xml:space="preserve"> Calculating the sample size required for developing a clinical prediction model — https://doi.org/10.1136/bmj.m441</w:t>
      </w:r>
    </w:p>
    <w:p>
      <w:pPr/>
      <w:r>
        <w:rPr>
          <w:b/>
        </w:rPr>
        <w:t>Shared claim-specific concepts:</w:t>
      </w:r>
      <w:r>
        <w:t xml:space="preserve"> prediction, developed; EU scope not established. This is a provisional connection, not an outcome finding.</w:t>
      </w:r>
    </w:p>
    <w:p>
      <w:pPr>
        <w:pStyle w:val="SourceNote"/>
      </w:pPr>
      <w:r>
        <w:rPr>
          <w:b/>
        </w:rPr>
        <w:t>Available abstract (not full text):</w:t>
      </w:r>
      <w:r>
        <w:t xml:space="preserve"> Clinical prediction models aim to predict outcomes in individuals, to inform diagnosis or prognosis in healthcare. Hundreds of prediction models are published in the medical literature each year, yet many are developed using a dataset that is too small for the total number of participants or outcome events. This leads to inaccurate predictions and consequently incorrect healthcare decisions for some individuals. In this article, the authors provide guidance on how to calculate the sample size required to develop a clinical prediction model.</w:t>
      </w:r>
    </w:p>
    <w:p>
      <w:pPr/>
      <w:r>
        <w:rPr>
          <w:b/>
        </w:rPr>
        <w:t>POSSIBLE 2020:</w:t>
      </w:r>
      <w:r>
        <w:t xml:space="preserve"> Systematic review of prediction models for gestational hypertension and preeclampsia — https://doi.org/10.1371/journal.pone.0230955</w:t>
      </w:r>
    </w:p>
    <w:p>
      <w:pPr/>
      <w:r>
        <w:rPr>
          <w:b/>
        </w:rPr>
        <w:t>Shared claim-specific concepts:</w:t>
      </w:r>
      <w:r>
        <w:t xml:space="preserve"> prediction, developed, use, not, only; EU scope not established. This is a provisional connection, not an outcome finding.</w:t>
      </w:r>
    </w:p>
    <w:p>
      <w:pPr>
        <w:pStyle w:val="SourceNote"/>
      </w:pPr>
      <w:r>
        <w:rPr>
          <w:b/>
        </w:rPr>
        <w:t>Available abstract (not full text):</w:t>
      </w:r>
      <w:r>
        <w:t xml:space="preserve"> INTRODUCTION: Prediction models for gestational hypertension and preeclampsia have been developed with data and assumptions from developed countries. Their suitability and application for low resource settings have not been tested. This review aimed to identify and assess the methodological quality of prediction models for gestational hypertension and pre-eclampsia with reference to their application in low resource settings. METHODS: Using combinations of keywords for gestational hypertension, preeclampsia and prediction models seven databases were searched to identify prediction models developed with maternal data obtained before 20 weeks of pregnancy and including at least three predictors (Prospero registration CRD 42017078786). Prediction model characteristics and performance measures were extracted using the CHARMS, STROBE and TRIPOD checklists. The National Institute of Health quality assessment tools for observational cohort and cross-sectional studies were used for study quality appraisal. RESULTS: We retrieved 8,309 articles out of which 40 articles were eligible for review. Seventy-seven percent of all the prediction models combined biomarkers with maternal clinical characteristics. Biomarkers used as predictors in most models were pregnancy associated plasma protein-A (PAPP-A) and placental growth factor (PlGF). Only five studies were conducted in a low-and middle i</w:t>
      </w:r>
    </w:p>
    <w:p>
      <w:pPr/>
      <w:r>
        <w:rPr>
          <w:b/>
        </w:rPr>
        <w:t>POSSIBLE 2020:</w:t>
      </w:r>
      <w:r>
        <w:t xml:space="preserve"> Prediction models for childhood asthma: A systematic review — https://doi.org/10.1111/pai.13247</w:t>
      </w:r>
    </w:p>
    <w:p>
      <w:pPr/>
      <w:r>
        <w:rPr>
          <w:b/>
        </w:rPr>
        <w:t>Shared claim-specific concepts:</w:t>
      </w:r>
      <w:r>
        <w:t xml:space="preserve"> prediction, developed, not, but; EU scope not established. This is a provisional connection, not an outcome finding.</w:t>
      </w:r>
    </w:p>
    <w:p>
      <w:pPr>
        <w:pStyle w:val="SourceNote"/>
      </w:pPr>
      <w:r>
        <w:rPr>
          <w:b/>
        </w:rPr>
        <w:t>Available abstract (not full text):</w:t>
      </w:r>
      <w:r>
        <w:t xml:space="preserve"> BACKGROUND: The inability to objectively diagnose childhood asthma before age five often results in both under-treatment and over-treatment of asthma in preschool children. Prediction tools for estimating a child's risk of developing asthma by school-age could assist physicians in early asthma care for preschool children. This review aimed to systematically identify and critically appraise studies which either developed novel or updated existing prediction models for predicting school-age asthma. METHODS: Three databases (MEDLINE, Embase and Web of Science Core Collection) were searched up to July 2019 to identify studies utilizing information from children ≤5 years of age to predict asthma in school-age children (6-13 years). Validation studies were evaluated as a secondary objective. RESULTS: Twenty-four studies describing the development of 26 predictive models published between 2000 and 2019 were identified. Models were either regression-based (n = 21) or utilized machine learning approaches (n = 5). Nine studies conducted validations of six regression-based models. Fifteen (out of 21) models required additional clinical tests. Overall model performance, assessed by area under the receiver operating curve (AUC), ranged between 0.66 and 0.87. Models demonstrated moderate ability to either rule in or rule out asthma development, but not both. Where external validation was per</w:t>
      </w:r>
    </w:p>
    <w:p>
      <w:pPr/>
      <w:r>
        <w:rPr>
          <w:b/>
        </w:rPr>
        <w:t>POSSIBLE 2020:</w:t>
      </w:r>
      <w:r>
        <w:t xml:space="preserve"> Overview of clinical prediction models — https://doi.org/10.21037/atm.2019.11.121</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Clinical prediction models are becoming more and more popular over recent years, which could be used in not only medicine area but also other areas, such as engineering, mathematics, and computer science (1).</w:t>
      </w:r>
    </w:p>
    <w:p>
      <w:pPr/>
      <w:r>
        <w:rPr>
          <w:b/>
        </w:rPr>
        <w:t>POSSIBLE 2019:</w:t>
      </w:r>
      <w:r>
        <w:t xml:space="preserve"> Prediction Models for Suicide Attempts and Deaths — https://doi.org/10.1001/jamapsychiatry.2019.0174</w:t>
      </w:r>
    </w:p>
    <w:p>
      <w:pPr/>
      <w:r>
        <w:rPr>
          <w:b/>
        </w:rPr>
        <w:t>Shared claim-specific concepts:</w:t>
      </w:r>
      <w:r>
        <w:t xml:space="preserve"> prediction, developed, findings, use, implementing, concerns; EU scope not established. This is a provisional connection, not an outcome finding.</w:t>
      </w:r>
    </w:p>
    <w:p>
      <w:pPr>
        <w:pStyle w:val="SourceNote"/>
      </w:pPr>
      <w:r>
        <w:rPr>
          <w:b/>
        </w:rPr>
        <w:t>Available abstract (not full text):</w:t>
      </w:r>
      <w:r>
        <w:t xml:space="preserve"> Importance: Suicide prediction models have the potential to improve the identification of patients at heightened suicide risk by using predictive algorithms on large-scale data sources. Suicide prediction models are being developed for use across enterprise-level health care systems including the US Department of Defense, US Department of Veterans Affairs, and Kaiser Permanente. Objectives: To evaluate the diagnostic accuracy of suicide prediction models in predicting suicide and suicide attempts and to simulate the effects of implementing suicide prediction models using population-level estimates of suicide rates. Evidence Review: A systematic literature search was conducted in MEDLINE, PsycINFO, Embase, and the Cochrane Library to identify research evaluating the predictive accuracy of suicide prediction models in identifying patients at high risk for a suicide attempt or death by suicide. Each database was searched from inception to August 21, 2018. The search strategy included search terms for suicidal behavior, risk prediction, and predictive modeling. Reference lists of included studies were also screened. Two reviewers independently screened and evaluated eligible studies. Findings: From a total of 7306 abstracts reviewed, 17 cohort studies met the inclusion criteria, representing 64 unique prediction models across 5 countries with more than 14 million participants. The </w:t>
      </w:r>
    </w:p>
    <w:p>
      <w:pPr/>
      <w:r>
        <w:rPr>
          <w:b/>
        </w:rPr>
        <w:t>POSSIBLE 2019:</w:t>
      </w:r>
      <w:r>
        <w:t xml:space="preserve"> Prediction models for network-linked data — https://doi.org/10.1214/18-aoas1205</w:t>
      </w:r>
    </w:p>
    <w:p>
      <w:pPr/>
      <w:r>
        <w:rPr>
          <w:b/>
        </w:rPr>
        <w:t>Shared claim-specific concepts:</w:t>
      </w:r>
      <w:r>
        <w:t xml:space="preserve"> prediction, but; EU scope not established. This is a provisional connection, not an outcome finding.</w:t>
      </w:r>
    </w:p>
    <w:p>
      <w:pPr>
        <w:pStyle w:val="SourceNote"/>
      </w:pPr>
      <w:r>
        <w:rPr>
          <w:b/>
        </w:rPr>
        <w:t>Available abstract (not full text):</w:t>
      </w:r>
      <w:r>
        <w:t xml:space="preserve"> Prediction algorithms typically assume the training data are independent samples, but in many modern applications samples come from individuals connected by a network. For example, in adolescent health studies of risk-taking behaviors, information on the subjects’ social network is often available and plays an important role through network cohesion, the empirically observed phenomenon of friends behaving similarly. Taking cohesion into account in prediction models should allow us to improve their performance. Here we propose a network-based penalty on individual node effects to encourage similarity between predictions for linked nodes, and show that incorporating it into prediction leads to improvement over traditional models both theoretically and empirically when network cohesion is present. The penalty can be used with many loss-based prediction methods, such as regression, generalized linear models, and Cox’s proportional hazard model. Applications to predicting levels of recreational activity and marijuana usage among teenagers from the AddHealth study based on both demographic covariates and friendship networks are discussed in detail and show that our approach to taking friendships into account can significantly improve predictions of behavior while providing interpretable estimates of covariate effects.</w:t>
      </w:r>
    </w:p>
    <w:p>
      <w:pPr/>
      <w:r>
        <w:rPr>
          <w:b/>
        </w:rPr>
        <w:t>POSSIBLE 2019:</w:t>
      </w:r>
      <w:r>
        <w:t xml:space="preserve"> Prediction model — https://doi.org/10.6084/m9.figshare.11299298</w:t>
      </w:r>
    </w:p>
    <w:p>
      <w:pPr/>
      <w:r>
        <w:rPr>
          <w:b/>
        </w:rPr>
        <w:t>Shared claim-specific concepts:</w:t>
      </w:r>
      <w:r>
        <w:t xml:space="preserve"> prediction, developed; EU scope not established. This is a provisional connection, not an outcome finding.</w:t>
      </w:r>
    </w:p>
    <w:p>
      <w:pPr>
        <w:pStyle w:val="SourceNote"/>
      </w:pPr>
      <w:r>
        <w:rPr>
          <w:b/>
        </w:rPr>
        <w:t>Available abstract (not full text):</w:t>
      </w:r>
      <w:r>
        <w:t xml:space="preserve"> Prediction model developed</w:t>
      </w:r>
    </w:p>
    <w:p>
      <w:pPr>
        <w:pStyle w:val="Heading2"/>
      </w:pPr>
      <w:r>
        <w:t>688.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2023:</w:t>
      </w:r>
      <w:r>
        <w:t xml:space="preserve"> Storytelling at board meetings: A case study of co-developing recommendations — https://doi.org/10.35680/2372-0247.1742</w:t>
      </w:r>
    </w:p>
    <w:p>
      <w:pPr/>
      <w:r>
        <w:rPr>
          <w:b/>
        </w:rPr>
        <w:t>Shared claim-specific concepts:</w:t>
      </w:r>
      <w:r>
        <w:t xml:space="preserve"> case, recommendations, use, governance; EU scope not established. This is a provisional connection, not an outcome finding.</w:t>
      </w:r>
    </w:p>
    <w:p>
      <w:pPr>
        <w:pStyle w:val="SourceNote"/>
      </w:pPr>
      <w:r>
        <w:rPr>
          <w:b/>
        </w:rPr>
        <w:t>Available abstract (not full text):</w:t>
      </w:r>
      <w:r>
        <w:t xml:space="preserve"> In healthcare, stories shared by patients often provide details and insights into experiences of illness and care. Stories are a way to educate healthcare providers and others to improve care and systems to become more patient and family centred and to better meet patients’ needs and priorities. Telling stories may bring benefits to both storytellers and audience members but also presents risks of harm. A reflective storytelling practice aims to honor stories and storytellers by ensuring there is time to prepare, reflect, learn, ask questions, and engage in dialogue with the storyteller to explore what went well and where there are learning and improvement opportunities. Healthcare Excellence Canada (HEC) is a pan-Canadian health organization focused on improving the quality and safety of care in Canada. HEC commits to engage patients, caregivers, and communities and aims to develop practices and structures to enable engagement activities. At the request of the HEC Board, the Patient Engagement and Partnerships team co-developed recommendations on the process for how best to meaningfully share stories at Board meetings, including stories from those leading, providing, and receiving care. This Case Study outlines the process HEC used to co-develop storytelling recommendations, focusing on a trauma-informed approach to create safe spaces for preparing, learning from and reflectin</w:t>
      </w:r>
    </w:p>
    <w:p>
      <w:pPr/>
      <w:r>
        <w:rPr>
          <w:b/>
        </w:rPr>
        <w:t>POSSIBLE 2023:</w:t>
      </w:r>
      <w:r>
        <w:t xml:space="preserve"> The challenges of developing accurate mood-based music recommendation systems: A Conceptual Case Investigation — https://doi.org/10.21203/rs.3.rs-3364709/v1</w:t>
      </w:r>
    </w:p>
    <w:p>
      <w:pPr/>
      <w:r>
        <w:rPr>
          <w:b/>
        </w:rPr>
        <w:t>Shared claim-specific concepts:</w:t>
      </w:r>
      <w:r>
        <w:t xml:space="preserve"> case, based, identifies; EU scope not established. This is a provisional connection, not an outcome finding.</w:t>
      </w:r>
    </w:p>
    <w:p>
      <w:pPr>
        <w:pStyle w:val="SourceNote"/>
      </w:pPr>
      <w:r>
        <w:rPr>
          <w:b/>
        </w:rPr>
        <w:t>Available abstract (not full text):</w:t>
      </w:r>
      <w:r>
        <w:t xml:space="preserve"> Abstract The development of accurate mood-based music recommendation systems is a challenging task due to the complexity and subjectivity of human emotions, the lack of standardized datasets for mood detection, the diversity of music genres and styles, the cold start problem, and the user's personal preferences. This paper presents a conceptual framework with documentation analysis case study with different scenarios for studying the challenges of developing accurate mood-based music recommendation systems. Case 1 investigated combination of physiological signals and audio features to detect users' moods, Case 2 investigated large dataset of music tracks that had been labeled with emotions to train a machine learning algorithm to recommend music based on users' moods Music recommendation system that uses a combination of collaborative filtering and content-based filtering. We analysis the secondary source of data studied by researchers at the University of California, Berkeley, University of Amsterdam and University of Cambridge. The conceptual framework is based on the theory of emotions, and the documentation analysis identifies the different methods that have been used to develop these systems. The different scenarios are based on the different methods that have been used to develop mood-based music recommendation systems. The paper concludes by discussing the challenges tha</w:t>
      </w:r>
    </w:p>
    <w:p>
      <w:pPr/>
      <w:r>
        <w:rPr>
          <w:b/>
        </w:rPr>
        <w:t>POSSIBLE 2022:</w:t>
      </w:r>
      <w:r>
        <w:t xml:space="preserve"> Experts’ recommendations for developing academic staff’s research skills: a case in Vietnam — https://doi.org/10.28918/erudita.v2i2.6139</w:t>
      </w:r>
    </w:p>
    <w:p>
      <w:pPr/>
      <w:r>
        <w:rPr>
          <w:b/>
        </w:rPr>
        <w:t>Shared claim-specific concepts:</w:t>
      </w:r>
      <w:r>
        <w:t xml:space="preserve"> case, recommendations, experts; EU scope not established. This is a provisional connection, not an outcome finding.</w:t>
      </w:r>
    </w:p>
    <w:p>
      <w:pPr>
        <w:pStyle w:val="SourceNote"/>
      </w:pPr>
      <w:r>
        <w:rPr>
          <w:b/>
        </w:rPr>
        <w:t>Available abstract (not full text):</w:t>
      </w:r>
      <w:r>
        <w:t xml:space="preserve"> Due to many reasons, research productivity from Vietnamese lecturers has not been as good as expected, and their lack of research skills is dominant. Therefore, teacher professional development in enhancing lecturers’ research productivity has received more attention from institutional administrators and policymakers. This current study was conducted to explore the types of professional development activities, according Vietnamese educational experts, are solutions to lecturers’ research productivity. Twenty experts were engaging in a conference discussing what should be done to develop tertiary lecturers’ research productivity. The meeting minutes and conference reports were used as the data for further analyses. According to the data, the experts proposed three different professional development activities for enhancing their staff’s research productivity, including organizing training events for developing lecturers’ research skills and knowledge, formulating research teams according to their interests, and encouraging them to write and publish their studies throughout rewards and punishments. The findings are expected to contribute to dealing with the current issues related to research productivity and provide researchers interested in this field with practical ideas for further research.</w:t>
      </w:r>
    </w:p>
    <w:p>
      <w:pPr/>
      <w:r>
        <w:rPr>
          <w:b/>
        </w:rPr>
        <w:t>POSSIBLE 2022:</w:t>
      </w:r>
      <w:r>
        <w:t xml:space="preserve"> Report on the Decision Support Tools used in the FarFish case studies for developing Management Recommendations 2 — https://doi.org/10.5281/zenodo.6542462</w:t>
      </w:r>
    </w:p>
    <w:p>
      <w:pPr/>
      <w:r>
        <w:rPr>
          <w:b/>
        </w:rPr>
        <w:t>Shared claim-specific concepts:</w:t>
      </w:r>
      <w:r>
        <w:t xml:space="preserve"> case, recommendations, use, work; EU scope not established. This is a provisional connection, not an outcome finding.</w:t>
      </w:r>
    </w:p>
    <w:p>
      <w:pPr>
        <w:pStyle w:val="SourceNote"/>
      </w:pPr>
      <w:r>
        <w:rPr>
          <w:b/>
        </w:rPr>
        <w:t>Available abstract (not full text):</w:t>
      </w:r>
      <w:r>
        <w:t xml:space="preserve"> This document contains a report of the Decision support tools used for developing management recommendations (MRs) in each of the FarFish case studies. These tools have been selected in coordination with the production of the version two of the Management Recommendations for each case study. It continues the work program outlined in Deliverable 6.4 and 6.7 in collaboration with other work packages (WPs) of FarFish, mainly WP1, WP4 and WP7. The report shows the outputs of the satellite work in support of compliance. It summarizes the use of the FarFish-DLMtool developed for supporting stock assessment in data limited situations, including implementation, training applications and dissemination beyond FarFish. It also describes how some data limited methods were explored using small pelagics data from West Africa and the plan to use them to understand the effect of the environment on the population.</w:t>
      </w:r>
    </w:p>
    <w:p>
      <w:pPr/>
      <w:r>
        <w:rPr>
          <w:b/>
        </w:rPr>
        <w:t>POSSIBLE 2022:</w:t>
      </w:r>
      <w:r>
        <w:t xml:space="preserve"> Comparative Analysis, Use Recommendations, and Application Cases of Methods for Develop Ship Emission Inventories — https://doi.org/10.3390/atmos13081224</w:t>
      </w:r>
    </w:p>
    <w:p>
      <w:pPr/>
      <w:r>
        <w:rPr>
          <w:b/>
        </w:rPr>
        <w:t>Shared claim-specific concepts:</w:t>
      </w:r>
      <w:r>
        <w:t xml:space="preserve"> recommendations, use, based; EU scope not established. This is a provisional connection, not an outcome finding.</w:t>
      </w:r>
    </w:p>
    <w:p>
      <w:pPr>
        <w:pStyle w:val="SourceNote"/>
      </w:pPr>
      <w:r>
        <w:rPr>
          <w:b/>
        </w:rPr>
        <w:t>Available abstract (not full text):</w:t>
      </w:r>
      <w:r>
        <w:t xml:space="preserve"> Ship exhaust emissions have been considered as a significant source of air pollution that has an adverse impact on the global climate and human health. It is of vital importance to create an accurate ship emission inventory for the purpose of formulating effective control measures. A wide range of inventory compilation methods have been proposed around the globe, and there has long been a pressing need to analyze and compare these methods in depth. This study sorted out and categorized inventory compilation methods of ship emissions in recent decades. Five main methods were compared and analyzed by their applicability, complexity, time of calculation, accuracy of results, etc. In addition, a new method was proposed to develop an emission inventory based on a vessel energy consumption reporting system. This method is believed to have the potential advantages to produce results of higher accuracy and temporal and spatial resolutions. To perform the validation, three cases at different scales were selected in part of China and surrounding maritime waters (large-scale), the Yangtze River Delta region (medium-scale), and Tianjin Port (small-scale), respectively. The analysis results show that: each of methods have different technical characteristics. Computed results significantly between methods, with the maximum deviation of up to 87%. It is advisable that the optimal method shoul</w:t>
      </w:r>
    </w:p>
    <w:p>
      <w:pPr/>
      <w:r>
        <w:rPr>
          <w:b/>
        </w:rPr>
        <w:t>POSSIBLE 2022:</w:t>
      </w:r>
      <w:r>
        <w:t xml:space="preserve"> Developing Self-Advocacy Skills through Machine Learning Education: The Case of Ad Recommendation on Facebook — https://doi.org/10.1609/icwsm.v16i1.19337</w:t>
      </w:r>
    </w:p>
    <w:p>
      <w:pPr/>
      <w:r>
        <w:rPr>
          <w:b/>
        </w:rPr>
        <w:t>Shared claim-specific concepts:</w:t>
      </w:r>
      <w:r>
        <w:t xml:space="preserve"> case, recommendations, use, increased, experts; EU scope not established. This is a provisional connection, not an outcome finding.</w:t>
      </w:r>
    </w:p>
    <w:p>
      <w:pPr>
        <w:pStyle w:val="SourceNote"/>
      </w:pPr>
      <w:r>
        <w:rPr>
          <w:b/>
        </w:rPr>
        <w:t>Available abstract (not full text):</w:t>
      </w:r>
      <w:r>
        <w:t xml:space="preserve"> Facebook users interact with algorithms every day. These algorithms can perpetuate harm via incongruent targeted ads, echo chambers, or "rabbit hole" recommendations. Education around the machine learning (ML) behind Facebook (FB) can help users to point out algorithmic bias and harm, and advocate for themselves effectively when things go wrong. One algorithm that FB users interact with regularly is User-Based Collaborative Filtering (UB-CF) which provides the basis for ad recommendation. We contribute a novel research approach for teaching users about a commonly used algorithm in machine learning in real-world context -- an instructive web application using real examples built from the user's own FB data on ad interests. The instruction also prompts users to reflect on their interactions with ML systems, specifically Facebook. In a between-subjects design, we tested both Data Science Novices and Experts on the efficacy of the UB-CF instruction. Taking care to highlight the voices of marginalized users, we use the application as a prompt for surfacing potential harms perpetuated by FB ad recommendations, and qualitatively analyze themes of harm and proposed solutions provided by users themselves. The instruction increased comprehension of UB-CF for both groups, and we show that comprehension is associated with mentioning the mechanisms of the algorithm more in advocacy statemen</w:t>
      </w:r>
    </w:p>
    <w:p>
      <w:pPr/>
      <w:r>
        <w:rPr>
          <w:b/>
        </w:rPr>
        <w:t>POSSIBLE 2022:</w:t>
      </w:r>
      <w:r>
        <w:t xml:space="preserve"> An Analysis on Existing Energy Policies and future Policy Recommendations for Developing Nations: A case Study of Pakistan — https://doi.org/10.5281/zenodo.6421622</w:t>
      </w:r>
    </w:p>
    <w:p>
      <w:pPr/>
      <w:r>
        <w:rPr>
          <w:b/>
        </w:rPr>
        <w:t>Shared claim-specific concepts:</w:t>
      </w:r>
      <w:r>
        <w:t xml:space="preserve"> case, recommendations, alternative; EU scope not established. This is a provisional connection, not an outcome finding.</w:t>
      </w:r>
    </w:p>
    <w:p>
      <w:pPr>
        <w:pStyle w:val="SourceNote"/>
      </w:pPr>
      <w:r>
        <w:rPr>
          <w:b/>
        </w:rPr>
        <w:t>Available abstract (not full text):</w:t>
      </w:r>
      <w:r>
        <w:t xml:space="preserve"> Abstract: The existing energy policy is tilted in the favour of the fossil fuels, which has resulted in an ever-increasing cost and consumption graph. The paper discusses the supply and demand obtained from the existing data and future trends. The installation cost and overall cost associated with the renewable energy is analysed as an alternative to existing fossil fuel base. Finally, the policy implications and the analysis of the existing and future energy supply and demand are discussed in the paper.</w:t>
      </w:r>
    </w:p>
    <w:p>
      <w:pPr>
        <w:pStyle w:val="Heading2"/>
      </w:pPr>
      <w:r>
        <w:t>689.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r>
        <w:rPr>
          <w:b/>
        </w:rPr>
        <w:t>POSSIBLE 2023:</w:t>
      </w:r>
      <w:r>
        <w:t xml:space="preserve"> Sex and Gender Differences in Stroke and Their Practical Implications in Acute Care — https://doi.org/10.5853/jos.2022.04077</w:t>
      </w:r>
    </w:p>
    <w:p>
      <w:pPr/>
      <w:r>
        <w:rPr>
          <w:b/>
        </w:rPr>
        <w:t>Shared claim-specific concepts:</w:t>
      </w:r>
      <w:r>
        <w:t xml:space="preserve"> practical, implications, conclusions, provide; EU scope not established. This is a provisional connection, not an outcome finding.</w:t>
      </w:r>
    </w:p>
    <w:p>
      <w:pPr>
        <w:pStyle w:val="SourceNote"/>
      </w:pPr>
      <w:r>
        <w:rPr>
          <w:b/>
        </w:rPr>
        <w:t>Available abstract (not full text):</w:t>
      </w:r>
      <w:r>
        <w:t xml:space="preserve"> There are several controversies regarding the role of sex and gender in the pathophysiology and management of acute stroke. Assessing the role of sex, i.e., biological/pathophysiological factors, and gender, i.e., sociocultural factors, in isolation is often not possible since they are closely intertwined with each other. To complicate matters even more, the functional baseline status of women and men at the time of their first stroke is substantially different, whereby women have, on average, a poorer reported/ascertained baseline function compared to men. These differences in baseline variables account for a large part of the differences in post-stroke outcomes between women and men. Adjusting for these baseline differences is difficult, and in many cases, residual confounding cannot be excluded. Despite these obstacles, a better understanding of how patient sex and gender differences influence acute stroke and stroke care pathways is crucial to avoid biases and allow us to provide the best possible care for all acute stroke patients. Disregarding patient sex and gender on one hand and ignoring potential confounding factors in sex- and gender-stratified analyses on the other hand, may cause researchers to come to erroneous conclusions and physicians to provide suboptimal care. This review outlines sex- and gender-related factors in key aspects of acute stroke, including acute</w:t>
      </w:r>
    </w:p>
    <w:p>
      <w:pPr/>
      <w:r>
        <w:rPr>
          <w:b/>
        </w:rPr>
        <w:t>POSSIBLE 2022:</w:t>
      </w:r>
      <w:r>
        <w:t xml:space="preserve"> THEORETICAL AND PRACTICAL ASPECTS REGARDING THE ISSUANCE OF EUROPEAN INVESTIGATION ORDER — https://openalex.org/W4365816987</w:t>
      </w:r>
    </w:p>
    <w:p>
      <w:pPr/>
      <w:r>
        <w:rPr>
          <w:b/>
        </w:rPr>
        <w:t>Shared claim-specific concepts:</w:t>
      </w:r>
      <w:r>
        <w:t xml:space="preserve"> practical, implications, conclusions, framework; EU scope visible. This is a provisional connection, not an outcome finding.</w:t>
      </w:r>
    </w:p>
    <w:p>
      <w:pPr>
        <w:pStyle w:val="SourceNote"/>
      </w:pPr>
      <w:r>
        <w:rPr>
          <w:b/>
        </w:rPr>
        <w:t>Available abstract (not full text):</w:t>
      </w:r>
      <w:r>
        <w:t xml:space="preserve"> The chosen topic, through its novelty in the field of international judicial cooperation in criminal matters, presents both theoretical and practical importance through the procedural-criminal implications it determines. The author analyzes both synthetically and analytically the functionality of the institution of the European investigation order, determining its content, application limits and subjects involved in the criminal trial report, highlighting the aspects of non-correlation of the objective with the intended purpose. The conclusions materialized in proposals to complete and improve the existing legislative framework, represented by Law no. 236/2017.</w:t>
      </w:r>
    </w:p>
    <w:p>
      <w:pPr/>
      <w:r>
        <w:rPr>
          <w:b/>
        </w:rPr>
        <w:t>POSSIBLE 2022:</w:t>
      </w:r>
      <w:r>
        <w:t xml:space="preserve"> Globalization, Green Economy and Environmental Challenges: State of the Art Review for Practical Implications — https://doi.org/10.3389/fenvs.2022.870271</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Globalization has significantly influenced the economy, ecology, and society during the previous decade. Meanwhile, the green economy has emerged as a critical policy framework for growth and development in developed and developing countries. The current study is an attempt to provide a detailed review on globalization, green economy, and climate challenges to draw some implications. There are disagreements between competing green economic discourses and a variety of definitions, all of which have problems. Recognizing the environmental effects of natural resource depletion and the economic benefits of environmental management are common examples of green economy operationalization. The new study also examines climate change’s impact on the green economy and infrastructure development. The study further considers the role of economic structure to mitigate environmental issues, increase production efficiency, enhance green economy and environmentally friendly technologies. The present study concluded that working toward a green economy helps reduce poverty in the four ways indicated in this study. It also shed a brief light to improves poor people’s access to a healthy and safe environment while increasing human security by preventing or resolving conflicts over land, food, water, and other natural resources.</w:t>
      </w:r>
    </w:p>
    <w:p>
      <w:pPr/>
      <w:r>
        <w:rPr>
          <w:b/>
        </w:rPr>
        <w:t>POSSIBLE 2022:</w:t>
      </w:r>
      <w:r>
        <w:t xml:space="preserve"> The European Union-Africa Migration Partnership: Asymmetry, Conditionality, and Rights Implications: Institutional Dimensions and Reform Pathways — https://doi.org/10.5281/zenodo.19519549</w:t>
      </w:r>
    </w:p>
    <w:p>
      <w:pPr/>
      <w:r>
        <w:rPr>
          <w:b/>
        </w:rPr>
        <w:t>Shared claim-specific concepts:</w:t>
      </w:r>
      <w:r>
        <w:t xml:space="preserve"> practical, implications; EU scope visible. This is a provisional connection, not an outcome finding.</w:t>
      </w:r>
    </w:p>
    <w:p>
      <w:pPr>
        <w:pStyle w:val="SourceNote"/>
      </w:pPr>
      <w:r>
        <w:rPr>
          <w:b/>
        </w:rPr>
        <w:t>Available abstract (not full text):</w:t>
      </w:r>
      <w:r>
        <w:t xml:space="preserve"> This article examines The European Union-Africa Migration Partnership: Asymmetry, Conditionality, and Rights Implications: Institutional Dimensions and Reform Pathways with a focused emphasis on Algeria within the field of Political Science. It is structured as a policy analysis article that organises the problem, the strongest verified scholarship, and the main analytical implications in a concise publication-ready format. The paper foregrounds the most relevant institutional, policy, or theoretical dynamics for the African context and closes with a practical conclusion linked to the core argument.</w:t>
      </w:r>
    </w:p>
    <w:p>
      <w:pPr/>
      <w:r>
        <w:rPr>
          <w:b/>
        </w:rPr>
        <w:t>POSSIBLE 2021:</w:t>
      </w:r>
      <w:r>
        <w:t xml:space="preserve"> How is human resource management research (not) helping practice? In defence of practical implications — https://doi.org/10.1111/1748-8583.12414</w:t>
      </w:r>
    </w:p>
    <w:p>
      <w:pPr/>
      <w:r>
        <w:rPr>
          <w:b/>
        </w:rPr>
        <w:t>Shared claim-specific concepts:</w:t>
      </w:r>
      <w:r>
        <w:t xml:space="preserve"> practical, implications, provide; EU scope not established. This is a provisional connection, not an outcome finding.</w:t>
      </w:r>
    </w:p>
    <w:p>
      <w:pPr>
        <w:pStyle w:val="SourceNote"/>
      </w:pPr>
      <w:r>
        <w:rPr>
          <w:b/>
        </w:rPr>
        <w:t>Available abstract (not full text):</w:t>
      </w:r>
      <w:r>
        <w:t xml:space="preserve"> Abstract This article provokes that human resource management (HRM) research is a long way from helping practice. Following a review of HRM empirical articles published in 2018, we show the limited focus academic journals place on practical implications. We provoke that HRM journals are failing to ‘do the right thing’ by not requiring authors to pay enough attention to communicating the practical implications of their research. In half of the articles that we reviewed (n = 324) less than 2% of the text focuses on practical implications. We also found that where practical implications were offered, they were often obscure, implicit, and used unintelligible terms. We argue for extensive practical implications to be included in publications that provide an impetus to research relevant topics and close the knowledge‐translation gap.</w:t>
      </w:r>
    </w:p>
    <w:p>
      <w:pPr/>
      <w:r>
        <w:rPr>
          <w:b/>
        </w:rPr>
        <w:t>POSSIBLE 2020:</w:t>
      </w:r>
      <w:r>
        <w:t xml:space="preserve"> Practical Implications From European Hospital Pharmacists on Prospective Risk Assessment for Medicine Shortages — https://doi.org/10.3389/fmed.2020.00407</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Objective This study aimed to obtain a comprehensive overview on the perception, attitudes and experience of European pharmacists with prospective risk assessment procedures in everyday practice, as well as to identify challenges and solutions. This is a follow-up study to the surveys on prospective risk assessment previously carried out within the COST Action 15105 among pharmacists across Europe. Methodology In-depth interviews were performed using an interview guide comprising 25 questions. Interviews were transcribed ad verbatim and imported into NVivo 10 for framework analysis. In NVivo, the interviews were coded through assigning text segments to a responding code from a coding tree, covering the full content of the interviews. Coded text segments were then charted into a matrix, and analyzed by interpreting all text segments per code. Results In total, 18 interviews were conducted. From the framework analysis, 6 codes and 12 sub-codes emerged. Overall, despite citing specific issues pertaining to its implementation, the interviewees considered multi-stakeholder and multi-disciplinary prospective risk assessment to be essential. While healthcare professionals reported being aware of the importance of risk assessment, they cited insufficient knowledge and skills to be a major obstacle in everyday practice. They also reported inadequate IT support since a paper-based system</w:t>
      </w:r>
    </w:p>
    <w:p>
      <w:pPr/>
      <w:r>
        <w:rPr>
          <w:b/>
        </w:rPr>
        <w:t>POSSIBLE 2019:</w:t>
      </w:r>
      <w:r>
        <w:t xml:space="preserve"> Artificial Intelligence in Clinical Decision Support: Challenges for Evaluating AI and Practical Implications — https://doi.org/10.1055/s-0039-1677903</w:t>
      </w:r>
    </w:p>
    <w:p>
      <w:pPr/>
      <w:r>
        <w:rPr>
          <w:b/>
        </w:rPr>
        <w:t>Shared claim-specific concepts:</w:t>
      </w:r>
      <w:r>
        <w:t xml:space="preserve"> practical, implications; EU scope visible. This is a provisional connection, not an outcome finding.</w:t>
      </w:r>
    </w:p>
    <w:p>
      <w:pPr>
        <w:pStyle w:val="SourceNote"/>
      </w:pPr>
      <w:r>
        <w:rPr>
          <w:b/>
        </w:rPr>
        <w:t>Available abstract (not full text):</w:t>
      </w:r>
      <w:r>
        <w:t xml:space="preserve"> OBJECTIVES: This paper draws attention to: i) key considerations for evaluating artificial intelligence (AI) enabled clinical decision support; and ii) challenges and practical implications of AI design, development, selection, use, and ongoing surveillance. METHOD: A narrative review of existing research and evaluation approaches along with expert perspectives drawn from the International Medical Informatics Association (IMIA) Working Group on Technology Assessment and Quality Development in Health Informatics and the European Federation for Medical Informatics (EFMI) Working Group for Assessment of Health Information Systems. RESULTS: There is a rich history and tradition of evaluating AI in healthcare. While evaluators can learn from past efforts, and build on best practice evaluation frameworks and methodologies, questions remain about how to evaluate the safety and effectiveness of AI that dynamically harness vast amounts of genomic, biomarker, phenotype, electronic record, and care delivery data from across health systems. This paper first provides a historical perspective about the evaluation of AI in healthcare. It then examines key challenges of evaluating AI-enabled clinical decision support during design, development, selection, use, and ongoing surveillance. Practical aspects of evaluating AI in healthcare, including approaches to evaluation and indicators to monito</w:t>
      </w:r>
    </w:p>
    <w:p>
      <w:pPr/>
      <w:r>
        <w:rPr>
          <w:b/>
        </w:rPr>
        <w:t>POSSIBLE 2019:</w:t>
      </w:r>
      <w:r>
        <w:t xml:space="preserve"> Conclusion, implications, and outlook — https://doi.org/10.4324/9780429021787-8</w:t>
      </w:r>
    </w:p>
    <w:p>
      <w:pPr/>
      <w:r>
        <w:rPr>
          <w:b/>
        </w:rPr>
        <w:t>Shared claim-specific concepts:</w:t>
      </w:r>
      <w:r>
        <w:t xml:space="preserve"> practical, implications, conclusions, basis; EU scope visible. This is a provisional connection, not an outcome finding.</w:t>
      </w:r>
    </w:p>
    <w:p>
      <w:pPr>
        <w:pStyle w:val="SourceNote"/>
      </w:pPr>
      <w:r>
        <w:rPr>
          <w:b/>
        </w:rPr>
        <w:t>Available abstract (not full text):</w:t>
      </w:r>
      <w:r>
        <w:t xml:space="preserve"> In this final chapter, conclusions are drawn on the results from the regression model and the constant comparative analysis and on this basis takes place the presentation of the dynamic Iceberg Model of LX learning for linguistic and cultural diverse contexts. Furthermore, implications as well as practical applications for teachers, parents, children, policymakers, and educationalists in both a local and broader European context are established. Finally, limitations regarding the used research methods and directions for future research are presented.</w:t>
      </w:r>
    </w:p>
    <w:p>
      <w:pPr/>
      <w:r>
        <w:rPr>
          <w:b/>
        </w:rPr>
        <w:t>POSSIBLE 2019:</w:t>
      </w:r>
      <w:r>
        <w:t xml:space="preserve"> Education Research At Risk In Europe: What are the scientific, ethical, political and practical implications? — https://openalex.org/W4412337840</w:t>
      </w:r>
    </w:p>
    <w:p>
      <w:pPr/>
      <w:r>
        <w:rPr>
          <w:b/>
        </w:rPr>
        <w:t>Shared claim-specific concepts:</w:t>
      </w:r>
      <w:r>
        <w:t xml:space="preserve"> practical, implications, conclusions, provide; EU scope visible. This is a provisional connection, not an outcome finding.</w:t>
      </w:r>
    </w:p>
    <w:p>
      <w:pPr>
        <w:pStyle w:val="SourceNote"/>
      </w:pPr>
      <w:r>
        <w:rPr>
          <w:b/>
        </w:rPr>
        <w:t>Available abstract (not full text):</w:t>
      </w:r>
      <w:r>
        <w:t xml:space="preserve"> As the ECER 2019 theme emphasizes, in an era increasingly perceived as unstable, unsustainable and at risk, educational processes, developments and capacity building become uncertain. Educational research (ER) is seen as having a pivotal role to play in generating answers to the many questions arising from this unstable landscape. However, ER itself is not exempt from risks that can hinder the ability to deal with this task. This workshop examines the types of risk that contemporary scholars struggle with and engage with different efforts tonavigate such a landscape of risk in order to ensure the continued relevance and impact of ER. Examples from such a landscape of risk could be how scholars in many countries face violence, prosecution or restrictions (SAR, 2018). Scholars are at times forced to limit their activities and mobility, or face isolation from the scientific community. Moreover, academic freedom is also at risk beyond the individual level: worldwide, a number of HE organisations are currently under attack, suffering political coercion and intimidation, and even forced to shut down or relocate (Karran et al., 2017). ER is also at risk for institutional reasons, as some public authorities and private companies investing in research push scholars to soften or eliminate conclusions that are not in line with the results they expect (Drenth, 2010). Another fundamental ri</w:t>
      </w:r>
    </w:p>
    <w:p>
      <w:pPr>
        <w:pStyle w:val="Heading2"/>
      </w:pPr>
      <w:r>
        <w:t>690.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r>
        <w:rPr>
          <w:b/>
        </w:rPr>
        <w:t>POSSIBLE 2023:</w:t>
      </w:r>
      <w:r>
        <w:t xml:space="preserve"> Greenhouse gas emissions and Green Deal in the European Union — https://doi.org/10.3389/fenvs.2023.1141473</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pPr/>
      <w:r>
        <w:rPr>
          <w:b/>
        </w:rPr>
        <w:t>POSSIBLE 2022:</w:t>
      </w:r>
      <w:r>
        <w:t xml:space="preserve"> Determinants of Reducing Greenhouse Gas Emissions in European Union Countries — https://doi.org/10.3390/en15249561</w:t>
      </w:r>
    </w:p>
    <w:p>
      <w:pPr/>
      <w:r>
        <w:rPr>
          <w:b/>
        </w:rPr>
        <w:t>Shared claim-specific concepts:</w:t>
      </w:r>
      <w:r>
        <w:t xml:space="preserve"> greenhouse, gas, emissions, compared, reduction; EU scope visible. This is a provisional connection, not an outcome finding.</w:t>
      </w:r>
    </w:p>
    <w:p>
      <w:pPr>
        <w:pStyle w:val="SourceNote"/>
      </w:pPr>
      <w:r>
        <w:rPr>
          <w:b/>
        </w:rPr>
        <w:t>Available abstract (not full text):</w:t>
      </w:r>
      <w:r>
        <w:t xml:space="preserve"> In the literature on the subject, it is argued that tax policy is one of the tools stimulating the transition toward sustainable economies. Public authorities can use two functions for this purpose: fiscal and non-fiscal functions. High emission rates and the rising rapid atmospheric changes that come with them are serious threats to the climate and sustainable development. Reducing greenhouse gas emissions is one of the goals towards which the world strives (including the EU), so as to keep a balance between people’s expectations, economic aspects, and the needs of the environment. Therefore, it is necessary to explain whether, along with other factors, environmental policy and its component “green taxes” can act as a factor in limiting greenhouse gas emissions. The purpose of this article is to seek an answer to the question of whether “green taxes” as an instrument of tax policy are a significant factor influencing climate change by contributing to reducing greenhouse gas emissions. This article attempts to identify the determinants of greenhouse gas emissions (the dependent variable) using the method of linear regression analysis. Multiple linear regression models are used to predict the value of the dependent variable based on the values of the independent variables (identified from the literature). Trading of CO2 emissions was not included in the analysis due to lack of d</w:t>
      </w:r>
    </w:p>
    <w:p>
      <w:pPr/>
      <w:r>
        <w:rPr>
          <w:b/>
        </w:rPr>
        <w:t>POSSIBLE 2022:</w:t>
      </w:r>
      <w:r>
        <w:t xml:space="preserve"> Reducing the environmental footprint of gastrointestinal endoscopy: European Society of Gastrointestinal Endoscopy (ESGE) and European Society of Gastroenterology and Endoscopy Nurses and Associates (ESGENA) Position Statement — https://doi.org/10.1055/a-1859-3726</w:t>
      </w:r>
    </w:p>
    <w:p>
      <w:pPr/>
      <w:r>
        <w:rPr>
          <w:b/>
        </w:rPr>
        <w:t>Shared claim-specific concepts:</w:t>
      </w:r>
      <w:r>
        <w:t xml:space="preserve"> aims, reduce, greenhouse, gas, emissions; EU scope visible. This is a provisional connection, not an outcome finding.</w:t>
      </w:r>
    </w:p>
    <w:p>
      <w:pPr>
        <w:pStyle w:val="SourceNote"/>
      </w:pPr>
      <w:r>
        <w:rPr>
          <w:b/>
        </w:rPr>
        <w:t>Available abstract (not full text):</w:t>
      </w:r>
      <w:r>
        <w:t xml:space="preserve">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r>
        <w:rPr>
          <w:b/>
        </w:rPr>
        <w:t>POSSIBLE 2021:</w:t>
      </w:r>
      <w:r>
        <w:t xml:space="preserve"> Greenhouse Gas Emissions and Health in the Countries of the European Union — https://doi.org/10.3389/fpubh.2021.756652</w:t>
      </w:r>
    </w:p>
    <w:p>
      <w:pPr/>
      <w:r>
        <w:rPr>
          <w:b/>
        </w:rPr>
        <w:t>Shared claim-specific concepts:</w:t>
      </w:r>
      <w:r>
        <w:t xml:space="preserve"> greenhouse, gas, emissions, compared, ghg; EU scope visible. This is a provisional connection, not an outcome finding.</w:t>
      </w:r>
    </w:p>
    <w:p>
      <w:pPr>
        <w:pStyle w:val="SourceNote"/>
      </w:pPr>
      <w:r>
        <w:rPr>
          <w:b/>
        </w:rPr>
        <w:t>Available abstract (not full text):</w:t>
      </w:r>
      <w:r>
        <w:t xml:space="preserve">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pStyle w:val="Heading2"/>
      </w:pPr>
      <w:r>
        <w:t>691.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r>
        <w:rPr>
          <w:b/>
        </w:rPr>
        <w:t>POSSIBLE 2023:</w:t>
      </w:r>
      <w:r>
        <w:t xml:space="preserve"> Greenhouse gas emissions and Green Deal in the European Union — https://doi.org/10.3389/fenvs.2023.1141473</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pPr/>
      <w:r>
        <w:rPr>
          <w:b/>
        </w:rPr>
        <w:t>POSSIBLE 2022:</w:t>
      </w:r>
      <w:r>
        <w:t xml:space="preserve"> Determinants of Reducing Greenhouse Gas Emissions in European Union Countries — https://doi.org/10.3390/en15249561</w:t>
      </w:r>
    </w:p>
    <w:p>
      <w:pPr/>
      <w:r>
        <w:rPr>
          <w:b/>
        </w:rPr>
        <w:t>Shared claim-specific concepts:</w:t>
      </w:r>
      <w:r>
        <w:t xml:space="preserve"> greenhouse, gas, emissions, compared, reduction; EU scope visible. This is a provisional connection, not an outcome finding.</w:t>
      </w:r>
    </w:p>
    <w:p>
      <w:pPr>
        <w:pStyle w:val="SourceNote"/>
      </w:pPr>
      <w:r>
        <w:rPr>
          <w:b/>
        </w:rPr>
        <w:t>Available abstract (not full text):</w:t>
      </w:r>
      <w:r>
        <w:t xml:space="preserve"> In the literature on the subject, it is argued that tax policy is one of the tools stimulating the transition toward sustainable economies. Public authorities can use two functions for this purpose: fiscal and non-fiscal functions. High emission rates and the rising rapid atmospheric changes that come with them are serious threats to the climate and sustainable development. Reducing greenhouse gas emissions is one of the goals towards which the world strives (including the EU), so as to keep a balance between people’s expectations, economic aspects, and the needs of the environment. Therefore, it is necessary to explain whether, along with other factors, environmental policy and its component “green taxes” can act as a factor in limiting greenhouse gas emissions. The purpose of this article is to seek an answer to the question of whether “green taxes” as an instrument of tax policy are a significant factor influencing climate change by contributing to reducing greenhouse gas emissions. This article attempts to identify the determinants of greenhouse gas emissions (the dependent variable) using the method of linear regression analysis. Multiple linear regression models are used to predict the value of the dependent variable based on the values of the independent variables (identified from the literature). Trading of CO2 emissions was not included in the analysis due to lack of d</w:t>
      </w:r>
    </w:p>
    <w:p>
      <w:pPr/>
      <w:r>
        <w:rPr>
          <w:b/>
        </w:rPr>
        <w:t>POSSIBLE 2022:</w:t>
      </w:r>
      <w:r>
        <w:t xml:space="preserve"> Reducing the environmental footprint of gastrointestinal endoscopy: European Society of Gastrointestinal Endoscopy (ESGE) and European Society of Gastroenterology and Endoscopy Nurses and Associates (ESGENA) Position Statement — https://doi.org/10.1055/a-1859-3726</w:t>
      </w:r>
    </w:p>
    <w:p>
      <w:pPr/>
      <w:r>
        <w:rPr>
          <w:b/>
        </w:rPr>
        <w:t>Shared claim-specific concepts:</w:t>
      </w:r>
      <w:r>
        <w:t xml:space="preserve"> aims, reduce, greenhouse, gas, emissions; EU scope visible. This is a provisional connection, not an outcome finding.</w:t>
      </w:r>
    </w:p>
    <w:p>
      <w:pPr>
        <w:pStyle w:val="SourceNote"/>
      </w:pPr>
      <w:r>
        <w:rPr>
          <w:b/>
        </w:rPr>
        <w:t>Available abstract (not full text):</w:t>
      </w:r>
      <w:r>
        <w:t xml:space="preserve">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r>
        <w:rPr>
          <w:b/>
        </w:rPr>
        <w:t>POSSIBLE 2021:</w:t>
      </w:r>
      <w:r>
        <w:t xml:space="preserve"> Greenhouse Gas Emissions and Health in the Countries of the European Union — https://doi.org/10.3389/fpubh.2021.756652</w:t>
      </w:r>
    </w:p>
    <w:p>
      <w:pPr/>
      <w:r>
        <w:rPr>
          <w:b/>
        </w:rPr>
        <w:t>Shared claim-specific concepts:</w:t>
      </w:r>
      <w:r>
        <w:t xml:space="preserve"> greenhouse, gas, emissions, compared, ghg; EU scope visible. This is a provisional connection, not an outcome finding.</w:t>
      </w:r>
    </w:p>
    <w:p>
      <w:pPr>
        <w:pStyle w:val="SourceNote"/>
      </w:pPr>
      <w:r>
        <w:rPr>
          <w:b/>
        </w:rPr>
        <w:t>Available abstract (not full text):</w:t>
      </w:r>
      <w:r>
        <w:t xml:space="preserve">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pStyle w:val="Heading2"/>
      </w:pPr>
      <w:r>
        <w:t>692.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2022:</w:t>
      </w:r>
      <w:r>
        <w:t xml:space="preserve"> WHAT AFFECTS THE FINANCIAL STRUCTURE OF FIRMS IN THE ICT INDUSTRY IN SELECTED EUROPEAN COUNTRIES — https://doi.org/10.25142/aak.2022.016</w:t>
      </w:r>
    </w:p>
    <w:p>
      <w:pPr/>
      <w:r>
        <w:rPr>
          <w:b/>
        </w:rPr>
        <w:t>Shared claim-specific concepts:</w:t>
      </w:r>
      <w:r>
        <w:t xml:space="preserve"> affect, industry, different; EU scope visible. This is a provisional connection, not an outcome finding.</w:t>
      </w:r>
    </w:p>
    <w:p>
      <w:pPr>
        <w:pStyle w:val="SourceNote"/>
      </w:pPr>
      <w:r>
        <w:rPr>
          <w:b/>
        </w:rPr>
        <w:t>Available abstract (not full text):</w:t>
      </w:r>
      <w:r>
        <w:t xml:space="preserve"> During its life cycle, a company needs different amounts of funds, which can come from different entities.Each company has a specific structure of funding sources with respect to geographical and industry affiliation.The size of the company also has an impact on the structure of these sources.There is a number of determinants that affects the financial structure which is why a universal recommendation cannot be found.Thanks to these facts, more and more research has been created for over half a century.However, it is not possible to focus on individual companies and so compare different industries and economies.This research expands knowledge in the industry of information and telecommunication technologies in the countries of the extended Visegrád Group (V4 plus Austria, Bulgaria, Romania, Slovenia).Medium and (very) large companies during the period 2010-2018 are analysed.The aim of this research is to determine whether profitability, liquidity, asset structure, GDP growth rate, inflation rate and reference interest rate affect the level of total, long-term and short-term debt.The Generalized Method of Moments was chosen to determine these impacts.The main conclusion is that without regard to the size, the level of debt is most affected by determinants that represent the external environment of companies with the level of the reference interest rate having the most significan</w:t>
      </w:r>
    </w:p>
    <w:p>
      <w:pPr/>
      <w:r>
        <w:rPr>
          <w:b/>
        </w:rPr>
        <w:t>POSSIBLE 2022:</w:t>
      </w:r>
      <w:r>
        <w:t xml:space="preserve"> Ship of Darkness: Jazz and/as Affect in the Global Cruise Industry — https://doi.org/10.5406/25784773.5.2.02</w:t>
      </w:r>
    </w:p>
    <w:p>
      <w:pPr/>
      <w:r>
        <w:rPr>
          <w:b/>
        </w:rPr>
        <w:t>Shared claim-specific concepts:</w:t>
      </w:r>
      <w:r>
        <w:t xml:space="preserve"> affect, industry, notably; EU scope not established. This is a provisional connection, not an outcome finding.</w:t>
      </w:r>
    </w:p>
    <w:p>
      <w:pPr>
        <w:pStyle w:val="SourceNote"/>
      </w:pPr>
      <w:r>
        <w:rPr>
          <w:b/>
        </w:rPr>
        <w:t>Available abstract (not full text):</w:t>
      </w:r>
      <w:r>
        <w:t xml:space="preserve"> This is an experimental story that dwells in the connections between academic jazz programs and the global cruise industry, the ideological and affective attachments people maintain between these two institutions in the twenty-first century, and what is at stake in their naming and contemplation.3 Using disruptively prosed rhythms and modular form, it attempts a worlding of everyday cruise life and the soundings, mobilities, and affective geographies of early-career musicians living at sea, profoundly unmoored from the places and networks in which jazz is typically thought to flourish.Narrating this story means disrupting the silence of jazz studies on a political economy that has implicated generations of university-trained musicians ever since the turn of the 1970s, which witnessed the coterminous rise of college jazz education in the United States and multinational, corporatized cruise tourism.4 From the former emerged a musical workforce particularly suited for the latter's burgeoning demand for entertainment: technically and stylistically versatile, trained to both improvise and sight-read, and otherwise poised to enter an increasingly precarious terrestrial gig economy, many of these hybrid musicians pay their dues—and their bills—not on the road, but in international waters.Studying the flow of bodies, sounds, and capital between jazz schools and cruise ships, writing th</w:t>
      </w:r>
    </w:p>
    <w:p>
      <w:pPr/>
      <w:r>
        <w:rPr>
          <w:b/>
        </w:rPr>
        <w:t>POSSIBLE 2019:</w:t>
      </w:r>
      <w:r>
        <w:t xml:space="preserve"> Estimating the waste heat recovery in the European Union Industry — https://doi.org/10.1007/s40974-019-00132-7</w:t>
      </w:r>
    </w:p>
    <w:p>
      <w:pPr/>
      <w:r>
        <w:rPr>
          <w:b/>
        </w:rPr>
        <w:t>Shared claim-specific concepts:</w:t>
      </w:r>
      <w:r>
        <w:t xml:space="preserve"> industry, different, major, environmental; EU scope visible. This is a provisional connection, not an outcome finding.</w:t>
      </w:r>
    </w:p>
    <w:p>
      <w:pPr>
        <w:pStyle w:val="SourceNote"/>
      </w:pPr>
      <w:r>
        <w:rPr>
          <w:b/>
        </w:rPr>
        <w:t>Available abstract (not full text):</w:t>
      </w:r>
      <w:r>
        <w:t xml:space="preserve"> Abstract Industrial processes are currently responsible for nearly 26% of European primary energy consumptions and are characterized by a multitude of energy losses. Among them, the ones that occur as heat streams rejected to the environment in the form of exhausts or effluents take place at different temperature levels. The reduction or recovery of such types of energy flows will undoubtedly contribute to the achievement of improved environmental performance as well as to reduce the overall manufacturing costs of goods. In this scenario, the current work aims at outlining the prospects of potential for industrial waste heat recovery in the European Union (EU) upon identification and quantification of primary energy consumptions among the major industrial sectors and their related waste streams and temperature levels. The paper introduces a new approach toward estimating the waste heat recovery in the European Union industry, using the Carnot efficiency in relation to the temperature levels of the processes involved. The assessment is carried out using EU statistical energy databases. The overall EU thermal energy waste is quantified at 920 TWh theoretical potential and 279 TWh Carnot potential.</w:t>
      </w:r>
    </w:p>
    <w:p>
      <w:pPr/>
      <w:r>
        <w:rPr>
          <w:b/>
        </w:rPr>
        <w:t>POSSIBLE 2019:</w:t>
      </w:r>
      <w:r>
        <w:t xml:space="preserve"> The whole systems energy injustice of four European low-carbon transitions — https://doi.org/10.1016/j.gloenvcha.2019.101958</w:t>
      </w:r>
    </w:p>
    <w:p>
      <w:pPr/>
      <w:r>
        <w:rPr>
          <w:b/>
        </w:rPr>
        <w:t>Shared claim-specific concepts:</w:t>
      </w:r>
      <w:r>
        <w:t xml:space="preserve"> whole, climate, environmental; EU scope visible. This is a provisional connection, not an outcome finding.</w:t>
      </w:r>
    </w:p>
    <w:p>
      <w:pPr>
        <w:pStyle w:val="SourceNote"/>
      </w:pPr>
      <w:r>
        <w:rPr>
          <w:b/>
        </w:rPr>
        <w:t>Available abstract (not full text):</w:t>
      </w:r>
      <w:r>
        <w:t xml:space="preserve"> The need for multi-scalar analysis of energy and low-carbon systems is becoming more apparent as a way to assess the holistic socioeconomic and environmental impacts of energy transitions across a variety of scales and lifecycle stages. This paper conducts a whole systems energy justice analysis of four European low-carbon transitions—nuclear power in France, smart meters in Great Britain, electric vehicles in Norway, and solar photovoltaic panels in Germany. It asks: in what ways may each of these transitions result in injustices that extend beyond communities and countries, i.e., across the whole system? It utilizes a mixed-methods research design based on 64 semi-structured research interviews with experts across all four transitions, five public focus groups, and the collection of 58 comments from twelve public internet forums to answer this question. Drawing inductively from these data, the paper identifies and analyzes 44 injustices spread across three spatial scales. Micro scale injustices concern immediate local impacts on family livelihood, community health and the environment. Meso scale injustices include national-scale issues such as rising prices for electricity and gas or unequal access to low-carbon technology. Macro scale injustices include global issues such as the extraction of minerals and metals and the circulation of waste flows. The paper then discusses th</w:t>
      </w:r>
    </w:p>
    <w:p>
      <w:pPr>
        <w:pStyle w:val="Heading2"/>
      </w:pPr>
      <w:r>
        <w:t>693.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pStyle w:val="Heading2"/>
      </w:pPr>
      <w:r>
        <w:t>694.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2022:</w:t>
      </w:r>
      <w:r>
        <w:t xml:space="preserve"> FRESHER: Challenges and opportunities for building Health/Healthy futures — https://doi.org/10.1093/eurpub/ckac129.121</w:t>
      </w:r>
    </w:p>
    <w:p>
      <w:pPr/>
      <w:r>
        <w:rPr>
          <w:b/>
        </w:rPr>
        <w:t>Shared claim-specific concepts:</w:t>
      </w:r>
      <w:r>
        <w:t xml:space="preserve"> foresight, project, fresher, modelling, health, regulation; EU scope visible. This is a provisional connection, not an outcome finding.</w:t>
      </w:r>
    </w:p>
    <w:p>
      <w:pPr>
        <w:pStyle w:val="SourceNote"/>
      </w:pPr>
      <w:r>
        <w:rPr>
          <w:b/>
        </w:rPr>
        <w:t>Available abstract (not full text):</w:t>
      </w:r>
      <w:r>
        <w:t xml:space="preserve"> Abstract Background FRESHER (2016-2018) Foresight and modelling for European health policy and regulation - is a H2020 project that aimed at representing alternative health Scenarios to test future policies for tacking Non-Communicable Diseases (NCDs). The key added-value consists in the combination of qualitative foresight and quantitative forecast approaches: a micro-simulation model, specifically developed by the project, computed the health outcomes of the four FRESHER Scenarios. Methods The Scenarios building activities involved overall more than four-hundred experts and stakeholders, with different backgrounds within and beyond health fields, throughout all the steps of the process, in two surveys and nine workshops. The horizon scanning phase led to identify a wide range of societal trends that impact health and NCDs. Considering a long-term horizon at 2050, eight trends were then selected and ranked according to their importance and uncertainty.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 Conclusions Giv</w:t>
      </w:r>
    </w:p>
    <w:p>
      <w:pPr/>
      <w:r>
        <w:rPr>
          <w:b/>
        </w:rPr>
        <w:t>POSSIBLE 2022:</w:t>
      </w:r>
      <w:r>
        <w:t xml:space="preserve"> Shaping the Future of Health Data: A Scenario-Based Approach — https://doi.org/10.3233/shti220355</w:t>
      </w:r>
    </w:p>
    <w:p>
      <w:pPr/>
      <w:r>
        <w:rPr>
          <w:b/>
        </w:rPr>
        <w:t>Shared claim-specific concepts:</w:t>
      </w:r>
      <w:r>
        <w:t xml:space="preserve"> health, stakeholders, care; EU scope visible. This is a provisional connection, not an outcome finding.</w:t>
      </w:r>
    </w:p>
    <w:p>
      <w:pPr>
        <w:pStyle w:val="SourceNote"/>
      </w:pPr>
      <w:r>
        <w:rPr>
          <w:b/>
        </w:rPr>
        <w:t>Available abstract (not full text):</w:t>
      </w:r>
      <w:r>
        <w:t xml:space="preserve"> BACKGROUND: The European health care industry faces massive changes which impose new challenges on its stakeholders. OBJECTIVE: In this paper, we present the results of a market-based analysis for upcoming changes in the European health care industry and what this specifically means for issues corresponding to data. METHOD: Scenarios are a common tool to explain and analyze future changes in business environments. This method was used in a series of workshops together with an interdisciplinary group of experts. RESULTS: Ten individual scenarios represent potential futures with distinctive subsets of data landscapes. Their assessment shows that the expected future of health data is still rather unclear, while desired changes are quite distinct. CONCLUSION: The Health Data Scenarios offer a comprehensive framework for analyzing future data-driven developments in the health care industry.</w:t>
      </w:r>
    </w:p>
    <w:p>
      <w:pPr/>
      <w:r>
        <w:rPr>
          <w:b/>
        </w:rPr>
        <w:t>POSSIBLE 2021:</w:t>
      </w:r>
      <w:r>
        <w:t xml:space="preserve"> Foresight Capacity Building — https://doi.org/10.5281/zenodo.6630549</w:t>
      </w:r>
    </w:p>
    <w:p>
      <w:pPr/>
      <w:r>
        <w:rPr>
          <w:b/>
        </w:rPr>
        <w:t>Shared claim-specific concepts:</w:t>
      </w:r>
      <w:r>
        <w:t xml:space="preserve"> foresight, project, health;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Overview of foresight related activities — https://doi.org/10.5281/zenodo.6631472</w:t>
      </w:r>
    </w:p>
    <w:p>
      <w:pPr/>
      <w:r>
        <w:rPr>
          <w:b/>
        </w:rPr>
        <w:t>Shared claim-specific concepts:</w:t>
      </w:r>
      <w:r>
        <w:t xml:space="preserve"> foresight, health, beyond, activities; EU scope visible. This is a provisional connection, not an outcome finding.</w:t>
      </w:r>
    </w:p>
    <w:p>
      <w:pPr>
        <w:pStyle w:val="SourceNote"/>
      </w:pPr>
      <w:r>
        <w:rPr>
          <w:b/>
        </w:rPr>
        <w:t>Available abstract (not full text):</w:t>
      </w:r>
      <w:r>
        <w:t xml:space="preserve"> The Population Health Information Research Infrastructure (PHIRI) on COVID-19 seeks to lay the foundation of a federated research infrastructure on population health to support research across Europe to underpin public health policy decisions in current and future pandemics or crises. Through Work Package 9 (WP9), PHIRI aims at gaining insights in possible future health impacts of the COVID-19 outbreak, by building capacity on foresight studies. A foresight study refers to a broad range of methodologies to describe possible futures. This report presents a brief overview of the results from Task 9.1. “Overview of current foresight activities in Europe and beyond”. This task was led by Universidade NOVA de Lisboa (DGS/UNL), in collaboration with other task Partners: National Institute for Public Health and the Environment in the Netherlands (RIVM), Austrian Public Health Institute (GÖG), and the Croatian Institute of Public Health (CIPH). This report aims to present a general mapping of foresight studies in Europe, but also includes international studies and studies from other non-European countries.</w:t>
      </w:r>
    </w:p>
    <w:p>
      <w:pPr/>
      <w:r>
        <w:rPr>
          <w:b/>
        </w:rPr>
        <w:t>POSSIBLE 2020:</w:t>
      </w:r>
      <w:r>
        <w:t xml:space="preserve"> FRESHER and RARE 2030: scanning the horizon emerging trends in health and healthcare — https://doi.org/10.1093/eurpub/ckaa165.182</w:t>
      </w:r>
    </w:p>
    <w:p>
      <w:pPr/>
      <w:r>
        <w:rPr>
          <w:b/>
        </w:rPr>
        <w:t>Shared claim-specific concepts:</w:t>
      </w:r>
      <w:r>
        <w:t xml:space="preserve"> foresight, project, fresher, health, regulation, options; EU scope visible. This is a provisional connection, not an outcome finding.</w:t>
      </w:r>
    </w:p>
    <w:p>
      <w:pPr>
        <w:pStyle w:val="SourceNote"/>
      </w:pPr>
      <w:r>
        <w:rPr>
          <w:b/>
        </w:rPr>
        <w:t>Available abstract (not full text):</w:t>
      </w:r>
      <w:r>
        <w:t xml:space="preserve"> Abstract Background Health and healthcare are facing novel challenges ranging from broad, shifting trends to emerging innovative technologies and social practices. Foresight methodology aims to analyse emerging trends, building different future scenarios and identifying policy options to support the policy dialogue. Methods FRESHER and RARE 2030 are two EU-H2020 projects. FRESHER- FoRESight for hEalth policy development and Regulation (2016-2018) aimed at representing long term alternative health Scenarios testing future policies to tackle the burden of Non-Communicable Diseases. A micro-simulation model, specifically enhanced by the project, also computed the health outcomes of the different four Scenarios. Rare 2030-Foresight in Rare Diseases Policy (2019-2020) uses a participatory approach to identify the most relevant trends, anticipate their influence over the next decade and propose policy recommendations that could lead to a better future for people living with Rare Diseases. Different in scope, these projects share common features. Both follow a four steps foresight methodology: horizon scanning, trends identification and ranking, scenarios building, back-casting and policy elaboration. Taking a participatory approach, these studies apply structured qualitative tools, involve a wide range of stakeholders and include regional case studies. Results 20 trends emerged as ke</w:t>
      </w:r>
    </w:p>
    <w:p>
      <w:pPr/>
      <w:r>
        <w:rPr>
          <w:b/>
        </w:rPr>
        <w:t>POSSIBLE 2020:</w:t>
      </w:r>
      <w:r>
        <w:t xml:space="preserve"> How will the main risk factors contribute to the burden of non-communicable diseases under different scenarios by 2050? A modelling study — https://doi.org/10.1371/journal.pone.0231725</w:t>
      </w:r>
    </w:p>
    <w:p>
      <w:pPr/>
      <w:r>
        <w:rPr>
          <w:b/>
        </w:rPr>
        <w:t>Shared claim-specific concepts:</w:t>
      </w:r>
      <w:r>
        <w:t xml:space="preserve"> modelling, health, trends; EU scope visible. This is a provisional connection, not an outcome finding.</w:t>
      </w:r>
    </w:p>
    <w:p>
      <w:pPr>
        <w:pStyle w:val="SourceNote"/>
      </w:pPr>
      <w:r>
        <w:rPr>
          <w:b/>
        </w:rPr>
        <w:t>Available abstract (not full text):</w:t>
      </w:r>
      <w:r>
        <w:t xml:space="preserve"> BACKGROUND: The future burden of non-communicable diseases (NCDs) depends on numerous factors such as population ageing, evolution of societal trends, behavioural and physiological risk factors of individuals (e.g. smoking, alcohol use, obesity, physical inactivity, and hypertension). This study aims to assess the burden of NCDs in Europe by 2050 under alternative scenarios. METHODS: This study combines qualitative and quantitative forecasting techniques to examine how population health in Europe may evolve from 2015 to 2050, taking into account future societal trends. Four scenarios were developed (one business-as-usual scenario, two response scenarios and one pessimistic scenario) and assessed against 'best' and 'worst'-case scenarios. This study provides quantitative estimates of both diseases and mortality outcomes, using a microsimulation model incorporating international survey data. FINDINGS: Each scenario is associated with a different risk factor prevalence rate across Europe during the period 2015-2050. The prevalence and incidence of NCDs consistently increase during the analysed time period, mainly driven by population ageing. In more optimistic scenarios, diseases will appear in later ages, while in the pessimistic scenarios, NCDs will impair working-age people. Life expectancy is expected to grow in all scenarios, but with differences by up to 4 years across scena</w:t>
      </w:r>
    </w:p>
    <w:p>
      <w:pPr/>
      <w:r>
        <w:rPr>
          <w:b/>
        </w:rPr>
        <w:t>POSSIBLE 2020:</w:t>
      </w:r>
      <w:r>
        <w:t xml:space="preserve"> Assessing the future medical cost burden for the European health systems under alternative exposure-to-risks scenarios — https://doi.org/10.1371/journal.pone.0238565</w:t>
      </w:r>
    </w:p>
    <w:p>
      <w:pPr/>
      <w:r>
        <w:rPr>
          <w:b/>
        </w:rPr>
        <w:t>Shared claim-specific concepts:</w:t>
      </w:r>
      <w:r>
        <w:t xml:space="preserve"> health, usual, trends; EU scope visible. This is a provisional connection, not an outcome finding.</w:t>
      </w:r>
    </w:p>
    <w:p>
      <w:pPr>
        <w:pStyle w:val="SourceNote"/>
      </w:pPr>
      <w:r>
        <w:rPr>
          <w:b/>
        </w:rPr>
        <w:t>Available abstract (not full text):</w:t>
      </w:r>
      <w:r>
        <w:t xml:space="preserve"> BACKGROUND: Ageing populations and rising prevalence of non-communicable diseases (NCDs) increasingly contribute to the growing cost burden facing European healthcare systems. Few studies have attempted to quantify the future magnitude of this burden at the European level, and none of them consider the impact of potential changes in risk factor trajectories on future health expenditures. METHODS: The new microsimulation model forecasts the impact of behavioural and metabolic risk factors on NCDs, longevity and direct healthcare costs, and shows how changes in epidemiological trends can modify those impacts. Economic burden of NCDs is modelled under three scenarios based on assumed future risk factors trends: business as usual (BAU); best case and worst case predictions (BCP and WCP). FINDINGS: The direct costs of NCDs in the EU 27 countries and the UK (in constant 2014 prices) will grow under all scenarios. Between 2014 and 2050, the overall healthcare spending is expected to increase by 0.8% annually under BAU. In the all the countries, 605 billion Euros can be saved by 2050 if BCP is realized compared to the BAU, while excess spending under the WCP is forecast to be around 350 billion. Interpretation: Although the savings realised under the BCP can be substantial, population ageing is a stronger driver of rising total healthcare expenditures in Europe compared to scenario-bas</w:t>
      </w:r>
    </w:p>
    <w:p>
      <w:pPr/>
      <w:r>
        <w:rPr>
          <w:b/>
        </w:rPr>
        <w:t>POSSIBLE 2019:</w:t>
      </w:r>
      <w:r>
        <w:t xml:space="preserve"> Scenarios for population health inequalities in 2030 in Europe: the EURO-HEALTHY project experience — https://doi.org/10.1186/s12939-019-1000-8</w:t>
      </w:r>
    </w:p>
    <w:p>
      <w:pPr/>
      <w:r>
        <w:rPr>
          <w:b/>
        </w:rPr>
        <w:t>Shared claim-specific concepts:</w:t>
      </w:r>
      <w:r>
        <w:t xml:space="preserve"> project, health, stakeholders, policy-making, pose, affect; EU scope visible. This is a provisional connection, not an outcome finding.</w:t>
      </w:r>
    </w:p>
    <w:p>
      <w:pPr>
        <w:pStyle w:val="SourceNote"/>
      </w:pPr>
      <w:r>
        <w:rPr>
          <w:b/>
        </w:rPr>
        <w:t>Available abstract (not full text):</w:t>
      </w:r>
      <w:r>
        <w:t xml:space="preserve"> BACKGROUND: Health inequalities have been consistently reported across and within European countries and continue to pose major challenges to policy-making. The development of scenarios regarding what could affect population health (PH) inequalities across Europe in the future is considered critical. Scenarios can help policy-makers prepare and better cope with fast evolving challenges.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 Stages ii) and iii) were conducted in two workshops with a strategic group of 13 experts with a wide view about PH inequalities. The scenario narratives were</w:t>
      </w:r>
    </w:p>
    <w:p>
      <w:pPr>
        <w:pStyle w:val="Heading2"/>
      </w:pPr>
      <w:r>
        <w:t>695.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r>
        <w:rPr>
          <w:b/>
        </w:rPr>
        <w:t>POSSIBLE 2022:</w:t>
      </w:r>
      <w:r>
        <w:t xml:space="preserve"> 7.L. Workshop: New roles and innovative skill-mix in nursing across Europe: trends and lessons for implementation — https://doi.org/10.1093/eurpub/ckac129.446</w:t>
      </w:r>
    </w:p>
    <w:p>
      <w:pPr/>
      <w:r>
        <w:rPr>
          <w:b/>
        </w:rPr>
        <w:t>Shared claim-specific concepts:</w:t>
      </w:r>
      <w:r>
        <w:t xml:space="preserve"> implementation, first, presented; EU scope visible. This is a provisional connection, not an outcome finding.</w:t>
      </w:r>
    </w:p>
    <w:p>
      <w:pPr>
        <w:pStyle w:val="SourceNote"/>
      </w:pPr>
      <w:r>
        <w:rPr>
          <w:b/>
        </w:rPr>
        <w:t>Available abstract (not full text):</w:t>
      </w:r>
      <w:r>
        <w:t xml:space="preserve"> Abstract Many countries in Europe are changing the roles and skill-mix of their nursing workforce. A sufficient and well-skilled nursing workforce has shown to be key for population health, most recently demonstrated during the Covid-19 pandemic. An increasing number of countries have introduced Master-level education for nurses to work in advanced practice nursing (APN) roles. These changes in the educational systems have implications on patients, clinical practice, teams and health systems. Moreover, many countries are re-orienting their health services from hospital to primary health care and prevention, driving new roles for nurses. The relevance of high-quality education and upskilling has been exemplified during the Covid-19 pandemic, where nurses had to quickly adapt to new treatment and caregiving situations in challenging work environments. Objectives of the workshop. This workshop will provide an overview of research and policy developments in Europe, drawing on recent research. First, an overview of innovative skill-mix changes in nursing will be presented and evidence on health outcomes, based on a study from the European Observatory on Health Systems and Policies. Second, research from Germany in five innovator hospitals will be presented, a country which is still at an early stage with integrating nurses in advanced roles. The panel discussion will address innovat</w:t>
      </w:r>
    </w:p>
    <w:p>
      <w:pPr/>
      <w:r>
        <w:rPr>
          <w:b/>
        </w:rPr>
        <w:t>POSSIBLE 2021:</w:t>
      </w:r>
      <w:r>
        <w:t xml:space="preserve"> First Draft of Crypto-Asset Regulation (MiCA) with the European Union and Potential Implementation — https://doi.org/10.4467/22996834flr.21.011.13979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This article focuses on the very first working draft of new crypto-asset regulation within the European Union. The primary aim of this article is to evaluate the newly defined institutes in the draft and confirm or disprove the hypothesis that this new system of crypto-assets may be implemented to the actual regulation of capital markets as well as payment system, in effect within the European Union. As mentioned above, hypothesis will count on an ideal adoption of the MiCA regulation into the existing legal framework of both, capital markets as well as payments regulation in the European Union, not interfering with existing laws or regulations. Within the first part of this article, synthesis will be used as well as compilation for the description of crypto-asset categories and of the issuers of crypto-assets or crypto-asset service providers. Subsequently, analysis will be applied for the specification of missing elements for the purpose of finding the right connection and implementation into the existing regulation of capital markets and payments industry.</w:t>
      </w:r>
    </w:p>
    <w:p>
      <w:pPr/>
      <w:r>
        <w:rPr>
          <w:b/>
        </w:rPr>
        <w:t>POSSIBLE 2021:</w:t>
      </w:r>
      <w:r>
        <w:t xml:space="preserve"> Implementation of the New European Bauhaus Principles as a Context for Teaching Sustainable Architecture — https://doi.org/10.3390/su131910715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Due to the presentation of the European Green Deal (EGD) on 11 December 2019, it is important to introduce a new context for the education of architects corresponding to the objectives set by the European Union. These include reducing greenhouse gas emissions, increasing the energy efficiency of buildings, designing buildings in accordance with the principles of the circular economy, using renewable energy, as well as promoting ecological food and protecting biodiversity. As part of the design course Environmentally Friendly Housing Architecture, inspired by, among others, the design of the New European Bauhaus and the former Bauhaus art school, both of which are compared in the first part of this article, we identify a number of new, assessed design indicators related to the achievement of the above objectives, in line with the trend of sustainable architecture. The indicators are divided into four main categories: energy, environment, indoor climate, and society, where, for example, the environmental category includes the following criteria: embodied energy (MJ/m2), embodied carbon footprint (CO2eq/m2), use of rainwater and gray water (% of demand), use of mains water (% of demand), local production of vegetables and fruit (% of demand). During the design process, changes were made to achieve better indicators, and the final designs were described using radar charts. The pape</w:t>
      </w:r>
    </w:p>
    <w:p>
      <w:pPr/>
      <w:r>
        <w:rPr>
          <w:b/>
        </w:rPr>
        <w:t>POSSIBLE 2021:</w:t>
      </w:r>
      <w:r>
        <w:t xml:space="preserve"> Implementation of circular economy on the basis of European experience — https://doi.org/10.23939/smeu2021.02.280</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Accelerated population growth, depletion of natural resources, excessive pollution of the environment, which threatens the existence of mankind, was a prerequisite for the emergence of the concept of circular economy and the principles of sustainable development, ie doing business without harm to the environment. The model of circular (circular) economy is aimed at energy saving, regenerative environmentally friendly consumption and production. The article presents the results of the study of the concept of circular economy and the benefits of its implementation based on the experience of the European Union - a global leader in this field. The main goals, priorities and measures of the EU in the implementation of the circular economy are revealed. The basic principles of the circular economy are highlighted, examples of successful use of its business models are given. The two most acute global problems that can be solved only by a closed-loop economy are identified, and forecasts of the results of its global use are given. Closed-loop economics is a concept of resource management that is rapidly gaining global popularity and is recognized in the scientific literature as one of the key drivers for achieving objectives of the Paris Agreement. 30 years have passed since the first mention of the "circularity" of the economy, however only after its official introduction in the EU it</w:t>
      </w:r>
    </w:p>
    <w:p>
      <w:pPr/>
      <w:r>
        <w:rPr>
          <w:b/>
        </w:rPr>
        <w:t>POSSIBLE 2021:</w:t>
      </w:r>
      <w:r>
        <w:t xml:space="preserve"> RURAL ECONOMY: DIRECTIONS OF NEW THEORIZATION AND IMPLEMENTATION OF BEST EUROPEAN FINANCIAL REGULATION PRACTICES — https://doi.org/10.18371/fcaptp.v5i40.245198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A Ukrainian intellectual-expert community is at the initial stage of forming a methodological basis of the rural economy ontogenesis that is determined, first of all, by the ongoing decentralization reform, a new role of the rural economy from the national perspective of a new (both coronavirus and post-COVID) economic reality in ensuring food sovereignty, economic recovery of the economy, in general, and rural territorial communities, in particular, with regard to new challenges associated with the ageing of the rural community, de-population, predominance of the rural employment in the rural area and financivization of relationships within the rural economic agents, ultimately creating a new normality of the operation and development of the rural economy. Taking into account that Ukraine has strategically outlined its aspiration for integrating into the European Community having successfully passed a forming phase of group dynamics (according to Bruce Tuckman), has moved to a conflict phase having enlarged its orthodox understanding to the absence of proper parity in the development of socioeconomic, financial-institutional processes inside the rural economy, having created the threats to its transition to comprehensive digitalization and «greening» of finances applied for it. In the European Union, this problematics has been studied and an analysis of searches of d</w:t>
      </w:r>
    </w:p>
    <w:p>
      <w:pPr/>
      <w:r>
        <w:rPr>
          <w:b/>
        </w:rPr>
        <w:t>POSSIBLE 2020:</w:t>
      </w:r>
      <w:r>
        <w:t xml:space="preserve"> European project ‘blueprint “new skills agenda steel”: industry-driven sustainable european steel skills agenda and strategy (essa)’ – the first year of implementation — https://doi.org/10.32730/imz.2657-747.19.4.1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The article presents the general characteristics of the European project implemented by an international consortium, which includes the Łukasiewicz Research Network – Institute of Ferrous Metallurgy. The project concerns the preparation and improvement of personnel for the steel sector in the face of the rapidly approaching industrial revolution 4.0: WORK 4.0 for STEEL 4.0. The article presents the first results of the project obtained in 2019, highlighting the Institute’s contribution. The four-year project (completed in December 2022) integrates the efforts in this area of a broad European consortium, consisting of 24 partners from 10 countries and 14 associated partners from 8 countries, in the ERASMUS + programme.</w:t>
      </w:r>
    </w:p>
    <w:p>
      <w:pPr/>
      <w:r>
        <w:rPr>
          <w:b/>
        </w:rPr>
        <w:t>POSSIBLE 2020:</w:t>
      </w:r>
      <w:r>
        <w:t xml:space="preserve"> Exploring the Role of Carbon Taxation Policies on CO2 Emissions: Contextual Evidence from Tax Implementation and Non-Implementation European Countries — https://doi.org/10.3390/su12208680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During the past decades, environmental related taxes, energy, and carbon taxes has been recommended by environmental scientists as a policy tool to mitigate pollutant emissions in developed and developing economies. Among developed nations, Denmark, Finland, Sweden, the Netherlands, and Norway were the first regions to adopt a tax on carbon dioxide (CO2) emissions and research into the impacts of carbon tax on carbon emissions bring significant implications. The prime objective and goal of this work is to explore the role of carbon tax reforms for environmental quality in European economies. This is probably the first study to conduct a comparative study in European context for carbon-tax implementation and non-implementation policies. To this end, the present study reports new conclusions and implications regarding the effectiveness of environmental regulations and policies for climate change and sustainability. In the present study, the authors exhaustively explore the impacts of the carbon-tax on the mitigation of CO2 emissions. Using the propensity score matching method, the results of the estimation of the different matching methods allow us to observe a positive and significant impact of the adoption of the carbon-tax on stimulating the reduction of carbon emissions.</w:t>
      </w:r>
    </w:p>
    <w:p>
      <w:pPr/>
      <w:r>
        <w:rPr>
          <w:b/>
        </w:rPr>
        <w:t>POSSIBLE 2020:</w:t>
      </w:r>
      <w:r>
        <w:t xml:space="preserve"> The implementation of the circular economy in the European Union — https://openalex.org/W3157224602</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The circular economy (CE) is an area that has received increased amounts of attention over the last decade. Since being installed in China in 2002, and the European Union (EU) in 2015, CE has been hailed as a new paradigm to allow the decoupling of economic growth from negative environmental impacts. Targets set under the United Nations (UN) 2015 Paris Agreement (PA) and the 2019 European Green Deal call for climate neutrality by 2050, with the first halving of emissions to be achieved by 2030. Within the EU CE has been positioned as a cornerstone for achieving these targets whilst allowing for sustainable economic growth. \n \nThe contrasting political systems of China and the EU and the divergent motivations for installing CE show how complex the practice of implementing policy can be. It is therefore the aim of this research to offer a contemporary view of the situation in relation to the implementation of CE within the EU to help define the strengths, weaknesses, and limitations of the strategy.</w:t>
      </w:r>
    </w:p>
    <w:p>
      <w:pPr>
        <w:pStyle w:val="Heading2"/>
      </w:pPr>
      <w:r>
        <w:t>696.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horizon, all, groups, different;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Hybrid AI-enhanced lightning flash prediction in the medium-range forecast horizon — https://doi.org/10.1038/s41467-024-44697-2</w:t>
      </w:r>
    </w:p>
    <w:p>
      <w:pPr/>
      <w:r>
        <w:rPr>
          <w:b/>
        </w:rPr>
        <w:t>Shared claim-specific concepts:</w:t>
      </w:r>
      <w:r>
        <w:t xml:space="preserve"> forecasts, horizon, obtained; EU scope visible. This is a provisional connection, not an outcome finding.</w:t>
      </w:r>
    </w:p>
    <w:p>
      <w:pPr>
        <w:pStyle w:val="SourceNote"/>
      </w:pPr>
      <w:r>
        <w:rPr>
          <w:b/>
        </w:rPr>
        <w:t>Available abstract (not full text):</w:t>
      </w:r>
      <w:r>
        <w:t xml:space="preserve"> Traditional fully-deterministic algorithms, which rely on physical equations and mathematical models, are the backbone of many scientific disciplines for decades. These algorithms are based on well-established principles and laws of physics, enabling a systematic and predictable approach to problem-solving. On the other hand, AI-based strategies emerge as a powerful tool for handling vast amounts of data and extracting patterns and relationships that might be challenging to identify through traditional algorithms. Here, we bridge these two realms by using AI to find an optimal mapping of meteorological features predicted two days ahead by the state-of-the-art numerical weather prediction model by the European Centre for Medium-range Weather Forecasts (ECMWF) into lightning flash occurrence. The prediction capability of the resulting AI-enhanced algorithm turns out to be significantly higher than that of the fully-deterministic algorithm employed in the ECMWF model. A remarkable Recall peak of about 95% within the 0-24 h forecast interval is obtained. This performance surpasses the 85% achieved by the ECMWF model at the same Precision of the AI algorithm.</w:t>
      </w:r>
    </w:p>
    <w:p>
      <w:pPr/>
      <w:r>
        <w:rPr>
          <w:b/>
        </w:rPr>
        <w:t>POSSIBLE 2023:</w:t>
      </w:r>
      <w:r>
        <w:t xml:space="preserve"> Transformers for Multi-Horizon Forecasting in an Industry 4.0 Use Case — https://doi.org/10.3390/s23073516</w:t>
      </w:r>
    </w:p>
    <w:p>
      <w:pPr/>
      <w:r>
        <w:rPr>
          <w:b/>
        </w:rPr>
        <w:t>Shared claim-specific concepts:</w:t>
      </w:r>
      <w:r>
        <w:t xml:space="preserve"> horizon, obtained, showed; EU scope not established. This is a provisional connection, not an outcome finding.</w:t>
      </w:r>
    </w:p>
    <w:p>
      <w:pPr>
        <w:pStyle w:val="SourceNote"/>
      </w:pPr>
      <w:r>
        <w:rPr>
          <w:b/>
        </w:rPr>
        <w:t>Available abstract (not full text):</w:t>
      </w:r>
      <w:r>
        <w:t xml:space="preserve"> Recently, a novel approach in the field of Industry 4.0 factory operations was proposed for a new generation of automated guided vehicles (AGVs) that are connected to a virtualized programmable logic controller (PLC) via a 5G multi-access edge-computing (MEC) platform to enable remote control. However, this approach faces a critical challenge as the 5G network may encounter communication disruptions that can lead to AGV deviations and, with this, potential safety risks and workplace issues. To mitigate this problem, several works have proposed the use of fixed-horizon forecasting techniques based on deep-learning models that can anticipate AGV trajectory deviations and take corrective maneuvers accordingly. However, these methods have limited prediction flexibility for the AGV operator and are not robust against network instability. To address this limitation, this study proposes a novel approach based on multi-horizon forecasting techniques to predict the deviation of remotely controlled AGVs. As its primary contribution, the work presents two new versions of the state-of-the-art transformer architecture that are well-suited to the multi-horizon prediction problem. We conduct a comprehensive comparison between the proposed models and traditional deep-learning models, such as the long short-term memory (LSTM) neural network, to evaluate the performance and capabilities of the p</w:t>
      </w:r>
    </w:p>
    <w:p>
      <w:pPr/>
      <w:r>
        <w:rPr>
          <w:b/>
        </w:rPr>
        <w:t>POSSIBLE 2021:</w:t>
      </w:r>
      <w:r>
        <w:t xml:space="preserve"> Machine learning for regional crop yield forecasting in Europe — https://doi.org/10.1016/j.fcr.2021.108377</w:t>
      </w:r>
    </w:p>
    <w:p>
      <w:pPr/>
      <w:r>
        <w:rPr>
          <w:b/>
        </w:rPr>
        <w:t>Shared claim-specific concepts:</w:t>
      </w:r>
      <w:r>
        <w:t xml:space="preserve"> forecasts, trend, ones; EU scope visible. This is a provisional connection, not an outcome finding.</w:t>
      </w:r>
    </w:p>
    <w:p>
      <w:pPr>
        <w:pStyle w:val="SourceNote"/>
      </w:pPr>
      <w:r>
        <w:rPr>
          <w:b/>
        </w:rPr>
        <w:t>Available abstract (not full text):</w:t>
      </w:r>
      <w:r>
        <w:t xml:space="preserve"> Crop yield forecasting at national level relies on predictors aggregated from smaller spatial units to larger ones according to harvested crop areas. Such crop areas come from land cover maps or reported statistics, both of which can have errors and uncertainties. Sub-national or regional crop yield forecasting minimizes the propagation of these errors to some extent. In addition, regional forecasts provide added value and insights to stakeholders on regional differences within a country, which would otherwise compensate each other at national level. We propose a crop yield forecasting approach for multiple spatial levels based on regional crop yield forecasts from machine learning. Machine learning, with its data-driven approach, can leverage larger data sizes and capture nonlinear relationships between predictors and yield at regional level. We designed a generic machine learning workflow to demonstrate the benefits of regional crop yield forecasting in Europe. To evaluate the quality and usefulness of regional forecasts, we predicted crop yields for 35 case studies, including nine countries that are major producers of six crops (soft wheat, spring barley, sunflower, grain maize, sugar beets and potatoes). Machine learning models at regional level had lower normalized root mean squared errors (NRMSE) and uncertainty than a linear trend model, with Wilcoxon p-values of 3e-7 an</w:t>
      </w:r>
    </w:p>
    <w:p>
      <w:pPr/>
      <w:r>
        <w:rPr>
          <w:b/>
        </w:rPr>
        <w:t>POSSIBLE 2020:</w:t>
      </w:r>
      <w:r>
        <w:t xml:space="preserve"> A Review of Electricity Demand Forecasting in Low and Middle Income Countries: The Demand Determinants and Horizons — https://doi.org/10.3390/su12155931</w:t>
      </w:r>
    </w:p>
    <w:p>
      <w:pPr/>
      <w:r>
        <w:rPr>
          <w:b/>
        </w:rPr>
        <w:t>Shared claim-specific concepts:</w:t>
      </w:r>
      <w:r>
        <w:t xml:space="preserve"> forecasts, increasing, different; EU scope not established. This is a provisional connection, not an outcome finding.</w:t>
      </w:r>
    </w:p>
    <w:p>
      <w:pPr>
        <w:pStyle w:val="SourceNote"/>
      </w:pPr>
      <w:r>
        <w:rPr>
          <w:b/>
        </w:rPr>
        <w:t>Available abstract (not full text):</w:t>
      </w:r>
      <w:r>
        <w:t xml:space="preserve"> With the globally increasing electricity demand, its related uncertainties are on the rise as well. Therefore, a deeper insight of load forecasting techniques for projecting future electricity demands becomes imperative for business entities and policy makers. The electricity demand is governed by a set of different variables or “electricity demand determinants”. These demand determinants depend on forecasting horizons (long term, medium term, and short term), the load aggregation level, climate, and socio-economic activities. In this paper, a review of different electricity demand forecasting methodologies is provided in the context of a group of low and middle income countries. The article presents a comprehensive literature review by tabulating the different demand determinants used in different countries and forecasting the trends and techniques used in these countries. A comparative review of these forecasting methodologies over different time horizons reveals that the time series modeling approach has been extensively used while forecasting for long and medium terms. For short term forecasts, artificial intelligence-based techniques remain prevalent in the literature. Furthermore, a comparative analysis of the demand determinants in these countries indicates a frequent use of determinants like the population, GDP, weather, and load data over different time horizons. Follo</w:t>
      </w:r>
    </w:p>
    <w:p>
      <w:pPr/>
      <w:r>
        <w:rPr>
          <w:b/>
        </w:rPr>
        <w:t>POSSIBLE 2020:</w:t>
      </w:r>
      <w:r>
        <w:t xml:space="preserve"> Development Forecasts for the Zero-Emission Bus Fleet in Servicing Public Transport in Chosen EU Member Countries — https://doi.org/10.3390/en13164239</w:t>
      </w:r>
    </w:p>
    <w:p>
      <w:pPr/>
      <w:r>
        <w:rPr>
          <w:b/>
        </w:rPr>
        <w:t>Shared claim-specific concepts:</w:t>
      </w:r>
      <w:r>
        <w:t xml:space="preserve"> forecasts, share, all; EU scope visible. This is a provisional connection, not an outcome finding.</w:t>
      </w:r>
    </w:p>
    <w:p>
      <w:pPr>
        <w:pStyle w:val="SourceNote"/>
      </w:pPr>
      <w:r>
        <w:rPr>
          <w:b/>
        </w:rPr>
        <w:t>Available abstract (not full text):</w:t>
      </w:r>
      <w:r>
        <w:t xml:space="preserve"> Nearly two-thirds of the emissions that cause smog come from road transport. In April 2019, the European Parliament adopted new regulations on public procurement to encourage investment in clean buses—electric, hydrogen, or gas. Directive 2009/33/EC is to apply from the second half of 2021. The aim of this article is to make an attempt to simulate the number of zero-emission buses (ZEB) in European Union (EU) member countries in two time horizons: 2025 and 2030, and to forecast the number of clean vehicles in the precise time horizons, including before and after 2050. Research questions are as follows: (1) what will be the number of ZEBs in individual EU countries over the next few years; (2) which of the EU countries will reach by 2030 the level of 95% share of ZEBs in all buses, which are a fleet of public transport buses; and (3) in which year will which EU countries reach the level of 95% share of zero-emission buses. The method used is a Bass model. The conducted analyses demonstrate that, by 2050, only four of the EU members will be able to reach 95% level of share of clean buses in the city bus transport fleets. It is likely that other countries may not achieve this even by 2050.</w:t>
      </w:r>
    </w:p>
    <w:p>
      <w:pPr/>
      <w:r>
        <w:rPr>
          <w:b/>
        </w:rPr>
        <w:t>POSSIBLE 2019:</w:t>
      </w:r>
      <w:r>
        <w:t xml:space="preserve"> Time horizon volatility forecasting of Malaysian property stocks — https://openalex.org/W3206664364</w:t>
      </w:r>
    </w:p>
    <w:p>
      <w:pPr/>
      <w:r>
        <w:rPr>
          <w:b/>
        </w:rPr>
        <w:t>Shared claim-specific concepts:</w:t>
      </w:r>
      <w:r>
        <w:t xml:space="preserve"> forecasts, horizon, different; EU scope not established. This is a provisional connection, not an outcome finding.</w:t>
      </w:r>
    </w:p>
    <w:p>
      <w:pPr>
        <w:pStyle w:val="SourceNote"/>
      </w:pPr>
      <w:r>
        <w:rPr>
          <w:b/>
        </w:rPr>
        <w:t>Available abstract (not full text):</w:t>
      </w:r>
      <w:r>
        <w:t xml:space="preserve"> Reliable and accurate forecasts can provide important input for fund manager and policymakers to make an informed decision. However, volatility forecast research is still bound by several weaknesses such as scarcity in volatility forecasting literature and the lack of knowledge on the contributing factors to poor forecast, i.e. time-varying series characteristic or model specification. As a result of inaccuracy in forecasting, fund managers could face catastrophic consequences. The first contribution is to prove there are ‘parameter changes (time-varying) in Generalized autoregressive conditional heteroskedasticity (GARCH) model before and during the GFC in Malaysian property stocks. News impact curve (NIC) is adopted to show how the good news and bad news impact (news shock) on the next period’s volatility forecast in these two periods. Findings show that parameters and NICs are changes in both periods, this may incur poor forecast. To further validate the parameter changes in different periods. Second contribution adopted and adapted news impact curve (NIC) for different models in different periods. Adaptive asymmetric Smooth Transition Exponential Smoothing (STES) is reported to be more pragmatic and superior to symmetric model in volatility forecasting. Overall, NIC for the symmetric GARCH model shows the news shock on next volatility estimates during crisis is the highest.</w:t>
      </w:r>
    </w:p>
    <w:p>
      <w:pPr>
        <w:pStyle w:val="Heading2"/>
      </w:pPr>
      <w:r>
        <w:t>697.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r>
        <w:rPr>
          <w:b/>
        </w:rPr>
        <w:t>POSSIBLE 2024:</w:t>
      </w:r>
      <w:r>
        <w:t xml:space="preserve"> The Letta report: a set of proposals for revitalising the European economy — https://doi.org/10.53479/38193</w:t>
      </w:r>
    </w:p>
    <w:p>
      <w:pPr/>
      <w:r>
        <w:rPr>
          <w:b/>
        </w:rPr>
        <w:t>Shared claim-specific concepts:</w:t>
      </w:r>
      <w:r>
        <w:t xml:space="preserve"> however, legislative, proposals, number, set, union; EU scope visible. This is a provisional connection, not an outcome finding.</w:t>
      </w:r>
    </w:p>
    <w:p>
      <w:pPr>
        <w:pStyle w:val="SourceNote"/>
      </w:pPr>
      <w:r>
        <w:rPr>
          <w:b/>
        </w:rPr>
        <w:t>Available abstract (not full text):</w:t>
      </w:r>
      <w:r>
        <w:t xml:space="preserve"> Europe is facing a number of major challenges in the near future, including managing the climate transition, the effects of technological transformations and geopolitical changes. European and national authorities are aware that the tools currently in place are insufficient to address these challenges and that a determined reform drive is therefore needed. At the start of a new European institutional cycle, the set of proposals in the Letta report, aimed at completing the Single Market and adapting it to the new circumstances, constitute a major contribution to the European economic policy debate. The most important initiatives include the revitalisation of the capital markets union, the creation of a pan-European State aid scheme based on national contributions, the promulgation of a European code of commercial law as an alternative to the harmonisation of the 27 existing national systems, the incorporation into the Single Market of sectors that have so far been largely outside it (such as energy and telecommunications) or, in the legislative field, the prioritisation of the use of regulations, which are directly applicable in the Member States, over directives, which require transposition into the legal systems of each country. The report’s diagnosis is largely shared by the various national authorities, who also welcomed the main thrust of the proposals. However, it is not d</w:t>
      </w:r>
    </w:p>
    <w:p>
      <w:pPr/>
      <w:r>
        <w:rPr>
          <w:b/>
        </w:rPr>
        <w:t>POSSIBLE 2023:</w:t>
      </w:r>
      <w:r>
        <w:t xml:space="preserve"> Workability via Platform: A Legislative Proposal and a Collective Movement for Socio-Labor Civil Integration — https://doi.org/10.24857/rgsa.v18n2-023</w:t>
      </w:r>
    </w:p>
    <w:p>
      <w:pPr/>
      <w:r>
        <w:rPr>
          <w:b/>
        </w:rPr>
        <w:t>Shared claim-specific concepts:</w:t>
      </w:r>
      <w:r>
        <w:t xml:space="preserve"> legislative, objective, union; EU scope not established. This is a provisional connection, not an outcome finding.</w:t>
      </w:r>
    </w:p>
    <w:p>
      <w:pPr>
        <w:pStyle w:val="SourceNote"/>
      </w:pPr>
      <w:r>
        <w:rPr>
          <w:b/>
        </w:rPr>
        <w:t>Available abstract (not full text):</w:t>
      </w:r>
      <w:r>
        <w:t xml:space="preserve"> Introduction: The legal integration of work via technological platforms (applications) in the Brazilian legal system. Contextualization/concept: Under the terms of articles 7 and 114 of the Constitution of the Federative Republic of Brazil of 1988, it is work and work relations that gain grammaticality and literality in the constitutional text, which inaugurate the concept of workability, when the tone of employment (industrial sector) would be giving way to work (services sector). Objective: The historical and normative broth induces a perspective of reflexivity in the midst of resisted change, which will impose on workers via the platform (as mostly urban workers) and labor institutions renewed forms of collective union political, legislative and organizational action, whether at a national or international level, to overcome obstacles that impede the effectiveness of constitutional labor standards. Methodology: The methodology follows comprehensive (Weberian) and extensive interpretative and constitutional historical analysis connected to excerpts from current reality, centered on the theoretical-normative method. Theoretical framework: For Weber (2000), legal norms have the function of disciplining and ordering actions and social relations, constituting maxims and, therefore, creating the conditions of administration and obedience of society's participants to the law. Concl</w:t>
      </w:r>
    </w:p>
    <w:p>
      <w:pPr/>
      <w:r>
        <w:rPr>
          <w:b/>
        </w:rPr>
        <w:t>POSSIBLE 2022:</w:t>
      </w:r>
      <w:r>
        <w:t xml:space="preserve"> Metrics, Explainability and the European AI Act Proposal — https://doi.org/10.3390/j5010010</w:t>
      </w:r>
    </w:p>
    <w:p>
      <w:pPr/>
      <w:r>
        <w:rPr>
          <w:b/>
        </w:rPr>
        <w:t>Shared claim-specific concepts:</w:t>
      </w:r>
      <w:r>
        <w:t xml:space="preserve"> expected, goal, set; EU scope visible. This is a provisional connection, not an outcome finding.</w:t>
      </w:r>
    </w:p>
    <w:p>
      <w:pPr>
        <w:pStyle w:val="SourceNote"/>
      </w:pPr>
      <w:r>
        <w:rPr>
          <w:b/>
        </w:rPr>
        <w:t>Available abstract (not full text):</w:t>
      </w:r>
      <w:r>
        <w:t xml:space="preserve"> On 21 April 2021, the European Commission proposed the first legal framework on Artificial Intelligence (AI) to address the risks posed by this emerging method of computation. The Commission proposed a Regulation known as the AI Act. The proposed AI Act considers not only machine learning, but expert systems and statistical models long in place. Under the proposed AI Act, new obligations are set to ensure transparency, lawfulness, and fairness. Their goal is to establish mechanisms to ensure quality at launch and throughout the whole life cycle of AI-based systems, thus ensuring legal certainty that encourages innovation and investments on AI systems while preserving fundamental rights and values. A standardisation process is ongoing: several entities (e.g., ISO) and scholars are discussing how to design systems that are compliant with the forthcoming Act, and explainability metrics play a significant role. Specifically, the AI Act sets some new minimum requirements of explicability (transparency and explainability) for a list of AI systems labelled as “high-risk” listed in Annex III. These requirements include a plethora of technical explanations capable of covering the right amount of information, in a meaningful way. This paper aims to investigate how such technical explanations can be deemed to meet the minimum requirements set by the law and expected by society. To answer </w:t>
      </w:r>
    </w:p>
    <w:p>
      <w:pPr/>
      <w:r>
        <w:rPr>
          <w:b/>
        </w:rPr>
        <w:t>POSSIBLE 2021:</w:t>
      </w:r>
      <w:r>
        <w:t xml:space="preserve"> Evaluating the Tax Veto in a Digital Age: Legislative Efficiency and National Sovereignty in the European Union — https://openalex.org/W3175327905</w:t>
      </w:r>
    </w:p>
    <w:p>
      <w:pPr/>
      <w:r>
        <w:rPr>
          <w:b/>
        </w:rPr>
        <w:t>Shared claim-specific concepts:</w:t>
      </w:r>
      <w:r>
        <w:t xml:space="preserve"> however, legislative, proposals, council, union; EU scope visible. This is a provisional connection, not an outcome finding.</w:t>
      </w:r>
    </w:p>
    <w:p>
      <w:pPr>
        <w:pStyle w:val="SourceNote"/>
      </w:pPr>
      <w:r>
        <w:rPr>
          <w:b/>
        </w:rPr>
        <w:t>Available abstract (not full text):</w:t>
      </w:r>
      <w:r>
        <w:t xml:space="preserve"> The total market capitalization of the six largest US-headquartered tech companies now tops $4.5 trillion; yet, much of the revenues from these largest tech companies legally escapes taxation every year. Recognizing the challenges of taxing the digital economy, the international community joined forces to reform the outdated global tax framework. In 2018, however, the United States (US) hesitated to commit to reform and international negotiations stalled. The European Commission (Commission) subsequently proposed an interim Digital Service Tax for the European Union (EU), in part, to incentivize stronger US involvement in negotiations. Because the European Council requires unanimity when voting on tax proposals, however, the proposal failed when three Member States exercised their tax veto. Defeated by veto, EU leaders could have pursued Enhanced Cooperation to revive the legislation. Instead, the Commission proposed permanent elimination of tax unanimity through the obscure and never-used Passerelle Clauses that allow legislators to utilize majority voting without amending any treaties. In doing so, the Commission signaled its desire for the European Union to emerge as a global tax leader, unencumbered by the need to obtain unanimity. However, the Commission’s proposal also raises serious EU state sovereignty concerns. This Note explores the costs and benefits of abandoning th</w:t>
      </w:r>
    </w:p>
    <w:p>
      <w:pPr/>
      <w:r>
        <w:rPr>
          <w:b/>
        </w:rPr>
        <w:t>POSSIBLE 2020:</w:t>
      </w:r>
      <w:r>
        <w:t xml:space="preserve"> The Judgment of the CJEU of 25 July 2018 on Mutagenesis: Interpretation and Interim Legislative Proposal — https://doi.org/10.3389/fpls.2019.01813</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Judgment of 25 July 2018 of the Court of Justice of the European Union (CJEU) was optimistically awaited by breeders and supporters of agricultural biotechnology, but shortly after the press release advancing the Judgment, hope turned into frustration. Opinions on how to frame the New Breeding Techniques (NBT) in the context of Directive 2001/18/EC were issued before the Judgment, while proposals to assist the EU legislator to amend the regime driven by the Directive have been also provided afterwards by scientists and institutional bodies around the EU. However, they do not seem to have paid so much attention to the Judgment itself. This paper focuses on the Judgment. It finds out that while the impacts of the Judgment on the NBT might have been slightly overvalued, its potential negative effects on techniques of random mutagenesis and varieties breed through them have been generally underestimated if not absolutely overlooked. The analysis also shows that the Judgment does not preempt the possibility to exempt certain applications of some NBT from the scope of Directive 2001/18/EC, and, in fact, ODM, SDN1, and SDN2 might be, under certain conditions, easily exempted from its scope without the need of a deep legislative revolution nor even the amendment of Directive 2001/18/EC. As regards techniques of random mutagenesis and mutant varieties bred by means of those techniqu</w:t>
      </w:r>
    </w:p>
    <w:p>
      <w:pPr/>
      <w:r>
        <w:rPr>
          <w:b/>
        </w:rPr>
        <w:t>POSSIBLE 2020:</w:t>
      </w:r>
      <w:r>
        <w:t xml:space="preserve"> One agenda-setter or many? The varying success of policy initiatives by individual Directorates-General of the European Commission 1994–2016 — https://doi.org/10.1177/1465116520961467</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Analyses of strategic agenda-setting in the European Union treat the European Commission as a unitary actor with perfect information. Yet, the constraints for correctly anticipating acceptable policies vary heavily across its individual Directorates-General. Do these internal rifts affect the Commission’s agenda-setting ability? This article tests corresponding expectations on the edit distances between 2237 Commission proposals and the adopted laws across 23 years. The quality of legislative anticipation indeed varies with the responsible Directorate-General. Legislative proposals are more likely to remain unchanged if they face less parliamentary involvement, are less complex, were drafted by an experienced Directorate-General, and were coordinated more seamlessly within the Commission. However, the uncovered variation also calls for more systematic research on the distribution of legislative capacities inside the Commission.</w:t>
      </w:r>
    </w:p>
    <w:p>
      <w:pPr/>
      <w:r>
        <w:rPr>
          <w:b/>
        </w:rPr>
        <w:t>POSSIBLE 2020:</w:t>
      </w:r>
      <w:r>
        <w:t xml:space="preserve"> Parliaments in Europe Engaging in Post-legislative Scrutiny — https://doi.org/10.19184/jseahr.v4i1.18017</w:t>
      </w:r>
    </w:p>
    <w:p>
      <w:pPr/>
      <w:r>
        <w:rPr>
          <w:b/>
        </w:rPr>
        <w:t>Shared claim-specific concepts:</w:t>
      </w:r>
      <w:r>
        <w:t xml:space="preserve"> however, legislative, last; EU scope visible. This is a provisional connection, not an outcome finding.</w:t>
      </w:r>
    </w:p>
    <w:p>
      <w:pPr>
        <w:pStyle w:val="SourceNote"/>
      </w:pPr>
      <w:r>
        <w:rPr>
          <w:b/>
        </w:rPr>
        <w:t>Available abstract (not full text):</w:t>
      </w:r>
      <w:r>
        <w:t xml:space="preserve"> Post-legislative scrutiny (PLS) is not completely new to European parliamentarism. In the last few decades, this activity has experienced rapid development, either pushed by supranational trends on better regulation or fostered by national constitutional reforms. However, the involvement of parliaments in the ex post stage of law-making still remains under-theorised. This article aims at providing a comparative overview of the main rules, practices and trends on post-legislative scrutiny in Europe, focusing on the experience of three bicameral Parliaments: the French, Italian and Swiss Parliaments which have been selected as examples of three proactive approaches to post-legislative scrutiny, based on alternative bicameral arrangements. After providing a general overview of the main options that support the involvement of parliaments in the ex-post stage of law-making, the article examines how the benchmark case studies address the following variables: the internal organisation of the ex-post scrutiny, including the role of the administrative staff; the scrutiny object, either referred to single pieces of legislation or to a whole policy; the scope of the ex-post scrutiny, verifying whether it is interpreted as a purely legal dimension or it comprises also forms of impact assessment; the outcomes of the ex-post scrutiny, and more specifically its contribution to the legislative</w:t>
      </w:r>
    </w:p>
    <w:p>
      <w:pPr/>
      <w:r>
        <w:rPr>
          <w:b/>
        </w:rPr>
        <w:t>POSSIBLE 2019:</w:t>
      </w:r>
      <w:r>
        <w:t xml:space="preserve"> Redrafting of a Proposal in the Polish Legislative Procedure — https://doi.org/10.15804/ppk.2019.05.07</w:t>
      </w:r>
    </w:p>
    <w:p>
      <w:pPr/>
      <w:r>
        <w:rPr>
          <w:b/>
        </w:rPr>
        <w:t>Shared claim-specific concepts:</w:t>
      </w:r>
      <w:r>
        <w:t xml:space="preserve"> however, legislative, goal, point; EU scope not established. This is a provisional connection, not an outcome finding.</w:t>
      </w:r>
    </w:p>
    <w:p>
      <w:pPr>
        <w:pStyle w:val="SourceNote"/>
      </w:pPr>
      <w:r>
        <w:rPr>
          <w:b/>
        </w:rPr>
        <w:t>Available abstract (not full text):</w:t>
      </w:r>
      <w:r>
        <w:t xml:space="preserve"> The main goal of article is to evaluate the functioning of a redraft of a legislative proposal in the Polish legal order, particularly whether this mechanism may be considered as making the legislative procedure more flexible and improving the quality of the legislative works of the Polish Parliament, or whether the constitutional shape of a redraft and its use leads to conclusions that this solution is misguided and negatively affects parliamentary legislative proceedings. Both normative analysis and systemic practice lead to the conclusion that the regulation of a redraft by the Sejm’s Rules cannot be considered optimal. From my point of view, it is necessary to make such corrections to Art. 36 par. 1a- 1c that will prevent from abusing this instrument. However, the critical assessment of the redraft standardization does not change the generally positive assessment of the institution itself, because the specific self-correction of the proposal, often resulting from the reflection of the initiator of the legislative proceedings (resulting from both internal and external factors), is fully desirable, primarily from the perspective of implementing the postulate of the legal system coherence and its completeness.</w:t>
      </w:r>
    </w:p>
    <w:p>
      <w:pPr/>
      <w:r>
        <w:rPr>
          <w:b/>
        </w:rPr>
        <w:t>POSSIBLE 2019:</w:t>
      </w:r>
      <w:r>
        <w:t xml:space="preserve"> Evaluating the Impact of the Lisbon Treaty on the European Union’s Legislative Productivity — https://doi.org/10.12797/politeja.15.2018.54.15</w:t>
      </w:r>
    </w:p>
    <w:p>
      <w:pPr/>
      <w:r>
        <w:rPr>
          <w:b/>
        </w:rPr>
        <w:t>Shared claim-specific concepts:</w:t>
      </w:r>
      <w:r>
        <w:t xml:space="preserve"> legislative, proposals, expected, number, union; EU scope visible. This is a provisional connection, not an outcome finding.</w:t>
      </w:r>
    </w:p>
    <w:p>
      <w:pPr>
        <w:pStyle w:val="SourceNote"/>
      </w:pPr>
      <w:r>
        <w:rPr>
          <w:b/>
        </w:rPr>
        <w:t>Available abstract (not full text):</w:t>
      </w:r>
      <w:r>
        <w:t xml:space="preserve"> The purpose of this article is to analyze whether the Treaty of Lisbon provisions have – as expected – increased the EU legislative productivity. To this end, the author tests the hypothesis that the TL has increased the number of legislative proposals submitted by the European Commission under the ordinary legislative procedure. This expectation is verified using a negative binomial regression on a dataset containing 1116 draft acts proposed by the Commission in 2004‑2014. The analysis shows that, contrary to expectations, the Treaty of Lisbon has not led to a visible increase in EU legislative productivity. Despite the extension of treaty bases envisaging the OLP and QMV, the number of proposals submitted under this procedure after the entry into force of the TL remained more or less at the same level as before. In addition, the study reveals that adaptation, anticipation of future enlargement, closeness to the end of the EP term as well as annual schedule of legislative work are key predictors of the Commission’s productivity.</w:t>
      </w:r>
    </w:p>
    <w:p>
      <w:pPr>
        <w:pStyle w:val="Heading2"/>
      </w:pPr>
      <w:r>
        <w:t>698.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pStyle w:val="Heading2"/>
      </w:pPr>
      <w:r>
        <w:t>699.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2022:</w:t>
      </w:r>
      <w:r>
        <w:t xml:space="preserve"> Early Warning System for the European Insurance Sector — https://doi.org/10.31577/ekoncas.2022.01.01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study proposes an Early Warning System model composed of macrofinancial and company-specific indicators that could help to anticipate a potential market distress in the European insurance sector.A distress is defined as periods in which insurance companies' equity prices crash and CDS spreads spike simultaneously.The model is estimated using a sample of 36 insurance companies that are listed.Based on a fixed-effects panel binomial logit specification, empirical evidence shows that economic overheating that could be manifested by high economic growth, inflation and interest rates have negative impact on insurance sector stability.At the company level, a drop in return on assets and price-to-book value or raising operating expenses increase the likelihood of distress occurrence.</w:t>
      </w:r>
    </w:p>
    <w:p>
      <w:pPr/>
      <w:r>
        <w:rPr>
          <w:b/>
        </w:rPr>
        <w:t>POSSIBLE 2022:</w:t>
      </w:r>
      <w:r>
        <w:t xml:space="preserve"> Early Warning Systems for Small Business: Insights from Across Europe — https://doi.org/10.1142/s0218495822500157</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In this paper we propose that a crisis can be avoided by taking countermeasures, which are informed by an Early Warning System. An Early Warning System can help lessen the impact of crisis episodes and provide a systematic approach to the response of small business owners to challenges in their business environment. Following a review of the literature, we undertook data collection in two stages. In stage one, focus groups were conducted with small business owners in four European countries. In stage two we worked with an expert panel to refine and develop a set of indicators for an Early Warning System. It is envisaged that the set of indicators will serve as the basis for further thought and empiricism. We argue that a delay in crisis recognition curtails the scope and time for corrective action.</w:t>
      </w:r>
    </w:p>
    <w:p>
      <w:pPr/>
      <w:r>
        <w:rPr>
          <w:b/>
        </w:rPr>
        <w:t>POSSIBLE 2022:</w:t>
      </w:r>
      <w:r>
        <w:t xml:space="preserve"> New psychoactive substances: 25 years of early warning and response in Europe. An update from the EU Early Warning System — https://doi.org/10.1016/j.toxac.2022.06.022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Approaching European Supervisory Risk Assessment with SupTech: A Proposal of an Early Warning System — https://doi.org/10.3390/risks10040071</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Risk analysis and scenario testing are two of the core activities carried out by economists at central banks. With the increasing adoption of machine learning to enhance decision-support systems, and the amount of collected data spiking, institutions provide countless use-cases for the application of these innovative technologies. Consequently, in recent years, the term sup-tech has entered the financial jargon and is here to stay. In this paper, we address risk assessment from a central bank’s perspective. The uptrending number of involved banks and institutions raises the necessity of a standardised risk methodology. For that reason, we adopted the Risk Assessment Methodology (RAS), the quantitative pillar from the Supervisory Review and Evaluation Process (SREP). Based on real-world supervisory data from the Portuguese banking sector, from March 2014 until August 2021, we successfully model the supervisory risk assessment process, in its quantitative approach by the RAS. Our findings and the resulting model are proposed as an Early Warning System that can support supervisors in their day-to-day tasks, as well as within the SREP process.</w:t>
      </w:r>
    </w:p>
    <w:p>
      <w:pPr/>
      <w:r>
        <w:rPr>
          <w:b/>
        </w:rPr>
        <w:t>POSSIBLE 2021:</w:t>
      </w:r>
      <w:r>
        <w:t xml:space="preserve"> The Latent Diffusion Network among National Parliaments in the Early Warning System of the European Union — https://doi.org/10.1111/jcms.13135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Abstract Since the Treaty of Lisbon, national parliamentary chambers in the European Union can issue reasoned opinions on legislative proposals by the European Commission. These individual reasoned opinions lead to a review if at least one third of all chambers raise such concerns. Hence, coordination among parliaments is key. Using advances in inferential network analysis, this article infers the underlying diffusion pathways among national parliaments through which chambers are related to each other in their decisions to raise subsidiarity concerns. The emerging diffusion network is characterised by a compartmentalization into communities of European Union budget net contributor and net recipient countries. This descriptive finding has implications for the institutional effectiveness and aspired democratic legitimacy of the Early Warning System. A multivariate statistical network analysis confirms that diffusion occurs among net recipient countries and that weak institutions follow the lead of strong institutions in the Early Warning System.</w:t>
      </w:r>
    </w:p>
    <w:p>
      <w:pPr/>
      <w:r>
        <w:rPr>
          <w:b/>
        </w:rPr>
        <w:t>POSSIBLE 2021:</w:t>
      </w:r>
      <w:r>
        <w:t xml:space="preserve"> RustWatch – the first early warning system for wheat rusts in Europe — https://openalex.org/W7131930052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Toward an Early Warning System for Monitoring Asylum-Related Migration Flows in Europe — https://doi.org/10.1177/01979183211035736</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Asylum-related migration is highly complex, uncertain, and volatile, which precludes using standard model-based predictions to inform policy and operational decisions. At the same time, asylum's potentially high societal impacts on receiving countries and the resource implications of asylum processes call for more proactive approaches for assessing current and future migration flows. In this article, we propose an alternative approach to asylum modeling, based on the detection of early warning signals by using models originating from statistical control theory. Our empirical analysis of several asylum flows into Europe in 2010–2016 demonstrates the approach's utility and potential in aiding the management of mixed migration flows, while also shedding more light on the work needed to make better use of the “big data” and scenario-based methods for comprehensive and systematic examination of risk, uncertainty, and emerging trends.</w:t>
      </w:r>
    </w:p>
    <w:p>
      <w:pPr/>
      <w:r>
        <w:rPr>
          <w:b/>
        </w:rPr>
        <w:t>POSSIBLE 2021:</w:t>
      </w:r>
      <w:r>
        <w:t xml:space="preserve"> South-East European Multi-Hazard Early Warning Advisory System — https://doi.org/10.5194/ems2021-305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South-East Europe region is experiencing an increasing number of severe meteorological and hydrological hazardous events, leading to substantial loss of life, livelihoods, and damages to infrastructure and key sectors. WMO together with the National Meteorological and Hydrological Services (NMHSs) of the region (Albania, Bosnia and Herzegovina, Bulgaria, Croatia, Cyprus, Greece, Hungary, Israel, Jordan, Lebanon, North Macedonia, Republic of Moldova, Montenegro, Romania, Serbia, Slovenia, Turkey, and Ukraine) and ECMWF, as well as other key partners, are tackling this challenge with development of the ‘South-East European Multi-Hazard Early Warning Advisory System (SEE-MHEWS-A)’. The system aims to provide NMHS operational forecasters with effective, efficient, and easy to apply tools for improved and more accurate forecasting of hazardous events and early warnings and to ensure that national authorities have the best possible information to carry out early actions and make the decision that can mitigate potential impacts of hazardous situations. The development of the system and resulting empowerment of NMHSs to fulfill their core functions is one of the recognized soft measures of adaptation to climate change. This will support the NMHSs to contribute to reaching the Sustainable Development Goals, particularly Goal 13: Take urgent action to combat climate change and its impact</w:t>
      </w:r>
    </w:p>
    <w:p>
      <w:pPr/>
      <w:r>
        <w:rPr>
          <w:b/>
        </w:rPr>
        <w:t>POSSIBLE 2021:</w:t>
      </w:r>
      <w:r>
        <w:t xml:space="preserve"> Did the COVID-19 pandemic change the willingness to pay for an early warning system for infectious diseases in Europe? — https://doi.org/10.1007/s10198-021-01353-6</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highlights the need for effective infectious disease outbreak prevention. This could entail installing an integrated, international early warning system, aiming to contain and mitigate infectious diseases outbreaks. The amount of resources governments should spend on such preventive measures can be informed by the value citizens attach to such a system. This was already recognized in 2018, when a contingent valuation willingness to pay (WTP) experiment was fielded, eliciting the WTP for such a system in six European countries. We replicated that experiment in the spring of 2020 to test whether and how WTP had changed during an actual pandemic (COVID-19), taking into account differences in infection rates and stringency of measures by government between countries. Overall, we found significant increases in WTP between the two time points, with mean WTP for an early warning system increasing by about 50% (median 30%), from around €20 to €30 per month. However, there were marked differences between countries and subpopulations, and changes were only partially explained by COVID-19 burden. We discuss possible explanations for and implication of our findings.</w:t>
      </w:r>
    </w:p>
    <w:p>
      <w:pPr/>
      <w:r>
        <w:rPr>
          <w:b/>
        </w:rPr>
        <w:t>POSSIBLE 2020:</w:t>
      </w:r>
      <w:r>
        <w:t xml:space="preserve"> The Early Warning System and policymaking in the European Union — https://doi.org/10.1177/1465116520923752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Does the Early Warning System alert the European Commission about the prospects of passing new policy? We present a model of European Union policymaking in which the Early Warning System plays an important signalling role. In our model, the Commission uses signals from the Early Warning System to update its belief about governments’ voting strategies in the Council. The Commission may then anticipate difficult negotiations by withdrawing its proposal early. We find empirical evidence for our theory: (1) reasoned opinions submitted by national parliaments strongly predict opposition from their governments and (2) the Commission is more likely to withdraw proposals that receive reasoned opinions, even in the absence of a yellow card. Our results run counter to the dominant view in the literature that the Early Warning System is not a very relevant aspect of EU decision-making. Instead, reasoned opinions constitute a clear signal that negotiations are more likely to fail.</w:t>
      </w:r>
    </w:p>
    <w:p>
      <w:pPr>
        <w:pStyle w:val="Heading2"/>
      </w:pPr>
      <w:r>
        <w:t>700.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r>
        <w:rPr>
          <w:b/>
        </w:rPr>
        <w:t>POSSIBLE 2024:</w:t>
      </w:r>
      <w:r>
        <w:t xml:space="preserve"> Design rules applied to silver nanoparticles synthesis: A practical example of machine learning application. — https://doi.org/10.1016/j.csbj.2024.02.010</w:t>
      </w:r>
    </w:p>
    <w:p>
      <w:pPr/>
      <w:r>
        <w:rPr>
          <w:b/>
        </w:rPr>
        <w:t>Shared claim-specific concepts:</w:t>
      </w:r>
      <w:r>
        <w:t xml:space="preserve"> practical, application, field; EU scope not established. This is a provisional connection, not an outcome finding.</w:t>
      </w:r>
    </w:p>
    <w:p>
      <w:pPr>
        <w:pStyle w:val="SourceNote"/>
      </w:pPr>
      <w:r>
        <w:rPr>
          <w:b/>
        </w:rPr>
        <w:t>Available abstract (not full text):</w:t>
      </w:r>
      <w:r>
        <w:t xml:space="preserve"> The synthesis of silver nanoparticles with controlled physicochemical properties is essential for governing their intended functionalities and safety profiles. However, synthesis process involves multiple parameters that could influence the resulting properties. This challenge could be addressed with the development of predictive models that forecast endpoints based on key synthesis parameters. In this study, we manually extracted synthesis-related data from the literature and leveraged various machine learning algorithms. Data extraction included parameters such as reactant concentrations, experimental conditions, as well as physicochemical properties. The antibacterial efficiencies and toxicological profiles of the synthesized nanoparticles were also extracted. In a second step, based on data completeness, we employed regression algorithms to establish relationships between synthesis parameters and desired endpoints and to build predictive models. The models for core size and antibacterial efficiency were trained and validated using a cross-validation approach. Finally, the features' impact was evaluated via Shapley values to provide insights into the contribution of features to the predictions. Factors such as synthesis duration, scale of synthesis and the choice of capping agents emerged as the most significant predictors. This study demonstrated the potential of machine le</w:t>
      </w:r>
    </w:p>
    <w:p>
      <w:pPr/>
      <w:r>
        <w:rPr>
          <w:b/>
        </w:rPr>
        <w:t>POSSIBLE 2023:</w:t>
      </w:r>
      <w:r>
        <w:t xml:space="preserve"> What Is Machine Learning, Artificial Neural Networks and Deep Learning?—Examples of Practical Applications in Medicine — https://doi.org/10.3390/diagnostics13152582</w:t>
      </w:r>
    </w:p>
    <w:p>
      <w:pPr/>
      <w:r>
        <w:rPr>
          <w:b/>
        </w:rPr>
        <w:t>Shared claim-specific concepts:</w:t>
      </w:r>
      <w:r>
        <w:t xml:space="preserve"> examples, practical, application, given; EU scope not established. This is a provisional connection, not an outcome finding.</w:t>
      </w:r>
    </w:p>
    <w:p>
      <w:pPr>
        <w:pStyle w:val="SourceNote"/>
      </w:pPr>
      <w:r>
        <w:rPr>
          <w:b/>
        </w:rPr>
        <w:t>Available abstract (not full text):</w:t>
      </w:r>
      <w:r>
        <w:t xml:space="preserve"> Machine learning (ML), artificial neural networks (ANNs), and deep learning (DL) are all topics that fall under the heading of artificial intelligence (AI) and have gained popularity in recent years. ML involves the application of algorithms to automate decision-making processes using models that have not been manually programmed but have been trained on data. ANNs that are a part of ML aim to simulate the structure and function of the human brain. DL, on the other hand, uses multiple layers of interconnected neurons. This enables the processing and analysis of large and complex databases. In medicine, these techniques are being introduced to improve the speed and efficiency of disease diagnosis and treatment. Each of the AI techniques presented in the paper is supported with an example of a possible medical application. Given the rapid development of technology, the use of AI in medicine shows promising results in the context of patient care. It is particularly important to keep a close eye on this issue and conduct further research in order to fully explore the potential of ML, ANNs, and DL, and bring further applications into clinical use in the future.</w:t>
      </w:r>
    </w:p>
    <w:p>
      <w:pPr/>
      <w:r>
        <w:rPr>
          <w:b/>
        </w:rPr>
        <w:t>POSSIBLE 2023:</w:t>
      </w:r>
      <w:r>
        <w:t xml:space="preserve"> Modern film coatings for glass and examples of their practical application — https://doi.org/10.33920/pro-01-2303-04</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The material is devoted to architectural and protective self-adhesive polymer PET films used in the construction of translucent structures and glazing.In the matter of using these materials for more than 20 years of research and observations about professional films, an objective opinion has been formed about professional films as a reliable, durable and highquality product for translucent glazing. But still it is necessary to admit that this product is undervalued in the modern market of services.</w:t>
      </w:r>
    </w:p>
    <w:p>
      <w:pPr/>
      <w:r>
        <w:rPr>
          <w:b/>
        </w:rPr>
        <w:t>POSSIBLE 2023:</w:t>
      </w:r>
      <w:r>
        <w:t xml:space="preserve"> ORGANIZATIONAL BEHAVIOUR: THEORETICAL PERSPECTIVES, PRACTICAL APPLICATIONS, AND REAL-WORLD EXAMPLES — https://doi.org/10.29121/shodhkosh.v4.i2.2023.4743</w:t>
      </w:r>
    </w:p>
    <w:p>
      <w:pPr/>
      <w:r>
        <w:rPr>
          <w:b/>
        </w:rPr>
        <w:t>Shared claim-specific concepts:</w:t>
      </w:r>
      <w:r>
        <w:t xml:space="preserve"> examples, practical, individual, trends; EU scope not established. This is a provisional connection, not an outcome finding.</w:t>
      </w:r>
    </w:p>
    <w:p>
      <w:pPr>
        <w:pStyle w:val="SourceNote"/>
      </w:pPr>
      <w:r>
        <w:rPr>
          <w:b/>
        </w:rPr>
        <w:t>Available abstract (not full text):</w:t>
      </w:r>
      <w:r>
        <w:t xml:space="preserve"> Organizational Behaviour (OB) is the study of human behaviour in professional settings, focusing on individual and group interactions, organizational structures, and leadership styles. This paper explores the theoretical foundations of OB while integrating real-world examples to illustrate practical applications. Topics include motivation theories, leadership, communication, decision-making, and organizational culture. Emerging trends such as artificial intelligence (AI), remote work, and workforce diversity are also discussed. This study aims to provide managers, employees, and researchers with insights into how OB influences workplace productivity, job satisfaction, and organizational effectiveness.</w:t>
      </w:r>
    </w:p>
    <w:p>
      <w:pPr/>
      <w:r>
        <w:rPr>
          <w:b/>
        </w:rPr>
        <w:t>POSSIBLE 2023:</w:t>
      </w:r>
      <w:r>
        <w:t xml:space="preserve"> Exploring Applications and Practical Examples by Streamlining Material Requirements Planning (MRP) with Python — https://doi.org/10.3390/logistics7040091</w:t>
      </w:r>
    </w:p>
    <w:p>
      <w:pPr/>
      <w:r>
        <w:rPr>
          <w:b/>
        </w:rPr>
        <w:t>Shared claim-specific concepts:</w:t>
      </w:r>
      <w:r>
        <w:t xml:space="preserve"> examples, practical, field; EU scope not established. This is a provisional connection, not an outcome finding.</w:t>
      </w:r>
    </w:p>
    <w:p>
      <w:pPr>
        <w:pStyle w:val="SourceNote"/>
      </w:pPr>
      <w:r>
        <w:rPr>
          <w:b/>
        </w:rPr>
        <w:t>Available abstract (not full text):</w:t>
      </w:r>
      <w:r>
        <w:t xml:space="preserve"> Background: Material Requirements Planning (MRP) is critical in Supply Chain Management (SCM), facilitating effective inventory management and meeting production demands in the manufacturing sector. Despite the potential benefits of automating the MRP tasks to meet the demand for expedited and efficient management, the field appears to be lagging behind in harnessing the advancements offered by Artificial Intelligence (AI) and sophisticated programming languages. Consequently, this study aims to address this gap by exploring the applications of Python in simplifying the MRP processes. Methods: This article offers a twofold approach: firstly, it conducts research to uncover the potential applications of the Python code in streamlining the MRP operations, and the practical examples serve as evidence of Python’s efficacy in simplifying the MRP tasks; secondly, this article introduces a conceptual framework that showcases the Python ecosystem, highlighting libraries and structures that enable efficient data manipulation, analysis, and optimization techniques. Results: This study presents a versatile framework that integrates a variety of Python tools, including but not limited to Pandas, Matplotlib, and Plotly, to streamline and actualize an 8-step MRP process. Additionally, it offers preliminary insights into the integration of the Python-based MRP solution (MRP.py) with Enterpris</w:t>
      </w:r>
    </w:p>
    <w:p>
      <w:pPr/>
      <w:r>
        <w:rPr>
          <w:b/>
        </w:rPr>
        <w:t>POSSIBLE 2022:</w:t>
      </w:r>
      <w:r>
        <w:t xml:space="preserve"> Treatment of Cushing’s syndrome with osilodrostat: practical applications of recent studies with case examples — https://doi.org/10.1007/s11102-022-01268-2</w:t>
      </w:r>
    </w:p>
    <w:p>
      <w:pPr/>
      <w:r>
        <w:rPr>
          <w:b/>
        </w:rPr>
        <w:t>Shared claim-specific concepts:</w:t>
      </w:r>
      <w:r>
        <w:t xml:space="preserve"> examples, practical, administration; EU scope not established. This is a provisional connection, not an outcome finding.</w:t>
      </w:r>
    </w:p>
    <w:p>
      <w:pPr>
        <w:pStyle w:val="SourceNote"/>
      </w:pPr>
      <w:r>
        <w:rPr>
          <w:b/>
        </w:rPr>
        <w:t>Available abstract (not full text):</w:t>
      </w:r>
      <w:r>
        <w:t xml:space="preserve"> Endogenous Cushing's syndrome (CS) is a rare endocrine condition frequently caused by a tumor resulting in elevated cortisol levels. Cushing's disease (CD) caused by an adrenocorticotropic hormone-secreting pituitary adenoma is the most common form of endogenous CS. Medical therapy for CD is mostly used as second-line treatment after failed surgery or recurrence and comprises several pituitary-directed drugs, adrenal steroidogenesis inhibitors, and a glucocorticoid receptor blocker, some of which are US Food and Drug Administration (FDA)-approved for this condition. The recent Pituitary Society consensus guidelines for diagnosis and management of CD described osilodrostat, an oral inhibitor of 11β-hydroxylase, as an effective, FDA-approved medical therapy for CD. Because clinical experience outside clinical trials is limited, we provide here a review of published data about osilodrostat and offer example case studies demonstrating practical considerations on the use of this medication. Recommendations regarding osilodrostat are provided for the following situations: specific assessments needed before treatment initiation; monitoring for adrenal insufficiency, hypokalemia, and changes in QTc; the potential value of a slow up-titration in patients with mild disease; managing temporary treatment cessation for patients with CD who have acquired coronavirus disease 2019; monitoring </w:t>
      </w:r>
    </w:p>
    <w:p>
      <w:pPr/>
      <w:r>
        <w:rPr>
          <w:b/>
        </w:rPr>
        <w:t>POSSIBLE 2021:</w:t>
      </w:r>
      <w:r>
        <w:t xml:space="preserve"> Practical Applications Examples — https://doi.org/10.1002/9781119283409.ch3</w:t>
      </w:r>
    </w:p>
    <w:p>
      <w:pPr/>
      <w:r>
        <w:rPr>
          <w:b/>
        </w:rPr>
        <w:t>Shared claim-specific concepts:</w:t>
      </w:r>
      <w:r>
        <w:t xml:space="preserve"> examples, practical, prediction; EU scope not established. This is a provisional connection, not an outcome finding.</w:t>
      </w:r>
    </w:p>
    <w:p>
      <w:pPr>
        <w:pStyle w:val="SourceNote"/>
      </w:pPr>
      <w:r>
        <w:rPr>
          <w:b/>
        </w:rPr>
        <w:t>Available abstract (not full text):</w:t>
      </w:r>
      <w:r>
        <w:t xml:space="preserve"> This chapter considers additional problems that arise in formation tester well logging. It introduces two rapid, “mass production” or “batch processes” which automate the algorithms behind flagship simulator FT-00. These include: rapid batch analysis, and multiprobe DOI. The chapter addresses important questions related to forward pressure calculations in the steady-state limit, and also, inverse predictions for kh and kv and “effective permeability” in transversely isotropic media. FT-00 was designed for rapid, accurate, easy-to-use and interactive forward simulations where the user can “randomly” change input variables to ascertain the effects of different variables like permeability, porosity, flowline volume, pumpout schedule, and so on. The term “supercharge” is often discussed in the context of pressure error measurement in formation testing, that is, inaccuracies in pore pressure prediction as they are affected by overbalance in the nearby well. The chapter focuses on the process with which dynamically coupled supercharging, mudcake growth and filtrate invasion occur.</w:t>
      </w:r>
    </w:p>
    <w:p>
      <w:pPr/>
      <w:r>
        <w:rPr>
          <w:b/>
        </w:rPr>
        <w:t>POSSIBLE 2021:</w:t>
      </w:r>
      <w:r>
        <w:t xml:space="preserve"> The Real Application of the Software Filter Selection Methodology on Practical Examples — https://doi.org/10.2507/32nd.daaam.proceedings.023</w:t>
      </w:r>
    </w:p>
    <w:p>
      <w:pPr/>
      <w:r>
        <w:rPr>
          <w:b/>
        </w:rPr>
        <w:t>Shared claim-specific concepts:</w:t>
      </w:r>
      <w:r>
        <w:t xml:space="preserve"> examples, practical, application, methodology, prediction, basis; EU scope not established. This is a provisional connection, not an outcome finding.</w:t>
      </w:r>
    </w:p>
    <w:p>
      <w:pPr>
        <w:pStyle w:val="SourceNote"/>
      </w:pPr>
      <w:r>
        <w:rPr>
          <w:b/>
        </w:rPr>
        <w:t>Available abstract (not full text):</w:t>
      </w:r>
      <w:r>
        <w:t xml:space="preserve"> The functional surfaces of components are usually finished by chip and chipless machining methods.The designer prescribes the basic properties of the surface with respect to its intended function.The task of the technology is to implement this prescription.Ideally, in the case of completely error-free production, the finished part is directly ready for functional use.In normal practice, however, the conditions of the production process do not remain completely constant, and it is, therefore, necessary to include inspection operations to detect any deviations that may affect the function of the component (e.g.deviations in dimensions, shape, surface quality, hardness of the component material, etc.).Changes in the manufacturing process affect the surface structure in various ways.Importantly, the measurement of the surface structure not only leads to the determination of the actual surface condition but also provides a basis for the control of the manufacturing process and the prediction of the functional properties of the surface.In the area described in this article, the area of software filter selection in real examples, this is not always the case.And the main reason for this is the low awareness and the high complexity of choosing the appropriate combination of possible procedures and techniques for setting up software filters.In this paper, possible differences in not foll</w:t>
      </w:r>
    </w:p>
    <w:p>
      <w:pPr>
        <w:pStyle w:val="Heading2"/>
      </w:pPr>
      <w:r>
        <w:t>701.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2023:</w:t>
      </w:r>
      <w:r>
        <w:t xml:space="preserve"> HANZE database of historical flood impacts in Europe, 1870-2020 — https://doi.org/10.5281/zenodo.8221453</w:t>
      </w:r>
    </w:p>
    <w:p>
      <w:pPr/>
      <w:r>
        <w:rPr>
          <w:b/>
        </w:rPr>
        <w:t>Shared claim-specific concepts:</w:t>
      </w:r>
      <w:r>
        <w:t xml:space="preserve"> historical, data, database, gross; EU scope visible. This is a provisional connection, not an outcome finding.</w:t>
      </w:r>
    </w:p>
    <w:p>
      <w:pPr>
        <w:pStyle w:val="SourceNote"/>
      </w:pPr>
      <w:r>
        <w:rPr>
          <w:b/>
        </w:rPr>
        <w:t>Available abstract (not full text):</w:t>
      </w:r>
      <w:r>
        <w:t xml:space="preserve"> The HANZE dataset covers riverine, pluvial, coastal and compound floods that have occurred in 42 European countries between 1870 and 2020. The data was collected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the database can be viewed, filtered and visualized online: https://naturalhazards.eu. The dataset is designed to be complimentary to HANZE-Exposure, a high-resolution model of historical exposure changes (such as population and asset value), and be easily usable in statistical and spatial analyses. The dataset contains the following file</w:t>
      </w:r>
    </w:p>
    <w:p>
      <w:pPr/>
      <w:r>
        <w:rPr>
          <w:b/>
        </w:rPr>
        <w:t>POSSIBLE 2023:</w:t>
      </w:r>
      <w:r>
        <w:t xml:space="preserve"> Predicting the Past: Imputation of Historical Data — https://doi.org/10.31234/osf.io/9gpwf</w:t>
      </w:r>
    </w:p>
    <w:p>
      <w:pPr/>
      <w:r>
        <w:rPr>
          <w:b/>
        </w:rPr>
        <w:t>Shared claim-specific concepts:</w:t>
      </w:r>
      <w:r>
        <w:t xml:space="preserve"> historical, data, database; EU scope not established. This is a provisional connection, not an outcome finding.</w:t>
      </w:r>
    </w:p>
    <w:p>
      <w:pPr>
        <w:pStyle w:val="SourceNote"/>
      </w:pPr>
      <w:r>
        <w:rPr>
          <w:b/>
        </w:rPr>
        <w:t>Available abstract (not full text):</w:t>
      </w:r>
      <w:r>
        <w:t xml:space="preserve"> Research using historical data is becoming more common across the social sciences. However, approaches using historical data suffer from a more acute missing data problem than approaches using contemporary data. Complete datasets are required to use many common statistical and machine learning techniques, the majority of which cannot handle missing data. One approach to handling missing data is to impute the missing values. Using the Database of Religious History (DRH), a large historical database, comprised of both quantitative and qualitative data, this research compares the accuracy and bias of 10 imputation methods. k-nearest neighbors (k-NN), missForest, Generalized low rank models (GLRM), Factorial analysis for mixed data (FAMD), DataWig, and five methods implemented in the R package mice (multiple imputation by chained equations). On average, a missForest approach had higher imputation accuracy and among the lowest bias compared to the other methods. The accuracy and bias of different methods implemented in mice were highly variable, highlighting the importance of researchers stating the precise method used for imputation, rather than general phrases such as ‘data were imputed using mice’.</w:t>
      </w:r>
    </w:p>
    <w:p>
      <w:pPr/>
      <w:r>
        <w:rPr>
          <w:b/>
        </w:rPr>
        <w:t>POSSIBLE 2023:</w:t>
      </w:r>
      <w:r>
        <w:t xml:space="preserve"> Normalized power priors always discount historical data — https://doi.org/10.1002/sta4.591</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Power priors are used for incorporating historical data in Bayesian analyses by taking the likelihood of the historical data raised to the power as the prior distribution for the model parameters. The power parameter is typically unknown and assigned a prior distribution, most commonly a beta distribution. Here, we give a novel theoretical result on the resulting marginal posterior distribution of in case of the normal and binomial model. Counterintuitively, when the current data perfectly mirror the historical data and the sample sizes from both data sets become arbitrarily large, the marginal posterior of does not converge to a point mass at but approaches a distribution that hardly differs from the prior. The result implies that a complete pooling of historical and current data is impossible if a power prior with beta prior for is used.</w:t>
      </w:r>
    </w:p>
    <w:p>
      <w:pPr/>
      <w:r>
        <w:rPr>
          <w:b/>
        </w:rPr>
        <w:t>POSSIBLE 2022:</w:t>
      </w:r>
      <w:r>
        <w:t xml:space="preserve"> Historical reconstruction of soil erosion in Europe — https://doi.org/10.2905/jrc.c2803r8</w:t>
      </w:r>
    </w:p>
    <w:p>
      <w:pPr/>
      <w:r>
        <w:rPr>
          <w:b/>
        </w:rPr>
        <w:t>Shared claim-specific concepts:</w:t>
      </w:r>
      <w:r>
        <w:t xml:space="preserve"> starting, historical, data; EU scope visible. This is a provisional connection, not an outcome finding.</w:t>
      </w:r>
    </w:p>
    <w:p>
      <w:pPr>
        <w:pStyle w:val="SourceNote"/>
      </w:pPr>
      <w:r>
        <w:rPr>
          <w:b/>
        </w:rPr>
        <w:t>Available abstract (not full text):</w:t>
      </w:r>
      <w:r>
        <w:t xml:space="preserve"> This dataset includes the past reconstruction of soil erosion rates in Europe (incuding UK, Switzerland and Western balkans). The data provided have are aggregated per decade starting from 1860. The soil erosion change is driven by changes in land use and rainfall erosivity. The simulations have been done using the CE-DYNAM model. We also make available the annual histrorical soil loss by water erosion rates (per year for the period 1860 - 2018). Advanced users may also download the monthly files (12 bands per file). The annual and monthly soil erosion reconstruction data (1860-2018) can be useful inputs for Earth System Models.</w:t>
      </w:r>
    </w:p>
    <w:p>
      <w:pPr/>
      <w:r>
        <w:rPr>
          <w:b/>
        </w:rPr>
        <w:t>POSSIBLE 2022:</w:t>
      </w:r>
      <w:r>
        <w:t xml:space="preserve"> Historical Spruce Abundance in Central Europe: A Combined Dendrochronological and Palynological Approach — https://doi.org/10.3389/fevo.2022.909453</w:t>
      </w:r>
    </w:p>
    <w:p>
      <w:pPr/>
      <w:r>
        <w:rPr>
          <w:b/>
        </w:rPr>
        <w:t>Shared claim-specific concepts:</w:t>
      </w:r>
      <w:r>
        <w:t xml:space="preserve"> starting, historical, data, consumption, varies; EU scope visible. This is a provisional connection, not an outcome finding.</w:t>
      </w:r>
    </w:p>
    <w:p>
      <w:pPr>
        <w:pStyle w:val="SourceNote"/>
      </w:pPr>
      <w:r>
        <w:rPr>
          <w:b/>
        </w:rPr>
        <w:t>Available abstract (not full text):</w:t>
      </w:r>
      <w:r>
        <w:t xml:space="preserve"> Spruce is the most cultivated tree species in modern forestry in Central Europe, since it has the ability to grow on many soil types with profitable biomass accumulation. However, even-aged and uniform spruce forests are affected by recurring droughts and associated biotic stressors leading to large-scale diebacks across Central Europe causing controversies among foresters and nature conservationists. We investigate the role of spruce in historical woodlands by using 15666 spruce timbers from historical buildings and on the basis of pollen-based land cover estimates using the REVEALS model from 157 pollen sites in southern Central Europe. Start and end dates of the spruce timber samples and their dendrological characteristics (age, growth rates and stem diameters) were used to obtain information on past forest structures. Tree rings and REVEALS estimates are combined at a spatial scale of 1° × 1° resolution, grouped in four sub-regions, and a temporal resolution of 100-year time windows starting from 1150 to 1850 CE. We found that spruce dominates the species assemblage of construction timber with almost 41% and that the harvest age varies little through time, whereas a declining trend in growth rates and stem diameters are observed toward times before modern forestry. Temporal and regional differences in spruce abundance and building activity were found highlighting periods of</w:t>
      </w:r>
    </w:p>
    <w:p>
      <w:pPr/>
      <w:r>
        <w:rPr>
          <w:b/>
        </w:rPr>
        <w:t>POSSIBLE 2021:</w:t>
      </w:r>
      <w:r>
        <w:t xml:space="preserve"> Scenario generation by selection from historical data — https://doi.org/10.1007/s10287-021-00399-4</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Abstract In this paper, we present and compare several methods for generating scenarios for stochastic-programming models by direct selection from historical data. The methods range from standard sampling and k -means, through iterative sampling-based selection methods, to a new moment-based optimization approach. We compare the models on a simple portfolio-optimization model and show how to use them in a situation when we are selecting whole sequences from the data, instead of single data points.</w:t>
      </w:r>
    </w:p>
    <w:p>
      <w:pPr/>
      <w:r>
        <w:rPr>
          <w:b/>
        </w:rPr>
        <w:t>POSSIBLE 2020:</w:t>
      </w:r>
      <w:r>
        <w:t xml:space="preserve"> ClimateEU, scale-free climate normals, historical time series, and future projections for Europe — https://doi.org/10.1038/s41597-020-00763-0</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Interpolated climate data have become essential for regional or local climate change impact assessments and the development of climate change adaptation strategies. Here, we contribute an accessible, comprehensive database of interpolated climate data for Europe that includes monthly, annual, decadal, and 30-year normal climate data for the last 119 years (1901 to 2019) as well as multi-model CMIP5 climate change projections for the 21 st century. The database also includes variables relevant for ecological research and infrastructure planning, comprising more than 20,000 climate grids that can be queried with a provided ClimateEU software package. In addition, 1 km and 2.5 km resolution gridded data generated by the software are available for download. The quality of ClimateEU estimates was evaluated against weather station data for a representative subset of climate variables. Dynamic environmental lapse rate algorithms employed by the software to generate scale-free climate variables for specific locations lead to improvements of 10 to 50% in accuracy compared to gridded data. We conclude with a discussion of applications and limitations of this database.</w:t>
      </w:r>
    </w:p>
    <w:p>
      <w:pPr/>
      <w:r>
        <w:rPr>
          <w:b/>
        </w:rPr>
        <w:t>POSSIBLE 2020:</w:t>
      </w:r>
      <w:r>
        <w:t xml:space="preserve"> Historical Atlas of Central Europe — https://doi.org/10.5325/hungarianstud.46-47.1.0107</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This is the rare case of a book that has been reviewed almost one hundred times before, if we include the eighty reviews of the first edition of 1993 and the fifteen reviews of the second edition of 2001, which introduced twenty new maps, partly because of political changes during the 1990s. It was also a different kind of atlas, because in contrast to the first edition, now the maps were produced digitally, which allowed for easier revision for the third edition that we review here. (Readers should consider buying the electronic version, with added features, which is available at the same price as the paperback!)The “Historical Atlas of Central Europe” has been a major Canadian-US research project for more than a quarter century. The book has even changed its name, after many Central Europeans found the designation “East Central Europe” in the first edition somehow offensive; but more importantly because the territory covered by the atlas is “Central Europe” “in purely geographical terms” (xiii). It could easily be argued that such purity can be contested, because geographers are part of the ongoing struggle to define what “Europe” is and where the “center” of the continent lies.1 The same problem, from the standpoint of constructivist approaches, arises regarding “ethnic groups.” In the atlas there are maps and statistics (Map 30, p. 97; Map 55, p. 189) that show and list the</w:t>
      </w:r>
    </w:p>
    <w:p>
      <w:pPr/>
      <w:r>
        <w:rPr>
          <w:b/>
        </w:rPr>
        <w:t>POSSIBLE 2020:</w:t>
      </w:r>
      <w:r>
        <w:t xml:space="preserve"> Borderplex Historical Data to 2018 — https://openalex.org/W7167177269</w:t>
      </w:r>
    </w:p>
    <w:p>
      <w:pPr/>
      <w:r>
        <w:rPr>
          <w:b/>
        </w:rPr>
        <w:t>Shared claim-specific concepts:</w:t>
      </w:r>
      <w:r>
        <w:t xml:space="preserve"> historical, data, consumption; EU scope not established. This is a provisional connection, not an outcome finding.</w:t>
      </w:r>
    </w:p>
    <w:p>
      <w:pPr>
        <w:pStyle w:val="SourceNote"/>
      </w:pPr>
      <w:r>
        <w:rPr>
          <w:b/>
        </w:rPr>
        <w:t>Available abstract (not full text):</w:t>
      </w:r>
      <w:r>
        <w:t xml:space="preserve"> This report provides a compendium of annual frequency Border Region Modeling Project historical data from 1947 to 2018.These data are provided via 19 sets of tables and graphs.Geographic coverage provided in this compendium includes El Paso, Texas; Ciudad Juárez, Mexico; Chihuahua City, Mexico; and Las Cruces, New Mexico.Topical coverage includes demography, employment, personal income, retail sales, residential and nonresidential real estate, transportation flows, hotel activity, municipal water consumption, and cross border manufacturing.</w:t>
      </w:r>
    </w:p>
    <w:p>
      <w:pPr>
        <w:pStyle w:val="Heading2"/>
      </w:pPr>
      <w:r>
        <w:t>702.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2023:</w:t>
      </w:r>
      <w:r>
        <w:t xml:space="preserve"> The effects of climate change on mental health — https://doi.org/10.3238/arztebl.m2022.0403</w:t>
      </w:r>
    </w:p>
    <w:p>
      <w:pPr/>
      <w:r>
        <w:rPr>
          <w:b/>
        </w:rPr>
        <w:t>Shared claim-specific concepts:</w:t>
      </w:r>
      <w:r>
        <w:t xml:space="preserve"> climate, estimate, increase, not; EU scope not established. This is a provisional connection, not an outcome finding.</w:t>
      </w:r>
    </w:p>
    <w:p>
      <w:pPr>
        <w:pStyle w:val="SourceNote"/>
      </w:pPr>
      <w:r>
        <w:rPr>
          <w:b/>
        </w:rPr>
        <w:t>Available abstract (not full text):</w:t>
      </w:r>
      <w:r>
        <w:t xml:space="preserve"> BACKGROUND: All over the world, climate change is exerting negative and complex effects on human living conditions and health. In this narrative review, we summarize the current global evidence regarding the effects of climate change on mental health. METHODS: A systematic literature search concerning the direct effects of acute extreme weather events (floods, storms, fires) and chronic stresses (heat, drought) due to climate change, as well as the indirect effects of climate change (food insecurity, migration), on the diagnoses of mental disorders, psychological distress, and psychiatric emergency admissions was carried out in PubMed and PsychInfo, and supplemented by expert selection. 1017 studies were identified, and 128 were included. RESULTS: The heterogeneity of study methods does not permit any overall estimate of effect strength. The available evidence shows that traumatic experiences due to extreme weather events increase the risk of affective and anxiety disorders, especially the risk of post-traumatic stress disorder. Heat significantly increases the morbidity and mortality attributable to mental illness, as well as the frequency of psychiatric emergencies. Persistent stressors such as drought, food insecurity, and migration owing to climate change can also be major risk factors for mental illness. CONCLUSION: The consequences of climate change are stress factors for</w:t>
      </w:r>
    </w:p>
    <w:p>
      <w:pPr/>
      <w:r>
        <w:rPr>
          <w:b/>
        </w:rPr>
        <w:t>POSSIBLE 2023:</w:t>
      </w:r>
      <w:r>
        <w:t xml:space="preserve"> Effects of Climate Change and Drought Tolerance on Maize Growth — https://doi.org/10.3390/plants12203548</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Climate change is affecting all regions of the world with different climates, and the scale of damage is increasing due to the occurrence of various natural disasters. In particular, maize production is highly affected by abnormal climate events such as heat waves and droughts. Increasing temperatures can accelerate growth and shorten the growing season, potentially reducing productivity. Additionally, enhanced temperatures during the ripening period can accelerate the process, reducing crop yields. In addition, drought stress due to water deficit can greatly affect seedling formation, early plant growth, photosynthesis, reproductive growth, and yield, so proper water management is critical to maize growth. Maize, in particular, is tall and broad-leaved, so extreme drought stress at planting can cause leaves to curl and stunt growth. It is important to understand that severe drought can have a detrimental effect on the growth and reproduction of maize. In addition, high temperatures caused by drought stress can inhibit the induction of flowering in male flowers and cause factors that interfere with pollen development. It is therefore important to increase the productivity of all food crops, including maize, while maintaining them in the face of persistent drought caused by climate change. This requires a strategy to develop genetically modified crops and drought-tolerant maize </w:t>
      </w:r>
    </w:p>
    <w:p>
      <w:pPr/>
      <w:r>
        <w:rPr>
          <w:b/>
        </w:rPr>
        <w:t>POSSIBLE 2023:</w:t>
      </w:r>
      <w:r>
        <w:t xml:space="preserve"> The effects of climate change on the ecology of fishes — https://doi.org/10.1371/journal.pclm.0000258</w:t>
      </w:r>
    </w:p>
    <w:p>
      <w:pPr/>
      <w:r>
        <w:rPr>
          <w:b/>
        </w:rPr>
        <w:t>Shared claim-specific concepts:</w:t>
      </w:r>
      <w:r>
        <w:t xml:space="preserve"> climate, not; EU scope not established. This is a provisional connection, not an outcome finding.</w:t>
      </w:r>
    </w:p>
    <w:p>
      <w:pPr>
        <w:pStyle w:val="SourceNote"/>
      </w:pPr>
      <w:r>
        <w:rPr>
          <w:b/>
        </w:rPr>
        <w:t>Available abstract (not full text):</w:t>
      </w:r>
      <w:r>
        <w:t xml:space="preserve"> Ocean warming and acidification are set to reshuffle life on Earth and alter ecological processes that underpin the biodiversity, health, productivity, and resilience of ecosystems. Fishes contribute significantly to marine, estuarine, and freshwater species diversity and the functioning of marine ecosystems, and are not immune to climate change impacts. Whilst considerable effort has been placed on studying the effects of climate change on fishes, much emphasis has been placed on their (eco)physiology and at the organismal level. Fishes are affected by climate change through impacts at various levels of biological organisation and through a large variety of traits, making it difficult to make generalisations regarding fish responses to climate change. Here, we briefly review the current state of knowledge of climate change effects on fishes across a wide range of subfields of fish ecology and evaluate these effects at various scales of biological organisation (from genes to ecosystems). We argue that a more holistic synthesis of the various interconnected subfields of fish ecology and integration of responses at different levels of biological organisation are needed for a better understanding of how fishes and their populations and communities might respond or adapt to the multi-stressor effects of climate change. We postulate that studies using natural analogues of climate ch</w:t>
      </w:r>
    </w:p>
    <w:p>
      <w:pPr/>
      <w:r>
        <w:rPr>
          <w:b/>
        </w:rPr>
        <w:t>POSSIBLE 2021:</w:t>
      </w:r>
      <w:r>
        <w:t xml:space="preserve"> Health effects of climate change: an overview of systematic reviews — https://doi.org/10.1136/bmjopen-2020-046333</w:t>
      </w:r>
    </w:p>
    <w:p>
      <w:pPr/>
      <w:r>
        <w:rPr>
          <w:b/>
        </w:rPr>
        <w:t>Shared claim-specific concepts:</w:t>
      </w:r>
      <w:r>
        <w:t xml:space="preserve"> climate, used, not; EU scope not established. This is a provisional connection, not an outcome finding.</w:t>
      </w:r>
    </w:p>
    <w:p>
      <w:pPr>
        <w:pStyle w:val="SourceNote"/>
      </w:pPr>
      <w:r>
        <w:rPr>
          <w:b/>
        </w:rPr>
        <w:t>Available abstract (not full text):</w:t>
      </w:r>
      <w:r>
        <w:t xml:space="preserve"> OBJECTIVES: We aimed to develop a systematic synthesis of systematic reviews of health impacts of climate change, by synthesising studies' characteristics, climate impacts, health outcomes and key findings. DESIGN: We conducted an overview of systematic reviews of health impacts of climate change. We registered our review in PROSPERO (CRD42019145972). No ethical approval was required since we used secondary data. Additional data are not available. DATA SOURCES: On 22 June 2019, we searched Medline, Cumulative Index to Nursing and Allied Health Literature (CINAHL), Embase, Cochrane and Web of Science. ELIGIBILITY CRITERIA: We included systematic reviews that explored at least one health impact of climate change. DATA EXTRACTION AND SYNTHESIS: We organised systematic reviews according to their key characteristics, including geographical regions, year of publication and authors' affiliations. We mapped the climate effects and health outcomes being studied and synthesised major findings. We used a modified version of A MeaSurement Tool to Assess systematic Reviews-2 (AMSTAR-2) to assess the quality of studies. RESULTS: We included 94 systematic reviews. Most were published after 2015 and approximately one-fifth contained meta-analyses. Reviews synthesised evidence about five categories of climate impacts; the two most common were meteorological and extreme weather events. Reviews c</w:t>
      </w:r>
    </w:p>
    <w:p>
      <w:pPr/>
      <w:r>
        <w:rPr>
          <w:b/>
        </w:rPr>
        <w:t>POSSIBLE 2021:</w:t>
      </w:r>
      <w:r>
        <w:t xml:space="preserve"> Effects of Climate Change on Invasive Species — https://doi.org/10.1007/978-3-030-45367-1_4</w:t>
      </w:r>
    </w:p>
    <w:p>
      <w:pPr/>
      <w:r>
        <w:rPr>
          <w:b/>
        </w:rPr>
        <w:t>Shared claim-specific concepts:</w:t>
      </w:r>
      <w:r>
        <w:t xml:space="preserve"> climate, atmospheric, low, emission, increase, but; EU scope not established. This is a provisional connection, not an outcome finding.</w:t>
      </w:r>
    </w:p>
    <w:p>
      <w:pPr>
        <w:pStyle w:val="SourceNote"/>
      </w:pPr>
      <w:r>
        <w:rPr>
          <w:b/>
        </w:rPr>
        <w:t>Available abstract (not full text):</w:t>
      </w:r>
      <w:r>
        <w:t xml:space="preserve"> Abstract Mean surface temperatures have increased globally by ~0.7 °C per century since 1900 and 0.16 °C per decade since 1970 (Levinson and Fettig 2014). Most of this warming is believed to result from increases in atmospheric concentrations of greenhouse gases produced by human activity. Temperature increases have been greater in winter than in summer, and there is a tendency for these increases to be manifested mainly by changes in minimum (nighttime low) temperatures (Kukla and Karl 1993). Changes in precipitation patterns have also been observed, but are more variable than those of temperature. Even under conservative emission scenarios, future climatic changes are likely to include further increases in temperature with significant drying (drought) in some regions and increases in the frequency and severity of extreme weather events (IPCC 2007). For example, multimodel means of annual temperature from climate projections predict an increase of 3–9 °C in the United States over the next century combined with reductions in summer precipitation in certain areas (Walsh et al. 2014). These changes will affect invasive species in several ways. Furthermore, climate change may challenge the way we perceive and consider nonnative invasive species, as impacts to some will change and others will remain unaffected; other nonnative species are likely to become invasive; and native speci</w:t>
      </w:r>
    </w:p>
    <w:p>
      <w:pPr/>
      <w:r>
        <w:rPr>
          <w:b/>
        </w:rPr>
        <w:t>POSSIBLE 2021:</w:t>
      </w:r>
      <w:r>
        <w:t xml:space="preserve"> Effects of Climate Change on Avalanche Accidents and Survival — https://doi.org/10.3389/fphys.2021.639433</w:t>
      </w:r>
    </w:p>
    <w:p>
      <w:pPr/>
      <w:r>
        <w:rPr>
          <w:b/>
        </w:rPr>
        <w:t>Shared claim-specific concepts:</w:t>
      </w:r>
      <w:r>
        <w:t xml:space="preserve"> climate, increase, not; EU scope not established. This is a provisional connection, not an outcome finding.</w:t>
      </w:r>
    </w:p>
    <w:p>
      <w:pPr>
        <w:pStyle w:val="SourceNote"/>
      </w:pPr>
      <w:r>
        <w:rPr>
          <w:b/>
        </w:rPr>
        <w:t>Available abstract (not full text):</w:t>
      </w:r>
      <w:r>
        <w:t xml:space="preserve"> Avalanches are major natural hazards in snow-covered mountains, threatening people and infrastructure. With ongoing climate change, the frequency and types of snow avalanches may change, affecting the rates of avalanche burial and survival. With a wetter and warmer snow climate, consequences of burial may become more severe. In this review, we assess the potential effects of climate change on the frequency and characteristics of avalanches. We then discuss how these changes might affect the survival rates of subjects buried by avalanches and might influence the responses of search and rescue (SAR) teams and health care providers. While climate change is inevitable, the effects on avalanches remain elusive. The frequency of human triggered avalanches may not change, because this depends largely on the number and behavior of winter recreationists. Blunt trauma and secondary injuries will likely become more frequent as terrain roughness is expected to rise and snow cover to become thinner. Higher snow densities in avalanche debris will likely interfere with the respiration of completely buried victims. Asphyxia and trauma, as causes of avalanche death, may increase. It is unlikely that SAR and health care providers involved in avalanche rescue will have to change their strategies in areas where they are already established. The effects of climate change might foster the expansion </w:t>
      </w:r>
    </w:p>
    <w:p>
      <w:pPr/>
      <w:r>
        <w:rPr>
          <w:b/>
        </w:rPr>
        <w:t>POSSIBLE 2020:</w:t>
      </w:r>
      <w:r>
        <w:t xml:space="preserve"> Changing wildfire, changing forests: the effects of climate change on fire regimes and vegetation in the Pacific Northwest, USA — https://doi.org/10.1186/s42408-019-0062-8</w:t>
      </w:r>
    </w:p>
    <w:p>
      <w:pPr/>
      <w:r>
        <w:rPr>
          <w:b/>
        </w:rPr>
        <w:t>Shared claim-specific concepts:</w:t>
      </w:r>
      <w:r>
        <w:t xml:space="preserve"> climate, used, increase; EU scope not established. This is a provisional connection, not an outcome finding.</w:t>
      </w:r>
    </w:p>
    <w:p>
      <w:pPr>
        <w:pStyle w:val="SourceNote"/>
      </w:pPr>
      <w:r>
        <w:rPr>
          <w:b/>
        </w:rPr>
        <w:t>Available abstract (not full text):</w:t>
      </w:r>
      <w:r>
        <w:t xml:space="preserve"> Abstract Background Wildfires in the Pacific Northwest (Washington, Oregon, Idaho, and western Montana, USA) have been immense in recent years, capturing the attention of resource managers, fire scientists, and the general public. This paper synthesizes understanding of the potential effects of changing climate and fire regimes on Pacific Northwest forests, including effects on disturbance and stress interactions, forest structure and composition, and post-fire ecological processes. We frame this information in a risk assessment context, and conclude with management implications and future research needs. Results Large and severe fires in the Pacific Northwest are associated with warm and dry conditions, and such conditions will likely occur with increasing frequency in a warming climate. According to projections based on historical records, current trends, and simulation modeling, protracted warmer and drier conditions will drive lower fuel moisture and longer fire seasons in the future, likely increasing the frequency and extent of fires compared to the twentieth century. Interactions between fire and other disturbances, such as drought and insect outbreaks, are likely to be the primary drivers of ecosystem change in a warming climate. Reburns are also likely to occur more frequently with warming and drought, with potential effects on tree regeneration and species composition</w:t>
      </w:r>
    </w:p>
    <w:p>
      <w:pPr/>
      <w:r>
        <w:rPr>
          <w:b/>
        </w:rPr>
        <w:t>POSSIBLE 2019:</w:t>
      </w:r>
      <w:r>
        <w:t xml:space="preserve"> Climate change effects on earthworms - a review — https://doi.org/10.25674/so91iss3pp114</w:t>
      </w:r>
    </w:p>
    <w:p>
      <w:pPr/>
      <w:r>
        <w:rPr>
          <w:b/>
        </w:rPr>
        <w:t>Shared claim-specific concepts:</w:t>
      </w:r>
      <w:r>
        <w:t xml:space="preserve"> climate, baseline, increase; EU scope not established. This is a provisional connection, not an outcome finding.</w:t>
      </w:r>
    </w:p>
    <w:p>
      <w:pPr>
        <w:pStyle w:val="SourceNote"/>
      </w:pPr>
      <w:r>
        <w:rPr>
          <w:b/>
        </w:rPr>
        <w:t>Available abstract (not full text):</w:t>
      </w:r>
      <w:r>
        <w:t xml:space="preserve"> Climate change can have a plethora of effects on organisms above and below the ground in terrestrial ecosystems. Given the tremendous biodiversity in the soil and the many ecosystem functions governed by soil organisms, the drivers of soil biodiversity have received increasing attention. Various climatic factors like temperature, precipitation, soil moisture, as well as extreme climate events like drought and flood have been shown to alter the composition and functioning of communities in the soil. Earthworms are important ecosystem engineers in the soils of temperate and tropical climates and play crucial roles for many ecosystem services, including decomposition, nutrient cycling, and crop yield. Here, we review the published literature on climate change effects on earthworm communities and activity. In general, we find highly species- and ecological group-specific responses to climate change, which are likely to result in altered earthworm community composition in future ecosystems. Earthworm activity, abundance, and biomass tend to increase with increasing temperature at sufficiently high soil water content, while climate extremes like drought and flooding have deleterious effects. Changing climate conditions may facilitate the invasion of earthworms at higher latitudes and altitudes, while dryer and warmer conditions may limit earthworm performance in other regions of the </w:t>
      </w:r>
    </w:p>
    <w:p>
      <w:pPr/>
      <w:r>
        <w:rPr>
          <w:b/>
        </w:rPr>
        <w:t>POSSIBLE 2019:</w:t>
      </w:r>
      <w:r>
        <w:t xml:space="preserve"> Effects of Climate Change in Agricultural Insect Pest — https://doi.org/10.31080/asag.2019.03.0727</w:t>
      </w:r>
    </w:p>
    <w:p>
      <w:pPr/>
      <w:r>
        <w:rPr>
          <w:b/>
        </w:rPr>
        <w:t>Shared claim-specific concepts:</w:t>
      </w:r>
      <w:r>
        <w:t xml:space="preserve"> climate, rising, used, increase; EU scope visible. This is a provisional connection, not an outcome finding.</w:t>
      </w:r>
    </w:p>
    <w:p>
      <w:pPr>
        <w:pStyle w:val="SourceNote"/>
      </w:pPr>
      <w:r>
        <w:rPr>
          <w:b/>
        </w:rPr>
        <w:t>Available abstract (not full text):</w:t>
      </w:r>
      <w:r>
        <w:t xml:space="preserve"> Climate change, an emerging global concern have serious effects in every aspects of agriculture.Changed patterns in climatic factors like temperature, precipitation, humidity and other meteorological components are affecting the quality and quantity of agricultural commodities production.Along with direct impacts in crop productivity, climate change is threatening global food production via pest related losses of food crops.Each additional degree of temperature rise could cause yield losses from insect pests to increase by a further 10-25%.Climate change has increased pest population and their damage potential by expanding distribution, enhancing survivability and allowing to develop the adaptability of insect pest.Rising temperature, modified precipitation patterns, disturbed gaseous composition of atmosphere etc. are causing the change in population, mobility, behavior of insect pest.This change has been affecting the global agricultural production figure.Largest grain producers of the world viz.China, the US, France etc. are already facing massive infestation of crop pest and consequent yield losses.Climate change has been the talk of the century.Observed shifts in global climatic phenomena and consequent losses have caught the attention of the world.Climate Change can be illustrated as the phenomenon that includes change in environmental factors like temperature, humidity a</w:t>
      </w:r>
    </w:p>
    <w:p>
      <w:pPr/>
      <w:r>
        <w:rPr>
          <w:b/>
        </w:rPr>
        <w:t>POSSIBLE 2019:</w:t>
      </w:r>
      <w:r>
        <w:t xml:space="preserve"> Climate change effects on deer and moose in the Midwest — https://doi.org/10.1002/jwmg.21649</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ABSTRACT Climate change is an increasing concern for wildlife managers across the United States and Canada. Because climate change may alter populations and harvest dynamics of key species in the region, midwestern states have identified the effects of climate change on ungulates as a priority research area. We conducted a literature review of projected climate change in the Midwest and the potential effects on white‐tailed deer ( Odocoileus virginianus ) and moose ( Alces alces ). Warmer temperatures and decreasing snowpack in the region favor survival of white‐tailed deer. In contrast, moose may become physiologically stressed in response to warming, and increasing deer populations spreading disease will exacerbate the problem. Although there is some uncertainty about exactly how the climate will change, and to what degree, robust projections suggest that deer populations will increase in response to climate change and moose populations will decrease. Managers can begin preparing for these changes by proactively creating management plans that take this into account. Published 2019. This article is a U.S. Government work and is in the public domain in the USA. The Journal of Wildlife Management published by Wiley Periodicals, Inc. on behalf of The Wildlife Society</w:t>
      </w:r>
    </w:p>
    <w:p>
      <w:pPr/>
      <w:r>
        <w:rPr>
          <w:b/>
        </w:rPr>
        <w:t>POSSIBLE 2019:</w:t>
      </w:r>
      <w:r>
        <w:t xml:space="preserve"> A Review of the Effects of Climate Change on Chelonians — https://doi.org/10.3390/d11080138</w:t>
      </w:r>
    </w:p>
    <w:p>
      <w:pPr/>
      <w:r>
        <w:rPr>
          <w:b/>
        </w:rPr>
        <w:t>Shared claim-specific concepts:</w:t>
      </w:r>
      <w:r>
        <w:t xml:space="preserve"> climate, low, not; EU scope not established. This is a provisional connection, not an outcome finding.</w:t>
      </w:r>
    </w:p>
    <w:p>
      <w:pPr>
        <w:pStyle w:val="SourceNote"/>
      </w:pPr>
      <w:r>
        <w:rPr>
          <w:b/>
        </w:rPr>
        <w:t>Available abstract (not full text):</w:t>
      </w:r>
      <w:r>
        <w:t xml:space="preserve"> Climate change is occurring at an unprecedented rate and has begun to modify the distribution and phenology of organisms worldwide. Chelonians are expected to be particularly vulnerable due to limited dispersal capabilities as well as widespread temperature-dependent sex determination. The number of papers published about the effects of climate change on turtles has increased exponentially over the last decade; here, I review the data from peer-reviewed publications to assess the likely impacts of climate change on individuals, populations, and communities. Based upon these studies future research should focus on: (1) Individual responses to climate change, particularly with respect to thermal biology, phenology, and microhabitat selection; (2) improving species distribution models by incorporating fine-scale environmental variables as well as physiological processes; (3) identifying the consequences of skewed sex ratios; and (4) assessments of community resilience and the development of methods to mitigate climate change impacts. Although detailed management recommendations are not possible at this point, careful consideration should be given regarding how to manage low vagility species as habitats shift poleward. In the worst-case scenario, proactive management may be required in order to ensure that widespread losses do not occur.</w:t>
      </w:r>
    </w:p>
    <w:p>
      <w:pPr>
        <w:pStyle w:val="Heading2"/>
      </w:pPr>
      <w:r>
        <w:t>703.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r>
        <w:rPr>
          <w:b/>
        </w:rPr>
        <w:t>POSSIBLE 2023:</w:t>
      </w:r>
      <w:r>
        <w:t xml:space="preserve"> Can sediments play a role in river flood risk mapping? Learning from selected European examples — https://doi.org/10.1186/s40677-023-00250-9</w:t>
      </w:r>
    </w:p>
    <w:p>
      <w:pPr/>
      <w:r>
        <w:rPr>
          <w:b/>
        </w:rPr>
        <w:t>Shared claim-specific concepts:</w:t>
      </w:r>
      <w:r>
        <w:t xml:space="preserve"> additional, show, approach, climate, perspective; EU scope visible. This is a provisional connection, not an outcome finding.</w:t>
      </w:r>
    </w:p>
    <w:p>
      <w:pPr>
        <w:pStyle w:val="SourceNote"/>
      </w:pPr>
      <w:r>
        <w:rPr>
          <w:b/>
        </w:rPr>
        <w:t>Available abstract (not full text):</w:t>
      </w:r>
      <w:r>
        <w:t xml:space="preserve"> Abstract Background Climate change and increasing anthropogenic pressure are two of the major drivers of increasing extreme events like droughts and floods. To deal with the increasing number of flooding events hitting Europe in the last few decades, around twenty years ago the European Commission started to develop ad-hoc legislation to reduce flood risk by mapping flood hazard and risk areas, such as the Directive 2007/60/EC on the Assessment and Management of Flood Risk. This Directive looks to identify regions where flood management strategies should be prioritized. Despite this holistic approach, flaws connected to the consideration of sediment transport and morphological changes in rivers exist, leading to potential underestimations of the impact of floods affecting active watercourses or areas subjected to frequent morphological changes. Results By discussing six examples related to European lowland and mountain watercourses affected by significant floods in the last 20 years, the present mini-review aims to provide additional evidence on the need for a rethinking of flood risk mapping, moving from a “clear water” perspective to a more integrated approach, where the interactions between all the fluvial components (water, sediment, biota, and humans) are adequately considered. Conclusions The examples reported here show the importance of considering sediment and wood in f</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approach, climate;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additional, show, climate;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704.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2022:</w:t>
      </w:r>
      <w:r>
        <w:t xml:space="preserve"> Global economic costs and knowledge gaps of invasive gastropods — https://doi.org/10.1016/j.ecolind.2022.109614</w:t>
      </w:r>
    </w:p>
    <w:p>
      <w:pPr/>
      <w:r>
        <w:rPr>
          <w:b/>
        </w:rPr>
        <w:t>Shared claim-specific concepts:</w:t>
      </w:r>
      <w:r>
        <w:t xml:space="preserve"> knowledge, information; EU scope visible. This is a provisional connection, not an outcome finding.</w:t>
      </w:r>
    </w:p>
    <w:p>
      <w:pPr>
        <w:pStyle w:val="SourceNote"/>
      </w:pPr>
      <w:r>
        <w:rPr>
          <w:b/>
        </w:rPr>
        <w:t>Available abstract (not full text):</w:t>
      </w:r>
      <w:r>
        <w:t xml:space="preserve"> Invasive alien gastropods are a particularly pervasive taxonomic group worldwide, often causing substantial impacts on aquatic and terrestrial ecosystems. Yet, much remains unknown about this invasive group’s economic costs to human society. Here, we used the InvaCost database to evaluate the taxonomic, spatial, and temporal patterns of economic costs associated with invasive gastropods on the global scale. In total, 13 species of invasive gastropods caused a cumulative global cost of US$ 3.94 billion over the period 1966–2020, with a majority being attributed to aquatic species ($ 3.72 billion, 94.4 %, concentrated mostly in Asia) and only $ 0.22 billion (5.6 %, concentrated mostly in Europe) to terrestrial species. Among different regions, Asia (3.71 billion) reported the greatest costs, compared to far lower costs reported in Europe (214.50 million), North America (13.80 million), Oceania (2.69 million), South America (&lt;1 million) and Africa (&lt;1 million). The vast majority (94.2 %) of these costs were due to the family Ampullariidae and the genus Pomacea (apple snails) which were largely reported in Asia. Furthermore, 88.4 % of total gastropod-related costs resulted from direct resource damages and losses, being one order of magnitude higher than management related costs (9.0 %). A majority (81.5 %) of total gastropod costs was incurred by agriculture, and relatively little </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knowledge, key, information, policies, work, recent;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r>
        <w:rPr>
          <w:b/>
        </w:rPr>
        <w:t>POSSIBLE 2022:</w:t>
      </w:r>
      <w:r>
        <w:t xml:space="preserve"> Global economic costs of mammal invasions — https://doi.org/10.1016/j.scitotenv.2022.159479</w:t>
      </w:r>
    </w:p>
    <w:p>
      <w:pPr/>
      <w:r>
        <w:rPr>
          <w:b/>
        </w:rPr>
        <w:t>Shared claim-specific concepts:</w:t>
      </w:r>
      <w:r>
        <w:t xml:space="preserve"> knowledge, natural; EU scope visible. This is a provisional connection, not an outcome finding.</w:t>
      </w:r>
    </w:p>
    <w:p>
      <w:pPr>
        <w:pStyle w:val="SourceNote"/>
      </w:pPr>
      <w:r>
        <w:rPr>
          <w:b/>
        </w:rPr>
        <w:t>Available abstract (not full text):</w:t>
      </w:r>
      <w:r>
        <w:t xml:space="preserve"> Invasive alien mammals cause huge adverse ecological impact on human society and natural ecosystems. Although studies have estimated economic costs of mammal invasions at regional scales, there is lacking the large-scale comprehensive assessment of currency costs for this taxon. Here, we estimated the economic cost of invasive alien mammals on a global scale using the most comprehensive global database compiling economic costs of invasive species (InvaCost). From 1960 to 2021, mammal invasions caused costs (summing damage costs and management costs) of US$ 462.49 billion to the global economy, while the total amount of robust costs reached US$ 52.49 billion. The majority of the total economic costs corresponded to damage costs (90.27 %), while only 7.43 % were related to management cost. Economic costs showed an increasing trend over time. The distribution of costs was uneven among taxonomic groups and regions, with the global total cost highly biasing toward to 5 species (European rabbit, Domestic cat, Black rat, Wild boar and Coypu), and North America reporting much higher costs (60.78 % of total economic costs) than other regions. The total costs were borne by agriculture, environment, authorities stakeholders and other sectors. Geographic and taxonomic biases suggested that total economic costs caused by invasive alien mammals were underestimated. Integrated research effort</w:t>
      </w:r>
    </w:p>
    <w:p>
      <w:pPr/>
      <w:r>
        <w:rPr>
          <w:b/>
        </w:rPr>
        <w:t>POSSIBLE 2021:</w:t>
      </w:r>
      <w:r>
        <w:t xml:space="preserve"> Economic costs of invasive alien species across Europe — https://doi.org/10.3897/neobiota.67.58196</w:t>
      </w:r>
    </w:p>
    <w:p>
      <w:pPr/>
      <w:r>
        <w:rPr>
          <w:b/>
        </w:rPr>
        <w:t>Shared claim-specific concepts:</w:t>
      </w:r>
      <w:r>
        <w:t xml:space="preserve"> knowledge, information, recent;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An institutional approach to vulnerability: evidence from natural hazard management in Europe — https://doi.org/10.1088/1748-9326/abe88c</w:t>
      </w:r>
    </w:p>
    <w:p>
      <w:pPr/>
      <w:r>
        <w:rPr>
          <w:b/>
        </w:rPr>
        <w:t>Shared claim-specific concepts:</w:t>
      </w:r>
      <w:r>
        <w:t xml:space="preserve"> natural, climate, three, recent, case; EU scope visible. This is a provisional connection, not an outcome finding.</w:t>
      </w:r>
    </w:p>
    <w:p>
      <w:pPr>
        <w:pStyle w:val="SourceNote"/>
      </w:pPr>
      <w:r>
        <w:rPr>
          <w:b/>
        </w:rPr>
        <w:t>Available abstract (not full text):</w:t>
      </w:r>
      <w:r>
        <w:t xml:space="preserve"> Abstract Institutional vulnerability to natural hazards has not been thoroughly investigated until now. Yet, institutional vulnerability is strongly connected to all other vulnerability dimensions, and specific socio-economic and physical indicators. Moreover, different types of crises such as economic, political or health crisis strongly affect the institutional capacity of communities to deal with the consequences of natural hazards. For this reason, a deep insight to the institutional dimension of vulnerability is needed in order to reduce disaster risk under the effects of climate but also socio-economic change. In the present paper, institutional vulnerability is defined and its main pillars and drivers are identified. A framework is presented showing the interactions between the drivers of institutional vulnerability and the indicators of other vulnerability dimensions (physical, social, economic, cultural and environmental). The interactions between institutional vulnerability and other vulnerability dimensions are highlighted through three European case studies: Greece, the United Kingdom and Austria. The case studies show how current issues such as the recent financial crisis and Brexit, may directly influence the drivers of institutional vulnerability and consequently all other vulnerability dimensions. The framework and the case studies clearly indicate that institut</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knowledge, natural, mitigation, strategies;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2019:</w:t>
      </w:r>
      <w:r>
        <w:t xml:space="preserve"> The Environmental Risks Associated With the Development of Seaweed Farming in Europe - Prioritizing Key Knowledge Gaps — https://doi.org/10.3389/fmars.2019.00107</w:t>
      </w:r>
    </w:p>
    <w:p>
      <w:pPr/>
      <w:r>
        <w:rPr>
          <w:b/>
        </w:rPr>
        <w:t>Shared claim-specific concepts:</w:t>
      </w:r>
      <w:r>
        <w:t xml:space="preserve"> knowledge, key; EU scope visible. This is a provisional connection, not an outcome finding.</w:t>
      </w:r>
    </w:p>
    <w:p>
      <w:pPr>
        <w:pStyle w:val="SourceNote"/>
      </w:pPr>
      <w:r>
        <w:rPr>
          <w:b/>
        </w:rPr>
        <w:t>Available abstract (not full text):</w:t>
      </w:r>
      <w:r>
        <w:t xml:space="preserve"> Cultivation of kelp has been well established throughout Asia, and there is now growing interest in the cultivation of macroalgae in Europe to meet future resource needs. If this industry is to become established throughout Europe, then balancing the associated environmental risks with potential benefits will be necessary to ensure the carrying capacity of the receiving environments are not exceeded and conservation objects are not undermined. This is a systematic review of the ecosystem changes likely to be associated with a developing seaweed aquaculture industry. Monitoring recommendations are made by risk ranking environmental changes, highlighting the current knowledge gaps and providing research priorities to address them. Environmental changes of greatest concern were identified to include: facilitation of disease, alteration of population genetics and wider alterations to the local physiochemical environment. Current high levels of uncertainty surrounding the true extent of some environmental changes mean conservative risk rankings are given. Recommended monitoring options are discussed that aim to address uncertainty and facilitate informed decision-making. Whilst current small-scale cultivation projects are considered ‘low risk’, an expansion of the industry that includes ‘large-scale’ cultivation will necessitate a more complete understanding of the scale dependent c</w:t>
      </w:r>
    </w:p>
    <w:p>
      <w:pPr>
        <w:pStyle w:val="Heading2"/>
      </w:pPr>
      <w:r>
        <w:t>705.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2021:</w:t>
      </w:r>
      <w:r>
        <w:t xml:space="preserve"> Logo as a Tool of European Union Countries’ Destination Branding — https://doi.org/10.4467/23540214zm.21.033.14576</w:t>
      </w:r>
    </w:p>
    <w:p>
      <w:pPr/>
      <w:r>
        <w:rPr>
          <w:b/>
        </w:rPr>
        <w:t>Shared claim-specific concepts:</w:t>
      </w:r>
      <w:r>
        <w:t xml:space="preserve"> tool, method; EU scope visible. This is a provisional connection, not an outcome finding.</w:t>
      </w:r>
    </w:p>
    <w:p>
      <w:pPr>
        <w:pStyle w:val="SourceNote"/>
      </w:pPr>
      <w:r>
        <w:rPr>
          <w:b/>
        </w:rPr>
        <w:t>Available abstract (not full text):</w:t>
      </w:r>
      <w:r>
        <w:t xml:space="preserve"> Developing a coherent and comprehensive brand of a country is of vital importance for a destination in the contemporary global world. There seems to be a recognizable gap in the literature regarding the application of visual signs practiced in country branding. The subject of the study: The research identifies the logos of the European Union countries used in place branding. The purpose of the study is the exploration of the logo content from the senders’ perspective, i.e., the structures and organizations responsible for the country branding. There are many reasons why logos are used in place branding practice. The authors decided to focus on the logo as a form of controlled and projected message communicated via media and ICT. Cognitive gap: The research conducted so far has focused on the reception of logos by the recipients. The presented research attempts to examine the visual message contained in logos from the senders’ perspective. Research methods and data collection techniques: The content analysis method was used to study the visual identity of the countries. The authors collected logos and scrutinised them using Beyrow and Vogt as well as Mollerup’s taxonomy. The results of the study illustrate how governmental institutions, which are responsible for country branding, portray countries using visual identity on the Internet, social media, and their own media.</w:t>
      </w:r>
    </w:p>
    <w:p>
      <w:pPr/>
      <w:r>
        <w:rPr>
          <w:b/>
        </w:rPr>
        <w:t>POSSIBLE 2020:</w:t>
      </w:r>
      <w:r>
        <w:t xml:space="preserve"> Professional Wargaming: A Flawed but Useful Tool — https://doi.org/10.1177/1046878120901852</w:t>
      </w:r>
    </w:p>
    <w:p>
      <w:pPr/>
      <w:r>
        <w:rPr>
          <w:b/>
        </w:rPr>
        <w:t>Shared claim-specific concepts:</w:t>
      </w:r>
      <w:r>
        <w:t xml:space="preserve"> useful, tool, planning, set, develop; EU scope not established. This is a provisional connection, not an outcome finding.</w:t>
      </w:r>
    </w:p>
    <w:p>
      <w:pPr>
        <w:pStyle w:val="SourceNote"/>
      </w:pPr>
      <w:r>
        <w:rPr>
          <w:b/>
        </w:rPr>
        <w:t>Available abstract (not full text):</w:t>
      </w:r>
      <w:r>
        <w:t xml:space="preserve"> Rationale for the Article. Professional wargames have long been an integral part of the tool set used by the military. The literature includes many examples of wargames that have been successful in terms of training, military education, procurement, operational analysis and planning for war. However, retrospective examination demonstrates that many of these professional wargames also had major errors in them and by implication current games about future confrontations are similarly flawed. Nevertheless, the academic evidence is clear that such games are still invaluable tools. Methodology. Ten years of research into the development of wargames undertaken by the History of Wargaming Project has analysed and made generally available more professional wargames than ever before. Retrospective examination of a sample of these declassified games, from the British War Office Rules (1896) to more recent games about the Ukraine, shows significant errors. Value. Demonstrating that professional games had errors in the past opens challenges the overconfidence in the predictive capacity of games. It also raises the possibility for future research to identify game design bias and to develop better games in the future. Understanding the value of better games, even with their inherent issues, raise the possibility of better preparing decision makers for the future. Notes. The words wargame and</w:t>
      </w:r>
    </w:p>
    <w:p>
      <w:pPr/>
      <w:r>
        <w:rPr>
          <w:b/>
        </w:rPr>
        <w:t>POSSIBLE 2019:</w:t>
      </w:r>
      <w:r>
        <w:t xml:space="preserve"> Market survey recently recognised as a persuasive tool to solve trademark disputes in China — https://doi.org/10.4324/9780429316395-6</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This chapter focuses on the decision concerning the trademark of the Chinese characters of the transliteration of Jordan, and especially the facts and legal issues surrounding market survey. China’s Trademark Law provides for the “prior right doctrine” as one of the grounds to refuse to grant trademark registration. In some jurisdictions, such as the United States and European Union, market surveys have been recognised as useful tools to deal with trademark disputes. Market surveys have been used to measure the major issues in trademark law: likelihood of confusion, generic terms, secondary meaning, deception, fame, and likelihood of dilution. The rights and interests stipulated under the laws shall be enjoyed by entities and protected against later trademark registration that might undermine those rights and interests. China’s Trademark Law provides that an application for trademark registration shall not infringe the prior right of another person.</w:t>
      </w:r>
    </w:p>
    <w:p>
      <w:pPr>
        <w:pStyle w:val="Heading2"/>
      </w:pPr>
      <w:r>
        <w:t>706.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pStyle w:val="Heading2"/>
      </w:pPr>
      <w:r>
        <w:t>707.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2021:</w:t>
      </w:r>
      <w:r>
        <w:t xml:space="preserve"> REVIEW ARTICLE ON THE MITIGATION OF FOUR WAVE MIXING IN OPTICAL COMMUNICATION SYSTEM — https://doi.org/10.51459/futajeet.2021.15.1.266</w:t>
      </w:r>
    </w:p>
    <w:p>
      <w:pPr/>
      <w:r>
        <w:rPr>
          <w:b/>
        </w:rPr>
        <w:t>Shared claim-specific concepts:</w:t>
      </w:r>
      <w:r>
        <w:t xml:space="preserve"> article, four, system, main; EU scope not established. This is a provisional connection, not an outcome finding.</w:t>
      </w:r>
    </w:p>
    <w:p>
      <w:pPr>
        <w:pStyle w:val="SourceNote"/>
      </w:pPr>
      <w:r>
        <w:rPr>
          <w:b/>
        </w:rPr>
        <w:t>Available abstract (not full text):</w:t>
      </w:r>
      <w:r>
        <w:t xml:space="preserve"> The main challenge faced in today's telecommunication is the ever increasing demand for bandwidth and data rates. The desire to expand the capacity of fiber optic communication to accommodate this demand accelerated the development of high capacity Dense Wavelength Division Multiplexing (DWDM) transmission equipment. However, nonlinear impairments are the fundamental limiting mechanisms to the amount of data that can be transmitted in DWDM. In DWDM, Four Wave Mixing is the most critical of nonlinear effects in fibre optics communication. This effect limits the DWDM’s channel capacity. There are numerous researches on nonlinear impairments that show the intricacy of FWM phenomena in DWDM system. This article present review of the several measures which have been carried out by researchers to overcome nonlinear effects in DWDM. Such measures include Modulation Formats, Channel Spacing, Channel Shuffling Algorithm and Electro-Optic Phase Modulation. The review provides insight into the methods, parameters and approaches used by other researchers. This will pave way for can thus lead to significant improvement in the design of DWDM system.</w:t>
      </w:r>
    </w:p>
    <w:p>
      <w:pPr/>
      <w:r>
        <w:rPr>
          <w:b/>
        </w:rPr>
        <w:t>POSSIBLE 2020:</w:t>
      </w:r>
      <w:r>
        <w:t xml:space="preserve"> Four approaches to anticipatory climate governance: Different conceptions of the future and implications for the present — https://doi.org/10.1002/wcc.673</w:t>
      </w:r>
    </w:p>
    <w:p>
      <w:pPr/>
      <w:r>
        <w:rPr>
          <w:b/>
        </w:rPr>
        <w:t>Shared claim-specific concepts:</w:t>
      </w:r>
      <w:r>
        <w:t xml:space="preserve"> article, four, system, each; EU scope not established. This is a provisional connection, not an outcome finding.</w:t>
      </w:r>
    </w:p>
    <w:p>
      <w:pPr>
        <w:pStyle w:val="SourceNote"/>
      </w:pPr>
      <w:r>
        <w:rPr>
          <w:b/>
        </w:rPr>
        <w:t>Available abstract (not full text):</w:t>
      </w:r>
      <w:r>
        <w:t xml:space="preserve"> Abstract In times of accelerating earth system transformations and their potentially disruptive societal consequences, imagining and governing the future is now a core challenge for sustainability research and practice. Much social science and sustainability science scholarship increasingly engages with the future. There is, however, a lack of scrutiny of how the future is envisioned in these literatures, and with what implications for governance in the present. This article analyses these two aspects, building on the concept of “anticipatory governance.” We understand anticipatory governance to broadly mean governing in the present to adapt to or shape uncertain futures. We review perspectives within public policy, futures studies, social–ecological systems, environmental policy and governance, transition studies, science and technology studies, and responsible research and innovation literatures. All these literatures engage explicitly or implicitly with the notion of anticipatory governance, yet from distinct ontological and epistemological starting points. Through our review, we identify four approaches to anticipatory governance that differ with regard to (a) their conceptions of and engagement with the future; (b) their implications for actions to be taken in the present; and (c) the ultimate end to be realized through anticipatory governance. We then map onto these four </w:t>
      </w:r>
    </w:p>
    <w:p>
      <w:pPr/>
      <w:r>
        <w:rPr>
          <w:b/>
        </w:rPr>
        <w:t>POSSIBLE 2020:</w:t>
      </w:r>
      <w:r>
        <w:t xml:space="preserve"> The evolution of the Offshore US-Dollar System: past, present and four possible futures — https://doi.org/10.1017/s1744137420000168</w:t>
      </w:r>
    </w:p>
    <w:p>
      <w:pPr/>
      <w:r>
        <w:rPr>
          <w:b/>
        </w:rPr>
        <w:t>Shared claim-specific concepts:</w:t>
      </w:r>
      <w:r>
        <w:t xml:space="preserve"> article, four, system; EU scope not established. This is a provisional connection, not an outcome finding.</w:t>
      </w:r>
    </w:p>
    <w:p>
      <w:pPr>
        <w:pStyle w:val="SourceNote"/>
      </w:pPr>
      <w:r>
        <w:rPr>
          <w:b/>
        </w:rPr>
        <w:t>Available abstract (not full text):</w:t>
      </w:r>
      <w:r>
        <w:t xml:space="preserve"> Abstract Little has contributed more to the emergence of today's world of financial globalization than the setup of the international monetary system. In its current shape, it has a hierarchical structure with the US-Dollar (USD) at the top and various other monetary areas forming a multilayered periphery to it. A key feature of the system is the creation of USD offshore – a feature that in the 1950s and 60s developed in co-evolution with the Bretton Woods System and in the 1970s replaced it. Since the 2007–9 Financial Crisis, this ‘Offshore US-Dollar System’ has been backstopped by the Federal Reserve's network of swap lines which are extended to other key central banks. This systemic evolution may continue in the decades to come, but other systemic arrangements are possible as well and have historical precedents. This article discusses four trajectories that would lead to different setups of the international monetary system by 2040, taking into account how its hierarchical structure and the role of offshore credit money creation may evolve. In addition to a continuation of USD hegemony, we present the emergence of competing monetary blocs, the formation of an international monetary federation and the disintegration into an international monetary anarchy.</w:t>
      </w:r>
    </w:p>
    <w:p>
      <w:pPr/>
      <w:r>
        <w:rPr>
          <w:b/>
        </w:rPr>
        <w:t>POSSIBLE 2020:</w:t>
      </w:r>
      <w:r>
        <w:t xml:space="preserve"> Interrater Reliability of Four Neurological Scales for Patients Presenting to the Emergency Department — https://doi.org/10.5005/jp-journals-10071-23603</w:t>
      </w:r>
    </w:p>
    <w:p>
      <w:pPr/>
      <w:r>
        <w:rPr>
          <w:b/>
        </w:rPr>
        <w:t>Shared claim-specific concepts:</w:t>
      </w:r>
      <w:r>
        <w:t xml:space="preserve"> article, four, background, each; EU scope not established. This is a provisional connection, not an outcome finding.</w:t>
      </w:r>
    </w:p>
    <w:p>
      <w:pPr>
        <w:pStyle w:val="SourceNote"/>
      </w:pPr>
      <w:r>
        <w:rPr>
          <w:b/>
        </w:rPr>
        <w:t>Available abstract (not full text):</w:t>
      </w:r>
      <w:r>
        <w:t xml:space="preserve"> BACKGROUND: Altered mental status (AMS) comprises a group of clinical symptoms rather than a specific diagnosis. A variety of neurological scales have been used to monitor these patients, including the Glasgow coma scale (GCS), AVPU (alert, responds to verbal stimuli, responds to painful stimuli, unresponsive) scale, and ACDU (alert, confused, drowsy, unresponsive) scale. The simplified motor scale (SMS) has been found to be a potential replacement for the GCS. In this study, we compare the interrater reliability of the GCS (individual components), AVPU, ACDU, and SMS to patients presenting to the ED with AMS. MATERIALS AND METHODS: This was a prospective observational study conducted in the emergency department of an urban tertiary-care hospital in New Delhi, India. Patients with AMS (traumatic and nontraumatic) presenting to the ED were assessed by two emergency physicians within 10 minutes of each other using the four neurological scales. Percentage agreement and kappa coefficient score were used to determine interrater reliability for SMS, individual components of GCS, AVPU, and ACDU. RESULTS: The SMS had the best inter-rater percent agreement with 83.91% (95% CI 77.7-88.6%), followed by ACDU which was 76.44% (95% CI 69.0-81.6%), AVPU 75.29% (95% CI 67.8-80.6%), GCS Eye 74.14% (95% CI 66.6-79.6%), GCS Verbal 67.82% (95% CI 60.6-74.3%), and GCS Motor was 64.94% (95% CI 57.6-</w:t>
      </w:r>
    </w:p>
    <w:p>
      <w:pPr/>
      <w:r>
        <w:rPr>
          <w:b/>
        </w:rPr>
        <w:t>POSSIBLE 2020:</w:t>
      </w:r>
      <w:r>
        <w:t xml:space="preserve"> From mediated actions to heterogenous coalitions: four generations of activity-theoretical studies of work and learning — https://doi.org/10.1080/10749039.2020.1806328</w:t>
      </w:r>
    </w:p>
    <w:p>
      <w:pPr/>
      <w:r>
        <w:rPr>
          <w:b/>
        </w:rPr>
        <w:t>Shared claim-specific concepts:</w:t>
      </w:r>
      <w:r>
        <w:t xml:space="preserve"> article, presented, four, system, each, main; EU scope not established. This is a provisional connection, not an outcome finding.</w:t>
      </w:r>
    </w:p>
    <w:p>
      <w:pPr>
        <w:pStyle w:val="SourceNote"/>
      </w:pPr>
      <w:r>
        <w:rPr>
          <w:b/>
        </w:rPr>
        <w:t>Available abstract (not full text):</w:t>
      </w:r>
      <w:r>
        <w:t xml:space="preserve"> The article outlines four generations of theorizing and research on work and learning within the Finnish school of activity theory. The main focus of the paper is on the evolution of the unit of analysis through the four generations, from mediated action to a collective activity system, to multiple-interconnected activity systems, and most recently to heterogenous work coalitions aimed at resolving wicked societal problems. We examine how learning and agency are conceptualized in each generation, and what kinds of interventions are conducted in the projects presented as examples of the four generations. We conclude that the four generations of activity-theoretical studies of work and learning continue to co-exist. To meet the challenges of work in today’s world, activity theory must seriously engage in the development of its fourth generation, building on ideas and instruments developed by the preceding generations.</w:t>
      </w:r>
    </w:p>
    <w:p>
      <w:pPr/>
      <w:r>
        <w:rPr>
          <w:b/>
        </w:rPr>
        <w:t>POSSIBLE 2019:</w:t>
      </w:r>
      <w:r>
        <w:t xml:space="preserve"> Headings in the four journals — https://doi.org/10.4324/9781003009344-4</w:t>
      </w:r>
    </w:p>
    <w:p>
      <w:pPr/>
      <w:r>
        <w:rPr>
          <w:b/>
        </w:rPr>
        <w:t>Shared claim-specific concepts:</w:t>
      </w:r>
      <w:r>
        <w:t xml:space="preserve"> article, presented, four; EU scope not established. This is a provisional connection, not an outcome finding.</w:t>
      </w:r>
    </w:p>
    <w:p>
      <w:pPr>
        <w:pStyle w:val="SourceNote"/>
      </w:pPr>
      <w:r>
        <w:rPr>
          <w:b/>
        </w:rPr>
        <w:t>Available abstract (not full text):</w:t>
      </w:r>
      <w:r>
        <w:t xml:space="preserve"> This chapter explores the differences between the four journals, using both corpus and discourse analytic methods. The four journals are: Agriculture, Ecosystems and Environment, Global Environmental Change, Plant Science, and Resource and Energy Economics. The chapter examines the linguistic features of the headings. The headings construct the readers as active members of the discourse, and the headings are presented as more than labelling acts that follow a convention – they are a part of the dialogue that is established in the article. The Introduction – Methods – Results – Discussion article is a conventionalised text type that performs the function of allowing scientists to communicate their research concisely. The fact that an article is expected to follow this convention allows the reader to hold expectations of how the article will be framed and how it will develop.</w:t>
      </w:r>
    </w:p>
    <w:p>
      <w:pPr/>
      <w:r>
        <w:rPr>
          <w:b/>
        </w:rPr>
        <w:t>POSSIBLE 2019:</w:t>
      </w:r>
      <w:r>
        <w:t xml:space="preserve"> Four candles—the answer — https://doi.org/10.1088/1361-6552/aada78</w:t>
      </w:r>
    </w:p>
    <w:p>
      <w:pPr/>
      <w:r>
        <w:rPr>
          <w:b/>
        </w:rPr>
        <w:t>Shared claim-specific concepts:</w:t>
      </w:r>
      <w:r>
        <w:t xml:space="preserve"> article, presented, four; EU scope not established. This is a provisional connection, not an outcome finding.</w:t>
      </w:r>
    </w:p>
    <w:p>
      <w:pPr>
        <w:pStyle w:val="SourceNote"/>
      </w:pPr>
      <w:r>
        <w:rPr>
          <w:b/>
        </w:rPr>
        <w:t>Available abstract (not full text):</w:t>
      </w:r>
      <w:r>
        <w:t xml:space="preserve"> Abstract In my article (Featonby 2019 Phys. Educ . 54 047002) we presented three experiments (using four candles!) which tested understanding of mechanics, and heat transfer.</w:t>
      </w:r>
    </w:p>
    <w:p>
      <w:pPr/>
      <w:r>
        <w:rPr>
          <w:b/>
        </w:rPr>
        <w:t>POSSIBLE 2019:</w:t>
      </w:r>
      <w:r>
        <w:t xml:space="preserve"> Guide to presenting clinical prediction models for use in clinical settings — https://doi.org/10.1136/bmj.l737</w:t>
      </w:r>
    </w:p>
    <w:p>
      <w:pPr/>
      <w:r>
        <w:rPr>
          <w:b/>
        </w:rPr>
        <w:t>Shared claim-specific concepts:</w:t>
      </w:r>
      <w:r>
        <w:t xml:space="preserve"> article, four, each; EU scope not established. This is a provisional connection, not an outcome finding.</w:t>
      </w:r>
    </w:p>
    <w:p>
      <w:pPr>
        <w:pStyle w:val="SourceNote"/>
      </w:pPr>
      <w:r>
        <w:rPr>
          <w:b/>
        </w:rPr>
        <w:t>Available abstract (not full text):</w:t>
      </w:r>
      <w:r>
        <w:t xml:space="preserve"> Clinical prediction models estimate the risk of existing disease or future outcome for an individual, which is conditional on the values of multiple predictors such as age, sex, and biomarkers. In this article, Bonnett and colleagues provide a guide to presenting clinical prediction models so that they can be implemented in practice, if appropriate. They describe how to create four presentation formats and discuss the advantages and disadvantages of each format. A key message is the need for stakeholder engagement to determine the best presentation option in relation to the clinical context of use and the intended users</w:t>
      </w:r>
    </w:p>
    <w:p>
      <w:pPr>
        <w:pStyle w:val="Heading2"/>
      </w:pPr>
      <w:r>
        <w:t>708.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2023:</w:t>
      </w:r>
      <w:r>
        <w:t xml:space="preserve"> Utilizing Innovative Project Management Technologies to Set Virtual Work Boundaries — https://doi.org/10.21428/f1f23564.6aaf45b9</w:t>
      </w:r>
    </w:p>
    <w:p>
      <w:pPr/>
      <w:r>
        <w:rPr>
          <w:b/>
        </w:rPr>
        <w:t>Shared claim-specific concepts:</w:t>
      </w:r>
      <w:r>
        <w:t xml:space="preserve"> work, set, implemented, order, technologies; EU scope not established. This is a provisional connection, not an outcome finding.</w:t>
      </w:r>
    </w:p>
    <w:p>
      <w:pPr>
        <w:pStyle w:val="SourceNote"/>
      </w:pPr>
      <w:r>
        <w:rPr>
          <w:b/>
        </w:rPr>
        <w:t>Available abstract (not full text):</w:t>
      </w:r>
      <w:r>
        <w:t xml:space="preserve"> Utilizing Innovative Project Management Technologies to Set Virtual Work Boundaries 2The unpredictability of the COVID-19 pandemic presented research teams with the opportunity to optimize collaborative approaches to project management by integrating the productivity software necessary to navigate the sudden shift to remote work.While the shift from in-person to virtual work environments was rapid and disorienting, research teams were able to alleviate this transition by taking advantage of new technologies in project management.The Italian-Canadian Foodways project is an example of this: our project managers implemented a suite of innovative software to manage task delegation in a remote work environment.However, the increased surveillance also created the risk of blurring boundaries between the office and home, potentially threatening a healthy work-life balance.As Thareja (2016) explored, the virtual environment lent itself to various new opportunities for more comprehensive employee surveillance.Our project managers stringently adhered to three pillars to minimize work surveillance in the observation of work methods: planning, implementation, and monitoring.While the pandemic provided an opportunity to re-evaluate work methods, the case study of the Foodways project reveals that innovative technologies alone cannot provide effective project management; rather, technologies </w:t>
      </w:r>
    </w:p>
    <w:p>
      <w:pPr/>
      <w:r>
        <w:rPr>
          <w:b/>
        </w:rPr>
        <w:t>POSSIBLE 2022:</w:t>
      </w:r>
      <w:r>
        <w:t xml:space="preserve"> CMOS compatible manufacturing of a hybrid SET-FET circuit — https://doi.org/10.1088/1361-6641/ac9f61</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Abstract This study analyzes feasibility of complementary metal–oxide–semiconductor (CMOS)-compatible manufacturing of a hybrid single electron transistor–field effect transistor (SET-FET) circuit. The fundamental element towards an operating SET at room temperature is a vertical nanopillar (NP) with embedded Si nanodot generated by ion-beam irradiation. The integration process from NPs to contacted SETs is validated by structural characterization. Then, the monolithic fabrication of planar FETs integrated with vertical SETs is presented, and its compatibility with standard CMOS technology is demonstrated. The work includes process optimization, pillar integrity validation, electrical characterization and simulations taking into account parasitic effects. The FET fabrication process is adapted to meet the requirements of the pre-fabricated NPs. Overall, this work establishes the groundwork for the realization of a hybrid SET-FET circuit operating at room temperature.</w:t>
      </w:r>
    </w:p>
    <w:p>
      <w:pPr/>
      <w:r>
        <w:rPr>
          <w:b/>
        </w:rPr>
        <w:t>POSSIBLE 2021:</w:t>
      </w:r>
      <w:r>
        <w:t xml:space="preserve"> Creativity in data work: case of developing training sets for machine learning — https://openalex.org/W3200956411</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Data reuse is seen as an important practice for realizing value from data.But, as scholars have repeatedly shown, the "cooked" character of data can present great challenges for data reuse.Yet, empirical research into how organizations can reuse data despite its "cooked" character is still underresearched.To address this gap, we followed five teams as they developed ML solutions for tackling complex, agricultural challenges.Our research finds that the development teams engage in creative data work which goes beyond mere preparation of data for training a machine learning model.In doing so, the team engaged in three data work practices: problematization, creative data work, and scrutinizing datasets.Our study shows that, in what seemingly appears as a merely technical and "janitorial" work, developers iteratively learn and interlace their knowledge of available data and a phenomenon in an effort to creatively produce a representation of that phenomenon in a form of a workable training set.</w:t>
      </w:r>
    </w:p>
    <w:p>
      <w:pPr/>
      <w:r>
        <w:rPr>
          <w:b/>
        </w:rPr>
        <w:t>POSSIBLE 2020:</w:t>
      </w:r>
      <w:r>
        <w:t xml:space="preserve"> Effects of CSR on employee retention via identification and quality-of-work-life — https://doi.org/10.1108/ijchm-06-2019-0573</w:t>
      </w:r>
    </w:p>
    <w:p>
      <w:pPr/>
      <w:r>
        <w:rPr>
          <w:b/>
        </w:rPr>
        <w:t>Shared claim-specific concepts:</w:t>
      </w:r>
      <w:r>
        <w:t xml:space="preserve"> work, set, sector, approach; EU scope not established. This is a provisional connection, not an outcome finding.</w:t>
      </w:r>
    </w:p>
    <w:p>
      <w:pPr>
        <w:pStyle w:val="SourceNote"/>
      </w:pPr>
      <w:r>
        <w:rPr>
          <w:b/>
        </w:rPr>
        <w:t>Available abstract (not full text):</w:t>
      </w:r>
      <w:r>
        <w:t xml:space="preserve"> Purpose This paper aims to explore the sequential effects of employee perceptions of corporate social responsibility (CSR), organizational identification (OI), higher-order quality-of-work-life (HQWL) and intention to stay (IS). Design/methodology/approach The survey responses were gathered from employees of a casino hotel company in the USA. All hypotheses were tested via structural equation modeling. Findings The results demonstrated that ethical and philanthropic CSR dimensions had significant direct effects on OI and indirect effects on HQWL via OI. OI had positive effects on HQWL (directly) and IS (directly and indirectly via HQWL). Both ethical and philanthropic CSR dimensions indirectly influenced IS via OI and HQWL, while economic CSR had a significant indirect effect on IS via HQWL. Research limitations/implications This study addressed the lack of theory-driven empirical work on the relationship between CSR and employee retention by presenting new insights into how different dimensions of CSR can contribute for improving employee HQWL and IS via OI based on social identity theory (SIT) and social exchange theory (SET). In this study, the results may not generalize to other countries and cultures because the data arises from a casino hotel in the USA. Practical implications Based on the results, hospitality companies can improve employee OI, HQWL and IS by more effecti</w:t>
      </w:r>
    </w:p>
    <w:p>
      <w:pPr/>
      <w:r>
        <w:rPr>
          <w:b/>
        </w:rPr>
        <w:t>POSSIBLE 2020:</w:t>
      </w:r>
      <w:r>
        <w:t xml:space="preserve"> Set-Constrained Viterbi for Set-Supervised Action Segmentation — https://doi.org/10.1109/cvpr42600.2020.01083</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This paper is about weakly supervised action segmentation, where the ground truth specifies only a set of actions present in a training video, but not their true temporal ordering. Prior work typically uses a classifier that independently labels video frames for generating the pseudo ground truth, and multiple instance learning for training the classifier. We extend this framework by specifying an HMM, which accounts for co-occurrences of action classes and their temporal lengths, and by explicitly training the HMM on a Viterbi-based loss. Our first contribution is the formulation of a new set-constrained Viterbi algorithm (SCV). Given a video, the SCV generates the MAP action segmentation that satisfies the ground truth. This prediction is used as a framewise pseudo ground truth in our HMM training. Our second contribution in training is a new regularization of feature affinities between training videos that share the same action classes. Evaluation on action segmentation and alignment on the Breakfast, MPII Cooking2, Hollywood Extended datasets demonstrates our significant performance improvement for the two tasks over prior work.</w:t>
      </w:r>
    </w:p>
    <w:p>
      <w:pPr/>
      <w:r>
        <w:rPr>
          <w:b/>
        </w:rPr>
        <w:t>POSSIBLE 2020:</w:t>
      </w:r>
      <w:r>
        <w:t xml:space="preserve"> CoverNet: Multimodal Behavior Prediction Using Trajectory Sets — https://doi.org/10.1109/cvpr42600.2020.01408</w:t>
      </w:r>
    </w:p>
    <w:p>
      <w:pPr/>
      <w:r>
        <w:rPr>
          <w:b/>
        </w:rPr>
        <w:t>Shared claim-specific concepts:</w:t>
      </w:r>
      <w:r>
        <w:t xml:space="preserve"> present, work, set, approach; EU scope not established. This is a provisional connection, not an outcome finding.</w:t>
      </w:r>
    </w:p>
    <w:p>
      <w:pPr>
        <w:pStyle w:val="SourceNote"/>
      </w:pPr>
      <w:r>
        <w:rPr>
          <w:b/>
        </w:rPr>
        <w:t>Available abstract (not full text):</w:t>
      </w:r>
      <w:r>
        <w:t xml:space="preserve"> We present CoverNet, a new method for multimodal, probabilistic trajectory prediction for urban driving. Previous work has employed a variety of methods, including multimodal regression, occupancy maps, and 1-step stochastic policies. We instead frame the trajectory prediction problem as classification over a diverse set of trajectories. The size of this set remains manageable due to the limited number of distinct actions that can be taken over a reasonable prediction horizon. We structure the trajectory set to a) ensure a desired level of coverage of the state space, and b) eliminate physically impossible trajectories. By dynamically generating trajectory sets based on the agent's current state, we can further improve our method's efficiency. We demonstrate our approach on public, real world self-driving datasets, and show that it outperforms state-of-the-art methods.</w:t>
      </w:r>
    </w:p>
    <w:p>
      <w:pPr/>
      <w:r>
        <w:rPr>
          <w:b/>
        </w:rPr>
        <w:t>POSSIBLE 2020:</w:t>
      </w:r>
      <w:r>
        <w:t xml:space="preserve"> Work-Function Fluctuation Impact on the SET Response of FinFET-based Majority Voters — https://doi.org/10.1109/lats49555.2020.9093679</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The evolution of integrated circuits, alongside the technology scaling, has made them more susceptible to the radiation effects, as well presenting an increasing manufacturing process variability. These challenges can lead to circuits operating outside their specification ranges. Majority voters are adopted by most of the redundancy-based methodologies to ensure the fault masking. This work evaluates the SET response of seven different versions of majority voter circuits under the process variability using an 7nm FinFET technology. The process variability is considered through the work-function fluctuation of the metal gate and the SET response is characterized by the LETth (Threshold Linear Energy Transfer) and the SET pulse width metrics. Results show the impact of different transistor arrangements in the radiation and variability robustness. The LETth values can vary by up to 65% in comparison with all evaluated circuits. The process variability impacts up to 20% the sensitivity to SET on the evaluated majority voters.</w:t>
      </w:r>
    </w:p>
    <w:p>
      <w:pPr/>
      <w:r>
        <w:rPr>
          <w:b/>
        </w:rPr>
        <w:t>POSSIBLE 2020:</w:t>
      </w:r>
      <w:r>
        <w:t xml:space="preserve"> To Set to Work Even with a Broken Heart — https://doi.org/10.1093/oso/9780190692322.003.0003</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Abstract Part I investigates the tensions inherent to projects designed to demonstrate. “Demonstrate” has three apparently separate meanings: to present evidence, to explicate a process or task, or to participate in public protest. In fact, each of these definitions is a distinct facet of the task of “showing” or “calling attention” to an issue or act. The term “demonstrate” itself demonstrates the persistent and inescapable interweaving of these diverse objectives. In every case, demonstrations are representational, in that they aim to reveal particular truths through evidence; they are pedagogical, in that they aim to transmit knowledge and procedures; and they are revolutionary, in that they aspire to transform individual acts and social relations. The prioritization, negotiation, and synthesis of these three objectives inherently generate aesthetic and political complications that emerge in the chapters in this section.</w:t>
      </w:r>
    </w:p>
    <w:p>
      <w:pPr/>
      <w:r>
        <w:rPr>
          <w:b/>
        </w:rPr>
        <w:t>POSSIBLE 2019:</w:t>
      </w:r>
      <w:r>
        <w:t xml:space="preserve"> Framing the present: capitalism, work and crisis — https://doi.org/10.46692/9781447341871.001</w:t>
      </w:r>
    </w:p>
    <w:p>
      <w:pPr/>
      <w:r>
        <w:rPr>
          <w:b/>
        </w:rPr>
        <w:t>Shared claim-specific concepts:</w:t>
      </w:r>
      <w:r>
        <w:t xml:space="preserve"> present, work, answer, question; EU scope not established. This is a provisional connection, not an outcome finding.</w:t>
      </w:r>
    </w:p>
    <w:p>
      <w:pPr>
        <w:pStyle w:val="SourceNote"/>
      </w:pPr>
      <w:r>
        <w:rPr>
          <w:b/>
        </w:rPr>
        <w:t>Available abstract (not full text):</w:t>
      </w:r>
      <w:r>
        <w:t xml:space="preserve"> What’s wrong with work? Sample dialogue from my life: What’s your book called? ‘What’s wrong with work?’ It’s about the ethics and politics of how work is changing at the moment. Good title. You should talk to my partner, who’s an XXX [insert name of almost any job]. What’s your book called? ‘What’s wrong with work?’ That’s going to be a long book. What’s your book called? ‘What’s wrong with work?’ It’s about… How long have you got? I hate my job, I hate my boss, I hate the customers. If ever a book title was an invitation to grumble, one that asks the question ‘What’s wrong with work?’ is it. Someone once answered ‘I don’t have a couch in my office’, but I think they were joking. Answering a question like ‘What’s wrong with work?’ could well involve writing a list, as that’s a normal way to provide answers. I wish it were that easy. In the course of the book I will open out ways of thinking about ethics and politics of current work for the lifeworld of workers and for how work contributes to making the world. The task of providing an account of the problem of work is pretty difficult, given the complexities of different kinds of work, of variations across time and space, and because of the many different elements that might be important when thinking about good and bad jobs, which may easily contradict each other (for example, routines generate stability but also boredom; work</w:t>
      </w:r>
    </w:p>
    <w:p>
      <w:pPr>
        <w:pStyle w:val="Heading2"/>
      </w:pPr>
      <w:r>
        <w:t>709.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2019:</w:t>
      </w:r>
      <w:r>
        <w:t xml:space="preserve"> One Approach to using Fuzzy Logic for the Establishing of Natural Gas Tariffs — https://openalex.org/W3012361343</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This paper introduces an attempt to establish natural gas tariffs based on experts’ fuzzy estimations</w:t>
        <w:br/>
        <w:br/>
        <w:t>on the example of Georgia. We consider the existent situation in tariffication processes. We discuss the</w:t>
        <w:br/>
        <w:br/>
        <w:t>necessity to use new approaches for implementation of these processes. We introduce a new approach for</w:t>
        <w:br/>
        <w:br/>
        <w:t>determination of natural gas tariffs based on fuzzy logic and its algorithm. At the end we show the example of</w:t>
        <w:br/>
        <w:br/>
        <w:t>practical application of the proposed method</w:t>
      </w:r>
    </w:p>
    <w:p>
      <w:pPr/>
      <w:r>
        <w:rPr>
          <w:b/>
        </w:rPr>
        <w:t>POSSIBLE 2019:</w:t>
      </w:r>
      <w:r>
        <w:t xml:space="preserve"> An approach for establishing correspondence between OpenStreetMap and reference datasets for land use and land cover mapping — https://doi.org/10.1111/tgis.12581</w:t>
      </w:r>
    </w:p>
    <w:p>
      <w:pPr/>
      <w:r>
        <w:rPr>
          <w:b/>
        </w:rPr>
        <w:t>Shared claim-specific concepts:</w:t>
      </w:r>
      <w:r>
        <w:t xml:space="preserve"> approach, used, establish, measures; EU scope not established. This is a provisional connection, not an outcome finding.</w:t>
      </w:r>
    </w:p>
    <w:p>
      <w:pPr>
        <w:pStyle w:val="SourceNote"/>
      </w:pPr>
      <w:r>
        <w:rPr>
          <w:b/>
        </w:rPr>
        <w:t>Available abstract (not full text):</w:t>
      </w:r>
      <w:r>
        <w:t xml:space="preserve"> Abstract OpenStreetMap (OSM) provides free source data for land use and land cover (LULC) mapping of many regions globally. Earlier work has used just manual and subjective approaches to establish correspondence between paired OSM and reference datasets, an essential step for LULC mapping. This study proposes an approach to establish correspondence via three steps: (1) convert line feature(s) into polygon feature(s); (2) merge multiple polygon feature(s) into a single layer; and (3) establish correspondence and reclassify OSM and/or reference datasets. Study areas in Sheffield, London, Rome, and Paris were used for testing, and two measures (overall accuracy, OA and kappa index) were used for evaluation. Experiments were designed to verify this approach, with each pair of OSM and reference datasets initially compared after reclassification. Correspondence from one study area was then applied to another for further validation. Results show that OA was between 70 and 90% and the kappa index varied between 0.6 and 0.8. Evaluation also indicates that the correspondence obtained from one study area is applicable to another, and we illustrate the effectiveness of this approach.</w:t>
      </w:r>
    </w:p>
    <w:p>
      <w:pPr>
        <w:pStyle w:val="Heading2"/>
      </w:pPr>
      <w:r>
        <w:t>710.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The potential role of a hydrogen network in Europe — https://doi.org/10.1016/j.joule.2023.06.016</w:t>
      </w:r>
    </w:p>
    <w:p>
      <w:pPr/>
      <w:r>
        <w:rPr>
          <w:b/>
        </w:rPr>
        <w:t>Shared claim-specific concepts:</w:t>
      </w:r>
      <w:r>
        <w:t xml:space="preserve"> role, across, achieve; EU scope visible. This is a provisional connection, not an outcome finding.</w:t>
      </w:r>
    </w:p>
    <w:p>
      <w:pPr>
        <w:pStyle w:val="SourceNote"/>
      </w:pPr>
      <w:r>
        <w:rPr>
          <w:b/>
        </w:rPr>
        <w:t>Available abstract (not full text):</w:t>
      </w:r>
      <w:r>
        <w:t xml:space="preserve">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pPr/>
      <w:r>
        <w:rPr>
          <w:b/>
        </w:rPr>
        <w:t>POSSIBLE 2023:</w:t>
      </w:r>
      <w:r>
        <w:t xml:space="preserve"> Exploring pathways to 100% renewable energy in European industry — https://doi.org/10.1016/j.energy.2023.126687</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Organizational change and psychosomatic symptoms: Exploring pathways through working conditions and assessing the moderating role of social support among European workers — https://doi.org/10.1177/0143831x211069411</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Building on the Job Demands–Resources (JD–R) model, this article sets out to analyze the mechanisms through which organizational change can affect workers’ health. The author carries out a moderated mediation analysis drawing on data from the European Working Conditions Survey conducted in 2015 with more than 44,000 European workers in 35 countries. Emotional labor, work intensity and physical strain are included as mediators of the relationship between organizational change and health, assessed by the self-declaration of psychosomatic symptoms. The study tests for the moderating role of social support, assessed as supervisor support and colleague support. It is shown that emotional labor mediates the relationship between organizational change and health alongside other work demands, with slight variations in the mechanisms depending on whether the reorganization involves staff cuts. There is evidence that social support from the hierarchy moderates the health effects of job demands.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role;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Assessing the Role of Carbon Capture and Storage in Mitigation Pathways of Developing Economies — https://doi.org/10.3390/en14071879</w:t>
      </w:r>
    </w:p>
    <w:p>
      <w:pPr/>
      <w:r>
        <w:rPr>
          <w:b/>
        </w:rPr>
        <w:t>Shared claim-specific concepts:</w:t>
      </w:r>
      <w:r>
        <w:t xml:space="preserve"> role, pathways; EU scope not established. This is a provisional connection, not an outcome finding.</w:t>
      </w:r>
    </w:p>
    <w:p>
      <w:pPr>
        <w:pStyle w:val="SourceNote"/>
      </w:pPr>
      <w:r>
        <w:rPr>
          <w:b/>
        </w:rPr>
        <w:t>Available abstract (not full text):</w:t>
      </w:r>
      <w:r>
        <w:t xml:space="preserve"> The Paris Agreement has set out ambitious climate goals aiming to keep global warming well-below 2 °C by 2100. This requires a large-scale transformation of the global energy system based on the uptake of several technological options to reduce drastically emissions, including expansion of renewable energy, energy efficiency improvements, and fuel switch towards low-carbon energy carriers. The current study explores the role of Carbon Capture and Storage (CCS) as a mitigation option, which provides a dispatchable source for carbon-free production of electricity and can also be used to decarbonise industrial processes. In the last decade, limited technology progress and slow deployment of CCS technologies worldwide have increased the concerns about the feasibility and potential for massive scale-up of CCS required for deep decarbonisation. The current study uses the state-of-the-art PROMETHEUS global energy demand and supply system model to examine the role and impacts of CCS deployment in a global decarbonisation context. By developing contrasted decarbonisation scenarios, the analysis illustrates that CCS deployment might bring about various economic and climate benefits for developing economies, in the form of reduced emissions, lower mitigation costs, ensuring the cost efficient integration of renewables, limiting stranded fossil fuel assets, and alleviating the negative dis</w:t>
      </w:r>
    </w:p>
    <w:p>
      <w:pPr/>
      <w:r>
        <w:rPr>
          <w:b/>
        </w:rPr>
        <w:t>POSSIBLE 2020:</w:t>
      </w:r>
      <w:r>
        <w:t xml:space="preserve"> Coupling the heating and power sectors: The role of centralised combined heat and power plants and district heat in a European decarbonised power system — https://doi.org/10.1016/j.apenergy.2020.115134</w:t>
      </w:r>
    </w:p>
    <w:p>
      <w:pPr/>
      <w:r>
        <w:rPr>
          <w:b/>
        </w:rPr>
        <w:t>Shared claim-specific concepts:</w:t>
      </w:r>
      <w:r>
        <w:t xml:space="preserve"> role, pathways, co2; EU scope visible. This is a provisional connection, not an outcome finding.</w:t>
      </w:r>
    </w:p>
    <w:p>
      <w:pPr>
        <w:pStyle w:val="SourceNote"/>
      </w:pPr>
      <w:r>
        <w:rPr>
          <w:b/>
        </w:rPr>
        <w:t>Available abstract (not full text):</w:t>
      </w:r>
      <w:r>
        <w:t xml:space="preserve"> This work examines the role of centralised cogeneration plants as one of the potential pathways of a future decarbonised energy system. Even in this context, thermal power plants will still exist and the utilisation of their excess heat via district heating networks can assist the decarbonisation of the built environment. In particular, the potential of existing thermal power plants to operate as combined heat and power (CHP) plants is assessed and their impact on the power system quantified. To do so, the European heat demand for the built environment is described, focused on the heat demand supplied with fossil fuels, and the European power sector is discussed. Then, a power system model (Dispa-SET) is used to evaluate this coupling pathway in terms of operating costs, efficiencies and associated CO2 emissions. The analysis is developed for the current and future European power system. Results show that the conversion of thermal into CHP plants increases the efficiency and reduces both the operating costs and the environmental impact of the energy system. Not only that, it also offers alternative flexibility options when coupled with thermal storage. Still, large investments regarding the deployment of thermal networks are required to leverage the full CHP potential.</w:t>
      </w:r>
    </w:p>
    <w:p>
      <w:pPr>
        <w:pStyle w:val="Heading2"/>
      </w:pPr>
      <w:r>
        <w:t>711.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2022:</w:t>
      </w:r>
      <w:r>
        <w:t xml:space="preserve"> Updating global urbanization projections under the Shared Socioeconomic Pathways — https://doi.org/10.1038/s41597-022-01209-5</w:t>
      </w:r>
    </w:p>
    <w:p>
      <w:pPr/>
      <w:r>
        <w:rPr>
          <w:b/>
        </w:rPr>
        <w:t>Shared claim-specific concepts:</w:t>
      </w:r>
      <w:r>
        <w:t xml:space="preserve"> shared, socioeconomic, pathways, climate; EU scope not established. This is a provisional connection, not an outcome finding.</w:t>
      </w:r>
    </w:p>
    <w:p>
      <w:pPr>
        <w:pStyle w:val="SourceNote"/>
      </w:pPr>
      <w:r>
        <w:rPr>
          <w:b/>
        </w:rPr>
        <w:t>Available abstract (not full text):</w:t>
      </w:r>
      <w:r>
        <w:t xml:space="preserve"> Urbanization level is an important indicator of socioeconomic development, and projecting its dynamics is fundamental for studies related to global socioeconomic and climate change. This paper aims to update the projections of global urbanization from 2015 to 2100 under the Shared Socioeconomic Pathways by using the logistic fitting model and iteratively identifying reference countries. Based on historical urbanization level database from the World Urbanization Prospects, projected urbanization levels and uncertainties are provided for 204 countries and areas every five years. The 2010-2100 year-by-year projected urbanization levels and uncertainties based on the annual historical data from the World Bank (WB) for 188 of countries and areas are also provided. The projections based on the two datasets were compared and the latter were validated using the historical values of the WB for the years 2010-2018. The updated dataset of urbanization level is relevant for understanding future socioeconomic development, its implications for climate change and policy planning.</w:t>
      </w:r>
    </w:p>
    <w:p>
      <w:pPr/>
      <w:r>
        <w:rPr>
          <w:b/>
        </w:rPr>
        <w:t>POSSIBLE 2022:</w:t>
      </w:r>
      <w:r>
        <w:t xml:space="preserve"> Global gridded GDP data set consistent with the shared socioeconomic pathways — https://doi.org/10.1038/s41597-022-01300-x</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vulnerability, exposure and resilience of socioeconomic activities to future climate extremes call for high-resolution gridded GDP in climate change adaptation and mitigation research. While global socioeconomic projections are provided mainly at the national level, and downscaling approaches using nighttime light (NTL) images or gridded population data can increase the uncertainty due to limitations. Therefore, we adopt an NTL-population-based approach, which exhibits higher accuracy in socioeconomic disaggregation. Gross regional product of over 800 provinces, which covering over 60% of the global land surface and accounted for more than 80% of GDP in 2005, were used as input. We present a first set of comparable spatially explicit global gridded GDP projections with fine spatial resolutions of 30 arc-seconds and 0.25 arc-degrees for the historical period of 2005 and for 2030-2100 at 10-year intervals under the five SSPs, accounting for the two-child policy in China. This gridded GDP projection dataset can broaden the applicability of GDP data, the availability of which is necessary for socioeconomic and climate change research.</w:t>
      </w:r>
    </w:p>
    <w:p>
      <w:pPr/>
      <w:r>
        <w:rPr>
          <w:b/>
        </w:rPr>
        <w:t>POSSIBLE 2021:</w:t>
      </w:r>
      <w:r>
        <w:t xml:space="preserve"> Future cooling gap in shared socioeconomic pathways — https://doi.org/10.1088/1748-9326/ac2195</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The extent to which societies will globally be able to adapt to climate change is not well understood. Here we analyze socioeconomic dimensions of adaptive capacity of populations to deal with heat stress and find income, urbanization and income inequality to be important factors in explaining adaptation to heat stress with air conditioning (AC). Using the scenario framework of the Shared Socioeconomic Pathways (SSPs), we estimate the future cooling gap, which represents the difference between the population exposed to heat stress and the population able to protect against heat stress with AC. Depending on the scenario of socioeconomic development, total population affected by the cooling gap may vary between 2 billion and 5 billion people in 2050, with the scenario-dependent range widening further towards the end of the century. Our analysis shows vast regional inequalities in adaptive capacity for one of the most universal manifestations of climate change, underscoring the need to account for the different potential levels of adaptive capacity in assessments of climate change impacts.</w:t>
      </w:r>
    </w:p>
    <w:p>
      <w:pPr/>
      <w:r>
        <w:rPr>
          <w:b/>
        </w:rPr>
        <w:t>POSSIBLE 2021:</w:t>
      </w:r>
      <w:r>
        <w:t xml:space="preserve"> China's energy-related carbon emissions projections for the shared socioeconomic pathways — https://doi.org/10.1016/j.resconrec.2021.105456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Gridded GDP Projections Compatible With the Five SSPs (Shared Socioeconomic Pathways) — https://doi.org/10.3389/fbuil.2021.760306</w:t>
      </w:r>
    </w:p>
    <w:p>
      <w:pPr/>
      <w:r>
        <w:rPr>
          <w:b/>
        </w:rPr>
        <w:t>Shared claim-specific concepts:</w:t>
      </w:r>
      <w:r>
        <w:t xml:space="preserve"> shared, socioeconomic, pathways, ssps, climate; EU scope not established. This is a provisional connection, not an outcome finding.</w:t>
      </w:r>
    </w:p>
    <w:p>
      <w:pPr>
        <w:pStyle w:val="SourceNote"/>
      </w:pPr>
      <w:r>
        <w:rPr>
          <w:b/>
        </w:rPr>
        <w:t>Available abstract (not full text):</w:t>
      </w:r>
      <w:r>
        <w:t xml:space="preserve"> Historical and future spatially explicit population and gross domestic product (GDP) data are essential for the analysis of future climate risks. Unlike population projections that are generally available, GDP projections—particularly for scenarios compatible with shared socioeconomic pathways (SSPs)—are limited. Our objective is to perform a high-resolution and long-term GDP estimation under SSPs utilizing a wide variety of geographic auxiliary information. We estimated the GDP in a 1/12-degree grid scale. The estimation is done through downscaling of historical GDP data for 1850–2010 and SSP future scenario data for 2010–2100. In the downscaling, we first modeled the spatial and economic interactions among cities and projected different future urban growth patterns according to the SSPs. Subsequently, the projected patterns and other auxiliary geographic data were used to estimate the gridded GDP distributions. Finally, the GDP projections were visualized via three-dimensional mapping to enhance the clarity for multiple stakeholders. Our results suggest that the spatial pattern of urban and peri-urban GDP depends considerably on the SSPs; the GDP of the existing major cities grew rapidly under SSP1, moderately grew under SSP 2 and SSP4, slowly grew under SSP3, and dispersed growth under SSP5.</w:t>
      </w:r>
    </w:p>
    <w:p>
      <w:pPr/>
      <w:r>
        <w:rPr>
          <w:b/>
        </w:rPr>
        <w:t>POSSIBLE 2021:</w:t>
      </w:r>
      <w:r>
        <w:t xml:space="preserve"> A Walk Through the Shared Socioeconomic Pathways — https://doi.org/10.37099/mtu.dc.yeah-conference/april2021/all-events/36</w:t>
      </w:r>
    </w:p>
    <w:p>
      <w:pPr/>
      <w:r>
        <w:rPr>
          <w:b/>
        </w:rPr>
        <w:t>Shared claim-specific concepts:</w:t>
      </w:r>
      <w:r>
        <w:t xml:space="preserve"> shared, socioeconomic, pathways, climate, they; EU scope not established. This is a provisional connection, not an outcome finding.</w:t>
      </w:r>
    </w:p>
    <w:p>
      <w:pPr>
        <w:pStyle w:val="SourceNote"/>
      </w:pPr>
      <w:r>
        <w:rPr>
          <w:b/>
        </w:rPr>
        <w:t>Available abstract (not full text):</w:t>
      </w:r>
      <w:r>
        <w:t xml:space="preserve"> Science communication stands increasingly important in a world that feels the growing effects of climate change. The Shared Socioeconomic Pathways are five different human behavior predictions to climate change that have only been communicated through scientific papers. This comic aims to communicate these scenarios without the barriers that scientific papers often hold.The scenarios range from Fossil Fuel Development, to Inequality, to Sustainability. Drawn with inspiration from artist Roy Lichtenstein, they illustrate these scenarios in simplified yet graphic depictions. The 5 scenarios are important to understand in order to navigate these next couple of pivotal years with social, economic, and environmental sound.</w:t>
      </w:r>
    </w:p>
    <w:p>
      <w:pPr/>
      <w:r>
        <w:rPr>
          <w:b/>
        </w:rPr>
        <w:t>POSSIBLE 2020:</w:t>
      </w:r>
      <w:r>
        <w:t xml:space="preserve"> Global projections of future urban land expansion under shared socioeconomic pathways — https://doi.org/10.1038/s41467-020-14386-x</w:t>
      </w:r>
    </w:p>
    <w:p>
      <w:pPr/>
      <w:r>
        <w:rPr>
          <w:b/>
        </w:rPr>
        <w:t>Shared claim-specific concepts:</w:t>
      </w:r>
      <w:r>
        <w:t xml:space="preserve"> shared, socioeconomic, pathways, ssps, impacts; EU scope not established. This is a provisional connection, not an outcome finding.</w:t>
      </w:r>
    </w:p>
    <w:p>
      <w:pPr>
        <w:pStyle w:val="SourceNote"/>
      </w:pPr>
      <w:r>
        <w:rPr>
          <w:b/>
        </w:rPr>
        <w:t>Available abstract (not full text):</w:t>
      </w:r>
      <w:r>
        <w:t xml:space="preserve"> Despite its small land coverage, urban land and its expansion have exhibited profound impacts on global environments. Here, we present the scenario projections of global urban land expansion under the framework of the shared socioeconomic pathways (SSPs). Our projections feature a fine spatial resolution of 1 km to preserve spatial details. The projections reveal that although global urban land continues to expand rapidly before the 2040s, China and many other Asian countries are expected to encounter substantial pressure from urban population decline after the 2050s. Approximately 50-63% of the newly expanded urban land is expected to occur on current croplands. Global crop production will decline by approximately 1-4%, corresponding to the annual food needs for a certain crop of 122-1389 million people. These findings stress the importance of governing urban land development as a key measure to mitigate its negative impacts on food production.</w:t>
      </w:r>
    </w:p>
    <w:p>
      <w:pPr/>
      <w:r>
        <w:rPr>
          <w:b/>
        </w:rPr>
        <w:t>POSSIBLE 2020:</w:t>
      </w:r>
      <w:r>
        <w:t xml:space="preserve"> A framework for nitrogen futures in the shared socioeconomic pathways — https://doi.org/10.1016/j.gloenvcha.2019.102029</w:t>
      </w:r>
    </w:p>
    <w:p>
      <w:pPr/>
      <w:r>
        <w:rPr>
          <w:b/>
        </w:rPr>
        <w:t>Shared claim-specific concepts:</w:t>
      </w:r>
      <w:r>
        <w:t xml:space="preserve"> shared, socioeconomic, pathways, climate, within, impacts; EU scope not established. This is a provisional connection, not an outcome finding.</w:t>
      </w:r>
    </w:p>
    <w:p>
      <w:pPr>
        <w:pStyle w:val="SourceNote"/>
      </w:pPr>
      <w:r>
        <w:rPr>
          <w:b/>
        </w:rPr>
        <w:t>Available abstract (not full text):</w:t>
      </w:r>
      <w:r>
        <w:t xml:space="preserve"> century is crucial for scientists and decision-makers from local to global scales. Scenario analysis is the primary tool for doing so, and has been applied across all major environmental issues, including nitrogen pollution. However, to date most scenario efforts addressing nitrogen flows have either taken a narrow approach, focusing on a singular impact or sector, or have not been integrated within a broader scenario framework - a missed opportunity given the multiple environmental and socio-economic impacts that nitrogen pollution exacerbates. Capitalizing on our expanding knowledge of nitrogen flows, this study introduces a framework for new nitrogen-focused narratives based on the widely used Shared Socioeconomic Pathways that include all the major nitrogen-polluting sectors (agriculture, industry, transport and wastewater). These new narratives are the first to integrate the influence of climate and other environmental pollution control policies, while also incorporating explicit nitrogen-control measures. The next step is for them to be used as model inputs to evaluate the impact of different nitrogen production, consumption and loss trajectories, and thus advance understanding of how to address environmental impacts while simultaneously meeting key development goals. This effort is an important step in assessing how humanity can return to the planetary boundary of this e</w:t>
      </w:r>
    </w:p>
    <w:p>
      <w:pPr/>
      <w:r>
        <w:rPr>
          <w:b/>
        </w:rPr>
        <w:t>POSSIBLE 2020:</w:t>
      </w:r>
      <w:r>
        <w:t xml:space="preserve"> Provincial and gridded population projection for China under shared socioeconomic pathways from 2010 to 2100 — https://doi.org/10.1038/s41597-020-0421-y</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In response to a growing demand for subnational and spatially explicit data on China's future population, this study estimates China's provincial population from 2010 to 2100 by age (0-100+), sex (male and female) and educational levels (illiterate, primary school, junior-high school, senior-high school, college, bachelor's, and master's and above) under different shared socioeconomic pathways (SSPs). The provincial projection takes into account fertility promoting policies and population ceiling restrictions of megacities that have been implemented in China in recent years to reduce systematic biases in current studies. The predicted provincial population is allocated to spatially explicit population grids for each year at 30 arc-seconds resolution based on representative concentration pathway (RCP) urban grids and historical population grids. The provincial projection data were validated using population data in 2017 from China's Provincial Statistical Yearbook, and the accuracy of the population grids in 2015 was evaluated. These data have numerous potential uses and can serve as inputs in climate policy research with requirements for precise administrative or spatial population data in China.</w:t>
      </w:r>
    </w:p>
    <w:p>
      <w:pPr>
        <w:pStyle w:val="Heading2"/>
      </w:pPr>
      <w:r>
        <w:t>712.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r>
        <w:rPr>
          <w:b/>
        </w:rPr>
        <w:t>POSSIBLE 2024:</w:t>
      </w:r>
      <w:r>
        <w:t xml:space="preserve"> Seasonal Trend Analysis of Major Air Pollutant (PM2:5 and PM10) Concentration in Visakhapatnam During 2020 – 2022: A Case Study — https://doi.org/10.17485/ijst/v17i3.2549</w:t>
      </w:r>
    </w:p>
    <w:p>
      <w:pPr/>
      <w:r>
        <w:rPr>
          <w:b/>
        </w:rPr>
        <w:t>Shared claim-specific concepts:</w:t>
      </w:r>
      <w:r>
        <w:t xml:space="preserve"> concentrations, pm2, decrease, range; EU scope not established. This is a provisional connection, not an outcome finding.</w:t>
      </w:r>
    </w:p>
    <w:p>
      <w:pPr>
        <w:pStyle w:val="SourceNote"/>
      </w:pPr>
      <w:r>
        <w:rPr>
          <w:b/>
        </w:rPr>
        <w:t>Available abstract (not full text):</w:t>
      </w:r>
      <w:r>
        <w:t xml:space="preserve"> Objective: The main objective of the present study is to analyze the seasonal variations of major particulate air pollutants (PM2.5 and PM10) from January 2020 to December 2022 in the industrially developed Visakhapatnam City and its comparison with previous existing studies from January 2018 - December 2020. Methods: The real-time daily mass concentrations of air pollutants in Visakhapatnam recorded by the Central Pollution Control Board (CPCB) are collected for the present study. The monthly average observations of pollutants such as PM2.5, PM10, and PM2.5/PM10 in each season are considered for the present study, and pollutants trends are studied from January 2020 - December 2022. The fine particles below 100μm (RSPM) and coarse particles &gt; 100μm (TSPM) are treated as primary pollutants and pollutant concentration is determined based on prevailing meteorological and topographic factors. In the present study, the pollutant intensity is analyzed using the Pearson correlation coefficient for various seasons. Similarly, statistical analysis is also implemented on particulate air pollutants (PM2.5 and PM10) from January 2020 to December 2022. Findings: From Table 1 PM2.5 levels fall within the range of 16 - 96 μg/m3 and the minimum PM2.5 level is in April 2020 and maximum in December 2020. According to AQI standards, moderate pollution indicates the fall of the PM10 levels within </w:t>
      </w:r>
    </w:p>
    <w:p>
      <w:pPr/>
      <w:r>
        <w:rPr>
          <w:b/>
        </w:rPr>
        <w:t>POSSIBLE 2024:</w:t>
      </w:r>
      <w:r>
        <w:t xml:space="preserve"> Trends in Air Pollution in Europe, 2000–2019 — https://doi.org/10.4209/aaqr.230237</w:t>
      </w:r>
    </w:p>
    <w:p>
      <w:pPr/>
      <w:r>
        <w:rPr>
          <w:b/>
        </w:rPr>
        <w:t>Shared claim-specific concepts:</w:t>
      </w:r>
      <w:r>
        <w:t xml:space="preserve"> concentrations, pm2, show, significant;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pm2, show, larger, not, significant, used;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2023:</w:t>
      </w:r>
      <w:r>
        <w:t xml:space="preserve"> Long-term mortality burden trends attributed to black carbon and PM2·5 from wildfire emissions across the continental USA from 2000 to 2020: a deep learning modelling study — https://doi.org/10.1016/s2542-5196(23)00235-8</w:t>
      </w:r>
    </w:p>
    <w:p>
      <w:pPr/>
      <w:r>
        <w:rPr>
          <w:b/>
        </w:rPr>
        <w:t>Shared claim-specific concepts:</w:t>
      </w:r>
      <w:r>
        <w:t xml:space="preserve"> concentrations, pm2, decrease, significant, increase, climate; EU scope not established. This is a provisional connection, not an outcome finding.</w:t>
      </w:r>
    </w:p>
    <w:p>
      <w:pPr>
        <w:pStyle w:val="SourceNote"/>
      </w:pPr>
      <w:r>
        <w:rPr>
          <w:b/>
        </w:rPr>
        <w:t>Available abstract (not full text):</w:t>
      </w:r>
      <w:r>
        <w:t xml:space="preserve"> Background Long-term improvements in air quality and public health in the continental USA were disrupted over the past decade by increased fire emissions that potentially offset the decrease in anthropogenic emissions. This study aims to estimate trends in black carbon and PM 2·5 concentrations and their attributable mortality burden across the USA. Methods In this study, we derived daily concentrations of PM 2·5 and its highly toxic black carbon component at a 1-km resolution in the USA from 2000 to 2020 via deep learning that integrated big data from satellites, models, and surface observations. We estimated the annual PM 2·5 -attributable and black carbon-attributable mortality burden at each 1-km 2 grid using concentration–response functions collected from a national cohort study and a meta-analysis study, respectively. We investigated the spatiotemporal linear-regressed trends in PM 2·5 and black carbon pollution and their associated premature deaths from 2000 to 2020, and the impact of wildfires on air quality and public health. Findings Our results showed that PM 2·5 and black carbon estimates are reliable, with sample-based cross-validated coefficients of determination of 0·82 and 0·80, respectively, for daily estimates (0·97 and 0·95 for monthly estimates). Both PM 2·5 and black carbon in the USA showed significantly decreasing trends overall during 2000 to 2020 (22% d</w:t>
      </w:r>
    </w:p>
    <w:p>
      <w:pPr>
        <w:pStyle w:val="Heading2"/>
      </w:pPr>
      <w:r>
        <w:t>713.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2022:</w:t>
      </w:r>
      <w:r>
        <w:t xml:space="preserve"> Understanding Public Support for European Protected Areas: A Review of the Literature and Proposing a New Approach for Policy Makers — https://doi.org/10.3390/land11050733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2021:</w:t>
      </w:r>
      <w:r>
        <w:t xml:space="preserve"> SCOPE 2021: a new scorecard for osteoporosis in Europe — https://doi.org/10.1007/s11657-020-00871-9</w:t>
      </w:r>
    </w:p>
    <w:p>
      <w:pPr/>
      <w:r>
        <w:rPr>
          <w:b/>
        </w:rPr>
        <w:t>Shared claim-specific concepts:</w:t>
      </w:r>
      <w:r>
        <w:t xml:space="preserve"> system, relation; EU scope visible. This is a provisional connection, not an outcome finding.</w:t>
      </w:r>
    </w:p>
    <w:p>
      <w:pPr>
        <w:pStyle w:val="SourceNote"/>
      </w:pPr>
      <w:r>
        <w:rPr>
          <w:b/>
        </w:rPr>
        <w:t>Available abstract (not full text):</w:t>
      </w:r>
      <w:r>
        <w:t xml:space="preserve"> This scorecard summarises key indicators of the burden of osteoporosis and its management in the 27 member states of the European Union, as well as the UK and Switzerland. The resulting scorecard elements, assembled on a single sheet, provide a unique overview of osteoporosis in Europe. INTRODUCTION: The scorecard for osteoporosis in Europe (SCOPE) is a project of the International Osteoporosis Foundation (IOF) that seeks to raise awareness of osteoporosis care in Europe. The aim of this project was to develop a scorecard and background documents to draw attention to gaps and inequalities in the provision of primary and secondary prevention of fractures due to osteoporosis. METHODS: The SCOPE panel reviewed the information available on osteoporosis and the resulting fractures for each of the 27 countries of the European Union plus the UK and Switzerland (termed EU27+2). The information obtained covered four domains: background information (e.g. the burden of osteoporosis and fractures), policy framework, service provision and service uptake, e.g. the proportion of men and women at high risk that do not receive treatment (the treatment gap). RESULTS: There was a marked difference in fracture risk among the EU27+2 countries. Of concern was the marked heterogeneity in the policy framework, service provision and service uptake for osteoporotic fracture that bore little relation to </w:t>
      </w:r>
    </w:p>
    <w:p>
      <w:pPr/>
      <w:r>
        <w:rPr>
          <w:b/>
        </w:rPr>
        <w:t>POSSIBLE 2021:</w:t>
      </w:r>
      <w:r>
        <w:t xml:space="preserve"> Building Mental Health and Psychosocial Support Capacity During a Pandemic: The Process of Adapting Problem Management Plus for Remote Training and Implementation During COVID-19 in New York City, Europe and East Africa — https://doi.org/10.4103/intv.intv_30_20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On March 11, 2020, COVID-19 was declared a pandemic by the World Health Organization. In response to the sudden rise in COVID-19-related mental health and psychosocial impacts, we embarked on a digital training (e-learning) and remote delivery adaptation for Problem Management Plus Training for Helpers (Remote PM+ Training) based in New York City, four European countries and six African countries. This paper provides an overview of the two Remote PM+ Trainings, including key adaptations and lessons learned across the contexts. Trainings were approximately 75 hours in duration, with a mix of group and individual work, in diverse contexts. Overall, remotely delivered PM+ training and intervention appear appropriate. There were a number of critical lessons learned that contributed to the efficacy of the trainings, such as technological support, digital literacy, preparation and flexibility among the trainers and the trainees. There is also a need for cultural and contextual adaptation towards the delivery of remote training and implementation of PM+. However, the outcomes from these two trainings indicate that PM+ may be adapted for remote (online) training and, if supported with additional studies, could build workforce capacity in contexts in which there is limited in-person access to mental health and psychosocial support services and staff.</w:t>
      </w:r>
    </w:p>
    <w:p>
      <w:pPr/>
      <w:r>
        <w:rPr>
          <w:b/>
        </w:rPr>
        <w:t>POSSIBLE 2020:</w:t>
      </w:r>
      <w:r>
        <w:t xml:space="preserve"> New guidance on the regulation of allergen products: key aspects and outcomes — https://doi.org/10.1097/aci.0000000000000687</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PURPOSE OF REVIEW: Key aspects and outcomes from the recently published guidance on the regulation of allergen products are summarized. RECENT FINDINGS: A new regulatory guideline has been published to enhance harmonized national approaches on the regulation of allergen products and thereby strengthen the availability of high-quality products across the European Union (EU). As the guideline was developed, critical aspects for allergen products regulation were identified and are discussed in the document, including recommendations on the regulatory procedures to be applied for diagnostics, allergen immunotherapy products and named-patient products. SUMMARY: The new guidance is expected to provide clarifications on and support harmonization of the regulation of allergen products in the EU.</w:t>
      </w:r>
    </w:p>
    <w:p>
      <w:pPr/>
      <w:r>
        <w:rPr>
          <w:b/>
        </w:rPr>
        <w:t>POSSIBLE 2019:</w:t>
      </w:r>
      <w:r>
        <w:t xml:space="preserve"> Renewable energy in the European Union: support policy and outcomes — https://doi.org/10.33531/farplss.2019.1.23</w:t>
      </w:r>
    </w:p>
    <w:p>
      <w:pPr/>
      <w:r>
        <w:rPr>
          <w:b/>
        </w:rPr>
        <w:t>Shared claim-specific concepts:</w:t>
      </w:r>
      <w:r>
        <w:t xml:space="preserve"> outcomes, support, energy; EU scope visible. This is a provisional connection, not an outcome finding.</w:t>
      </w:r>
    </w:p>
    <w:p>
      <w:pPr>
        <w:pStyle w:val="SourceNote"/>
      </w:pPr>
      <w:r>
        <w:rPr>
          <w:b/>
        </w:rPr>
        <w:t>Available abstract (not full text):</w:t>
      </w:r>
      <w:r>
        <w:t xml:space="preserve"> The article deals with the study of support schemes for renewable energy promotion in the European Union member states. The main strategic documents that declare short-term and long-term goals to increase the share of green energy in final energy consumption of the European Union are considered. The primary motivational mechanisms aimed at encouraging the production of energy from renewable energy sources, namely feed-in tariff models, feed-in premium model, and tradable green certificate scheme are analyzed. In addition, a number of secondary motivational tools such as tender systems, net metering, tax and customs privileges which are used in combination with the primary mechanisms for more effective promotion of renewable energy are described. The results of the influence of policy in renewable energy field on increasing the share of green energy in the total energy mixes of European Union member states are presented.</w:t>
      </w:r>
    </w:p>
    <w:p>
      <w:pPr>
        <w:pStyle w:val="Heading2"/>
      </w:pPr>
      <w:r>
        <w:t>714.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2023:</w:t>
      </w:r>
      <w:r>
        <w:t xml:space="preserve"> Impact of Digital Transformation on the Spatial Organization of Nonfood Retail in a Russian City — https://doi.org/10.1134/s2079970523700910</w:t>
      </w:r>
    </w:p>
    <w:p>
      <w:pPr/>
      <w:r>
        <w:rPr>
          <w:b/>
        </w:rPr>
        <w:t>Shared claim-specific concepts:</w:t>
      </w:r>
      <w:r>
        <w:t xml:space="preserve"> nonfood, abstract; EU scope not established. This is a provisional connection, not an outcome finding.</w:t>
      </w:r>
    </w:p>
    <w:p>
      <w:pPr>
        <w:pStyle w:val="SourceNote"/>
      </w:pPr>
      <w:r>
        <w:rPr>
          <w:b/>
        </w:rPr>
        <w:t>Available abstract (not full text):</w:t>
      </w:r>
      <w:r>
        <w:t xml:space="preserve"> Abstract — The objective of this study is to reveal what has changed under the influence of digital transformation in the “physical” spatial structure of the retail/purchase process in connection with the emergence of a choice between online and offline “spaces,” or environments, as well as how e-commerce has changed the “physical” spatial principles of organizing nonfood retail in a Russian city with a case study of St. Petersburg. The principles of placement of new e-commerce facilities were analyzed by comparing various shopping models and spatiotemporal systems formed by them, including specific objects (warehouses-stores, warehouses-distributors, order pickup points and parcel terminals), features of interaction between retail actors and transport and logistics flows in the city. Two opposing trends in the placement of new types of retail facilities are described: towards the transfer of the trading function to non-trading premises and the transfer of the non-trading retail function to retail premises. They create spatial competition with traditional retail as well as a new hierarchical competition with office and warehouse business types. The trend towards retail infrastructure for durable goods to be within walking distance means the rollout of a new type of competition for locations: with FMCG sellers. The fact that in delivery the logistics of the “last mile” passes fr</w:t>
      </w:r>
    </w:p>
    <w:p>
      <w:pPr/>
      <w:r>
        <w:rPr>
          <w:b/>
        </w:rPr>
        <w:t>POSSIBLE 2022:</w:t>
      </w:r>
      <w:r>
        <w:t xml:space="preserve"> A review of product safety regulations in the European Union — https://doi.org/10.1365/s43439-022-00057-8</w:t>
      </w:r>
    </w:p>
    <w:p>
      <w:pPr/>
      <w:r>
        <w:rPr>
          <w:b/>
        </w:rPr>
        <w:t>Shared claim-specific concepts:</w:t>
      </w:r>
      <w:r>
        <w:t xml:space="preserve"> nonfood, technologies, union, based; EU scope visible. This is a provisional connection, not an outcome finding.</w:t>
      </w:r>
    </w:p>
    <w:p>
      <w:pPr>
        <w:pStyle w:val="SourceNote"/>
      </w:pPr>
      <w:r>
        <w:rPr>
          <w:b/>
        </w:rPr>
        <w:t>Available abstract (not full text):</w:t>
      </w:r>
      <w:r>
        <w:t xml:space="preserve"> Product safety has been a concern in Europe ever since the early 1960s. Despite the long and relatively stable historical lineage of product safety regulations, new technologies, changes in the world economy, and other major transformations have in recent years again brought product safety to the forefront of policy debates. As reforms are also underway, there is a motivation to review the complex safety policy framework in the European Union (EU). Thus, building on deliberative policy analysis and an interpretative literature review, this paper reviews the safety policy for nonfood consumer products in the EU. The review covers the historical background and the main laws, administration and enforcement, standardization and harmonization, laws enacted for specific products, notifications delivered by national safety authorities, recalls of dangerous products, and the liability of these. Based on the review and analysis of these themes and the associated literature, some current policy challenges are further discussed.</w:t>
      </w:r>
    </w:p>
    <w:p>
      <w:pPr/>
      <w:r>
        <w:rPr>
          <w:b/>
        </w:rPr>
        <w:t>POSSIBLE 2021:</w:t>
      </w:r>
      <w:r>
        <w:t xml:space="preserve"> An integrated life cycle and water footprint assessment of nonfood crops based bioenergy production — https://doi.org/10.1038/s41598-021-83061-y</w:t>
      </w:r>
    </w:p>
    <w:p>
      <w:pPr/>
      <w:r>
        <w:rPr>
          <w:b/>
        </w:rPr>
        <w:t>Shared claim-specific concepts:</w:t>
      </w:r>
      <w:r>
        <w:t xml:space="preserve"> nonfood, technologies, based; EU scope not established. This is a provisional connection, not an outcome finding.</w:t>
      </w:r>
    </w:p>
    <w:p>
      <w:pPr>
        <w:pStyle w:val="SourceNote"/>
      </w:pPr>
      <w:r>
        <w:rPr>
          <w:b/>
        </w:rPr>
        <w:t>Available abstract (not full text):</w:t>
      </w:r>
      <w:r>
        <w:t xml:space="preserve"> Biomass gasification, especially distribution to power generation, is considered as a promising way to tackle global energy and environmental challenges. However, previous researches on integrated analysis of the greenhouse gases (GHG) abatement potentials associated with biomass electrification are sparse and few have taken the freshwater utilization into account within a coherent framework, though both energy and water scarcity are lying in the central concerns in China's environmental policy. This study employs a Life cycle assessment (LCA) model to analyse the actual performance combined with water footprint (WF) assessment methods. The inextricable trade-offs between three representative energy-producing technologies are explored based on three categories of non-food crops (maize, sorghum and hybrid pennisetum) cultivated in marginal arable land. WF results demonstrate that the Hybrid pennisetum system has the largest impact on the water resources whereas the other two technology options exhibit the characteristics of environmental sustainability. The large variances in contribution ratio between the four sub-processes in terms of total impacts are reflected by the LCA results. The Anaerobic Digestion process is found to be the main contributor whereas the Digestate management process is shown to be able to effectively mitigate the negative environmental impacts with an ab</w:t>
      </w:r>
    </w:p>
    <w:p>
      <w:pPr/>
      <w:r>
        <w:rPr>
          <w:b/>
        </w:rPr>
        <w:t>POSSIBLE 2020:</w:t>
      </w:r>
      <w:r>
        <w:t xml:space="preserve"> Actual and potential new fuel types in Europe and Austria — https://doi.org/10.34726/hss.2020.73189</w:t>
      </w:r>
    </w:p>
    <w:p>
      <w:pPr/>
      <w:r>
        <w:rPr>
          <w:b/>
        </w:rPr>
        <w:t>Shared claim-specific concepts:</w:t>
      </w:r>
      <w:r>
        <w:t xml:space="preserve"> increase, biofuel, technologies, present, fuel; EU scope visible. This is a provisional connection, not an outcome finding.</w:t>
      </w:r>
    </w:p>
    <w:p>
      <w:pPr>
        <w:pStyle w:val="SourceNote"/>
      </w:pPr>
      <w:r>
        <w:rPr>
          <w:b/>
        </w:rPr>
        <w:t>Available abstract (not full text):</w:t>
      </w:r>
      <w:r>
        <w:t xml:space="preserve"> The present of this master thesis is concerned with the usage of fuel types in their actual and future form. It should provide a big overview of actual technologies that are available on the market and outline different potential future scenarios. The future deployment of fuels in our daily life can change. Several technologies gained increase public attention like hydrogen, battery powered vehicles (BEV), hybrid technologies and more. There are several different fuels that have the potential to decrease the humans carbon footprint in this world. The main goal of the thesis is to provide the technical and theoretical background of fuel types in their actual form and their potential usage in the future. The history of fuels is outlined that provides the foundation for the actual mobility situation on earth. Basic chemical compounds that build the base for actual fuels are treated. Since the development of fuels, the efficiency in the combustion process has been improved several times, as example the adding of a turbo changer can be named, this and potential increasing efficiency methods outlined by technicians are investigated. Biofuels are one big topic that influenced the mixture of conventional fuels the last years, therefore this topic is covered. New upcoming technologies like nanotechnology in the context of biofuel production, biorefineries, fuel cells and other potential</w:t>
      </w:r>
    </w:p>
    <w:p>
      <w:pPr/>
      <w:r>
        <w:rPr>
          <w:b/>
        </w:rPr>
        <w:t>POSSIBLE 2019:</w:t>
      </w:r>
      <w:r>
        <w:t xml:space="preserve"> FABIO─The Construction of the Food and Agriculture Biomass Input–Output Model — https://doi.org/10.1021/acs.est.9b03554</w:t>
      </w:r>
    </w:p>
    <w:p>
      <w:pPr/>
      <w:r>
        <w:rPr>
          <w:b/>
        </w:rPr>
        <w:t>Shared claim-specific concepts:</w:t>
      </w:r>
      <w:r>
        <w:t xml:space="preserve"> show, nonfood, present; EU scope not established. This is a provisional connection, not an outcome finding.</w:t>
      </w:r>
    </w:p>
    <w:p>
      <w:pPr>
        <w:pStyle w:val="SourceNote"/>
      </w:pPr>
      <w:r>
        <w:rPr>
          <w:b/>
        </w:rPr>
        <w:t>Available abstract (not full text):</w:t>
      </w:r>
      <w:r>
        <w:t xml:space="preserve"> Harvested biomass is linked to final consumption by networks of processes and actors that convert and distribute food and nonfood goods. Achieving a sustainable resource metabolism of the economy is an overarching challenge which manifests itself in a number of the UN Sustainable Development Goals. Modeling the physical dimensions of biomass conversion and distribution networks is essential to understanding the characteristics, drivers, and dynamics of the socio-economic biomass metabolism. In this paper, we present the Food and Agriculture Biomass Input-Output model (FABIO), a set of multiregional supply, use and input-output tables in physical units, that document the complex flows of agricultural and food products in the global economy. The model assembles FAOSTAT statistics reporting crop production, trade, and utilization in physical units, supplemented by data on technical and metabolic conversion efficiencies, into a consistent, balanced, input-output framework. FABIO covers 191 countries and 130 agriculture, food and forestry products from 1986 to 2013. The physical supply use tables offered by FABIO provide a comprehensive, transparent, and flexible structure for organizing data representing flows of materials within metabolic networks. They allow tracing of biomass flows and embodied environmental pressures along global supply chains at an unprecedented level of produ</w:t>
      </w:r>
    </w:p>
    <w:p>
      <w:pPr/>
      <w:r>
        <w:rPr>
          <w:b/>
        </w:rPr>
        <w:t>POSSIBLE 2019:</w:t>
      </w:r>
      <w:r>
        <w:t xml:space="preserve"> Assessing lignocellulosic biomass production from crop residues in the European Union: Modelling, analysis of the current scenario and drivers of interannual variability — https://doi.org/10.1111/gcbb.12604</w:t>
      </w:r>
    </w:p>
    <w:p>
      <w:pPr/>
      <w:r>
        <w:rPr>
          <w:b/>
        </w:rPr>
        <w:t>Shared claim-specific concepts:</w:t>
      </w:r>
      <w:r>
        <w:t xml:space="preserve"> show, provided, abstract, union, based; EU scope visible. This is a provisional connection, not an outcome finding.</w:t>
      </w:r>
    </w:p>
    <w:p>
      <w:pPr>
        <w:pStyle w:val="SourceNote"/>
      </w:pPr>
      <w:r>
        <w:rPr>
          <w:b/>
        </w:rPr>
        <w:t>Available abstract (not full text):</w:t>
      </w:r>
      <w:r>
        <w:t xml:space="preserve"> Abstract This study assesses crop residues in the EU from major crops using empirical models to predict crop residues from yield statistics; furthermore it analyses the inter‐annual variability of those estimates over the period 1998‐2015, identifying its main drivers across Europe. The models were constructed based on an exhaustive collection of experimental data from scientific papers for the crops: wheat, barley, rye, oats, triticale, rice, maize, sorghum, rapeseed, sunflower, soybean, potato and sugarbeet. We discuss the assumptions on the relationship between yield and the harvest index, adopted by previous studies, to interpret the experimental data, quantify the uncertainties of these models, and establish the premises to implement them at regional scale –i.e., NUTS level 3– within the EU. To cope this, we created a consolidated sub‐national statistical data along with an algorithm able to aggregate (figures are provided at country level) and disaggregate (production at 25 km grid is provided assupplementary material) estimates. The total lignocellulosic biomass production in the EU28 over the review period, according to our models, is 419 Mt, from which wheat is the major contributor (155 Mt). Our results show that maize and rapeseed are the two crops with the highest residue yield, respectively 8.9 and 8.6 t ha‐1. The spatial analysis revealed that these three crops, w</w:t>
      </w:r>
    </w:p>
    <w:p>
      <w:pPr/>
      <w:r>
        <w:rPr>
          <w:b/>
        </w:rPr>
        <w:t>POSSIBLE 2019:</w:t>
      </w:r>
      <w:r>
        <w:t xml:space="preserve"> Quantifying the global cropland footprint of the European Union’s non-food bioeconomy — https://doi.org/10.1088/1748-9326/ab07f5</w:t>
      </w:r>
    </w:p>
    <w:p>
      <w:pPr/>
      <w:r>
        <w:rPr>
          <w:b/>
        </w:rPr>
        <w:t>Shared claim-specific concepts:</w:t>
      </w:r>
      <w:r>
        <w:t xml:space="preserve"> developed, union; EU scope visible. This is a provisional connection, not an outcome finding.</w:t>
      </w:r>
    </w:p>
    <w:p>
      <w:pPr>
        <w:pStyle w:val="SourceNote"/>
      </w:pPr>
      <w:r>
        <w:rPr>
          <w:b/>
        </w:rPr>
        <w:t>Available abstract (not full text):</w:t>
      </w:r>
      <w:r>
        <w:t xml:space="preserve"> A rapidly growing share of global agricultural areas is devoted to the production of biomass for non-food purposes. The expanding non-food bioeconomy can have far-reaching social and ecological implications; yet, the non-food sector has attained little attention in land footprint studies. This paper provides the first assessment of the global cropland footprint of non-food products of the European Union (EU), a globally important region regarding its expanding bio-based economy. We apply a novel hybrid land flow accounting model, combining the biophysical trade model LANDFLOW with the multi-regional input–output model EXIOBASE. The developed hybrid approach improves the level of product and country detail, while comprehensively covering all global supply chains from agricultural production to final consumption, including highly processed products, such as many non-food products. The results highlight the EU's role as a major processing and the biggest consuming region of cropland-based non-food products, while at the same time relying heavily on imports. Two thirds of the cropland required to satisfy the EU's non-food biomass consumption are located in other world regions, particularly in China, the US and Indonesia, giving rise to potential impacts on distant ecosystems. With almost 39% in 2010, oilseeds used to produce for example biofuels, detergents and polymers represented</w:t>
      </w:r>
    </w:p>
    <w:p>
      <w:pPr>
        <w:pStyle w:val="Heading2"/>
      </w:pPr>
      <w:r>
        <w:t>715.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2024:</w:t>
      </w:r>
      <w:r>
        <w:t xml:space="preserve"> Methodologies for the design of positive energy districts: A scoping literature review and a proposal for a new approach (PlanPED) — https://doi.org/10.1016/j.buildenv.2024.111667</w:t>
      </w:r>
    </w:p>
    <w:p>
      <w:pPr/>
      <w:r>
        <w:rPr>
          <w:b/>
        </w:rPr>
        <w:t>Shared claim-specific concepts:</w:t>
      </w:r>
      <w:r>
        <w:t xml:space="preserve"> design, approach, then; EU scope visible. This is a provisional connection, not an outcome finding.</w:t>
      </w:r>
    </w:p>
    <w:p>
      <w:pPr>
        <w:pStyle w:val="SourceNote"/>
      </w:pPr>
      <w:r>
        <w:rPr>
          <w:b/>
        </w:rPr>
        <w:t>Available abstract (not full text):</w:t>
      </w:r>
      <w:r>
        <w:t xml:space="preserve"> Cities can substantially contribute to European Green Deal targets by accelerating their transition towards smarter, more efficient, and renewable-based energy models. In that context, European cities need to increase their self-sufficiency and the resilience of their energy system especially through the promotion of district and neighbourhood scale energy projects such as positive energy districts (PEDs). Despite the increasing interest for PEDs experienced in the last years, their deployment is currently hindered by the absence of an energy planning culture and the lack of adequately skilled personnel in cities. Indeed, there is a strong need for practical tools and guidelines that support practitioners in the design and implementation of PEDs. In that context, the present paper introduces PlanPED, a framework for the conception of methodologies for PED planning, design, and implementation, to support municipalities in their energy transition. PlanPED aims at providing a multiple perspective approach based on the most important elements from existing methodologies. In that sense, the paper begins with an overview of the state of the art, leading to the identification of trends, gaps, and good practices of current research. Then, based on this analysis, the novel framework PlanPED is introduced. It consists of three interconnected workflows that, if followed, enables to know w</w:t>
      </w:r>
    </w:p>
    <w:p>
      <w:pPr/>
      <w:r>
        <w:rPr>
          <w:b/>
        </w:rPr>
        <w:t>POSSIBLE 2024:</w:t>
      </w:r>
      <w:r>
        <w:t xml:space="preserve"> A Methodology for Intercultural Design — https://doi.org/10.30682/diid8224j</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2023:</w:t>
      </w:r>
      <w:r>
        <w:t xml:space="preserve"> Design displacement for lifelines at fault crossings: the code-based approach for Europe — https://doi.org/10.1007/s10518-023-01813-9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Abstract The earthquake-resistant design of lifelines, such as pipelines, tunnels and bridges, is based on the reliable representation and estimation of the seismic loading. In the case of lifeline–fault crossings, the design fault displacement is typically derived from estimates based on fault dimensions via empirical fault scaling relations for a given “design” scenario event. This approach comes with an unknown level of safety because the fault productivity and the actual distribution of earthquake events are essentially disregarded. To overcome this challenge, a simplified approach is proposed by statistically analyzing the outcome of probabilistic fault displacement hazard analyses (PFDHAs). A selection of faults from the 2020 European Fault-Source Model is used to build the logic tree and to set the range of parameters considered in the PFDHAs. The methodology allows the (mostly conservative) approximation of the fault displacement corresponding to any given return period based on readily available data, namely fault productivity, fault mechanism, fault length, and lifeline crossing location on the fault. The proposed methodology has been proposed and adopted as an informative Annex in prEN 1998-4:2022.</w:t>
      </w:r>
    </w:p>
    <w:p>
      <w:pPr/>
      <w:r>
        <w:rPr>
          <w:b/>
        </w:rPr>
        <w:t>POSSIBLE 2023:</w:t>
      </w:r>
      <w:r>
        <w:t xml:space="preserve"> A Novel Integrated Design Methodology for Nature-Based Solutions and Soil and Water Bioengineering Interventions: The Tardio&amp;Mickovski Methodology — https://doi.org/10.3390/su15043044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 methodology for designing nature-based solutions (NBS) and soil and water bioengineering (SWB) works is proposed which includes the main particularities of this type of intervention. The dynamic nature of NBS/SWB works, their most important changes and possible critical scenarios are reflected in the proposed methodology. A clear and practical time framework for design checks is also defined. Existing structural design routines and plant root reinforcement models are integrated into the proposed time staged scheme. Likewise, the connections with the monitoring stage and the possibilities of continuous improvement are incorporated as an essential characteristic of the approach of this type of intervention. The proposed methodology is validated by means of a practical case study example embracing the whole service life of an SWB/NBS intervention. The obtained results are in good agreement with both the accumulated experience within the European SWB sector and the existing data collected in SWB monitoring works. The proposed methodology can be readily implemented in a wide range of nature restoration projects and works.</w:t>
      </w:r>
    </w:p>
    <w:p>
      <w:pPr/>
      <w:r>
        <w:rPr>
          <w:b/>
        </w:rPr>
        <w:t>POSSIBLE 2023:</w:t>
      </w:r>
      <w:r>
        <w:t xml:space="preserve"> Methodological approach for an Atlas of architectural design in built heritage: contributions of the School of Porto — https://doi.org/10.1108/jchmsd-08-2023-0131</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This research seeks to provide methodological bases for the identification, documentation and critical reflection of good practices of architectural design in built heritage. These are applied explicitly to the School of Porto architects, which express a high sense of pedagogy and community practice in this field. The methodological approach defines the selection criteria for a georeferenced inventory and the procedures for in-depth analysis of adaptive reuse strategies. Design/methodology/approach The works included in the inventory were selected according to geographical, chronological, typological, qualitative and quantitative criteria. The cases chosen for in-depth analysis have been studied along four thematic axes to dissect all the intervention processes (previous state, design/construction and final state). This approach is supported by a cross-analysis of different sources (oral, written, graphic) and using drawing as a fundamental research tool. Findings The research has collected and disseminated up to 150 works by 44 architects, providing a comprehensive portrait of heritage intervention by the School of Porto over the past decades. The selection of 22 buildings for in-depth documentation reveals a particular sensibility toward the cultural values through a case-by-case approach based in deep knowledge of the preexisting context and the introduction of conte</w:t>
      </w:r>
    </w:p>
    <w:p>
      <w:pPr/>
      <w:r>
        <w:rPr>
          <w:b/>
        </w:rPr>
        <w:t>POSSIBLE 2022:</w:t>
      </w:r>
      <w:r>
        <w:t xml:space="preserve"> Co-Design of Augmented Reality Games for Learning with Teachers: A methodological approach — https://doi.org/10.21203/rs.3.rs-1988443/v1</w:t>
      </w:r>
    </w:p>
    <w:p>
      <w:pPr/>
      <w:r>
        <w:rPr>
          <w:b/>
        </w:rPr>
        <w:t>Shared claim-specific concepts:</w:t>
      </w:r>
      <w:r>
        <w:t xml:space="preserve"> design, approach, method, relevant; EU scope not established. This is a provisional connection, not an outcome finding.</w:t>
      </w:r>
    </w:p>
    <w:p>
      <w:pPr>
        <w:pStyle w:val="SourceNote"/>
      </w:pPr>
      <w:r>
        <w:rPr>
          <w:b/>
        </w:rPr>
        <w:t>Available abstract (not full text):</w:t>
      </w:r>
      <w:r>
        <w:t xml:space="preserve"> Abstract Augmented Reality Game-Based Learning (ARGBL) is becoming increasingly relevant in Technology-Enhanced Learning. Games with AR characteristics, or even AR applications structured with rules and game elements, are proving to be effective and successful learning experiences. There is a need to include teachers in the design, development and implementation process as to make it more effective. In this paper, two case studies where 6 teachers participated are shown in order to validate a methodological approach for the co-design of ARGBL. This is a co-design method that proposes a thorough, iterative process guided by design principles and mediated by dialogue between the stakeholders. Here, the process of co-design with teachers is analyzed and assessed using mixed-methods observations on the use of the produced ARGBL games with students on naturalistic environments. The validation process links the usefulness of the ensuing products with the use of the method and shows the benefits of using co-design methods to create ARGBL experiences.</w:t>
      </w:r>
    </w:p>
    <w:p>
      <w:pPr/>
      <w:r>
        <w:rPr>
          <w:b/>
        </w:rPr>
        <w:t>POSSIBLE 2021:</w:t>
      </w:r>
      <w:r>
        <w:t xml:space="preserve"> The EU DEMO staged design approach in the Pre-Concept Design Phase — https://doi.org/10.1016/j.fusengdes.2021.112959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paper provides an overview of the methodology adopted within the EUROfusion framework covering the Pre-Concept Design Phase (2014–2020). The phase activities focused on advancing the technical basis of the design of the European DEMOnstration Fusion Power Plant (DEMO). The emphasis in the latter stages was placed upon an integrated design approach, based on systems engineering, providing a clear direction for urgent technology R&amp;D and addressing the key design integration issues by assessing the critical systems interdependencies and uncertainties of certain design assumptions. The programme has continued to benefit from the ITER return of experience, in terms of design, licensing, and construction and DEMO will maintain a strong link with the ITER schedule in the coming design phases. The growing need for a structured and transparent review process gave rise to the introduction of a phase-gate review process, the implementation of which led to the first formal DEMO-wide gate review held at the end of the Pre-Concept Design Phase. The Gate Panel's recommendations provided clarity on the key priorities for the programme moving forward and serve to underpin the planning for the next phase.</w:t>
      </w:r>
    </w:p>
    <w:p>
      <w:pPr/>
      <w:r>
        <w:rPr>
          <w:b/>
        </w:rPr>
        <w:t>POSSIBLE 2020:</w:t>
      </w:r>
      <w:r>
        <w:t xml:space="preserve"> A Methodological Safe-by-Design Approach for the Development of Nanomedicines — https://doi.org/10.3389/fbioe.2020.00258</w:t>
      </w:r>
    </w:p>
    <w:p>
      <w:pPr/>
      <w:r>
        <w:rPr>
          <w:b/>
        </w:rPr>
        <w:t>Shared claim-specific concepts:</w:t>
      </w:r>
      <w:r>
        <w:t xml:space="preserve"> design, approach, relevant, fields; EU scope visible. This is a provisional connection, not an outcome finding.</w:t>
      </w:r>
    </w:p>
    <w:p>
      <w:pPr>
        <w:pStyle w:val="SourceNote"/>
      </w:pPr>
      <w:r>
        <w:rPr>
          <w:b/>
        </w:rPr>
        <w:t>Available abstract (not full text):</w:t>
      </w:r>
      <w:r>
        <w:t xml:space="preserve"> Safe-by-Design (SbD) concepts foresee the risk identification and reduction as well as uncertainties regarding human health and environmental safety in early stages of product development. The EU's NANoREG project and further on the H2020 ProSafe initiative, NanoReg2, and CALIBRATE projects have developed a general SbD approach for nanotechnologies (e.g., paints, textiles, etc.). Based on it, the GoNanoBioMat project elaborated a methodological SbD approach (GoNanoBioMat SbD approach) for nanomedicines with a focus on polymeric nanobiomaterials (NBMs) used for drug delivery. NBMs have various advantages such as the potential to increase drug efficacy and bioavailability. However, the nanoscale brings new challenges to product design, manufacturing, and handling. Nanomedicines are costly and require the combination of knowledge from several fields. In this paper, we present the GoNanoBioMat SbD approach, which allows identifying and addressing the relevant safety aspects to address when developing polymeric NBMs during design, characterization, assessment of human health and environmental risk, manufacturing and handling, and combines the nanoscale and medicine field under one approach. Furthermore, regulatory requirements are integrated into the innovation process.</w:t>
      </w:r>
    </w:p>
    <w:p>
      <w:pPr/>
      <w:r>
        <w:rPr>
          <w:b/>
        </w:rPr>
        <w:t>POSSIBLE 2020:</w:t>
      </w:r>
      <w:r>
        <w:t xml:space="preserve"> SMEs strategic networks and innovative performance: a relational design and methodology for knowledge sharing — https://doi.org/10.1108/jkm-01-2020-0010</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In the context of resource scarcity, the affiliation of small and medium-sized enterprises (SMEs) to strategic networks has emerged as a fruitful path towards knowledge sharing as a reaction to fierce competition and with a view to enhance their innovative performance. In this framework, this paper aims to investigate the influence exerted by a specific relational design (i.e. types of strategic networks) and methodology (i.e. channels and content) of knowledge sharing on SMEs innovative performance. Design/methodology/approach A questionnaire-based survey with 102 top managers of European SMEs in the industrial field was conducted from June to August 2019 and a partial least squares structural equation modelling technique was used. The database was initially filtered to ensure the adequacy of the sample and data was analysed using the statistics software package SmartPLS 3.0. Findings The results concluded that the structural model explains 38.5% of the variance in SMEs innovative performance, indicating the positive effects exerted by offline and online and by competitive knowledge sharing on the dependent variable. Research implications The study has both theoretical and practical implications in that it sets out a reference point for the key performance indicators for strategic networks structure, formation and development and, implicitly, for the selection of the m</w:t>
      </w:r>
    </w:p>
    <w:p>
      <w:pPr/>
      <w:r>
        <w:rPr>
          <w:b/>
        </w:rPr>
        <w:t>POSSIBLE 2019:</w:t>
      </w:r>
      <w:r>
        <w:t xml:space="preserve"> Methodology and empirical design — https://doi.org/10.4324/9780429431234-4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Chapter 4 “Methodology and Empirical Design” starts with a brief outline of the research project (“ENRI-East: European, National and Regional Identities”) that has provided the quantitative and qualitative data used in the book. It presents the basic population statistics of all researched minority groups: Russians in Latvia and Lithuania; Hungarians in Slovakia and Ukraine; Poles in Belarus, Ukraine and Lithuania; Belarusians in Poland and Lithuania; Slovaks in Hungary; Ukrainians in Poland; and Lithuanians in Russia (Kaliningrad region). The following subchapter describes the design and the implementation of the quantitative data collection (“ENRI-VIS”), including the specific sampling methods and a detailed description of the sample (N = 6,800). The third subchapter provides information on the qualitative data collection (“ENRI-BIO”) and a detailed sample description (N = 132). The sampling frame for the biographical interviews included gender and age. Members of three generations of all researched minority groups were interviewed by using a biographical approach.</w:t>
      </w:r>
    </w:p>
    <w:p>
      <w:pPr>
        <w:pStyle w:val="Heading2"/>
      </w:pPr>
      <w:r>
        <w:t>716.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also, important, deployment, renewable, energy;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Social Investment, Redistribution or Basic Income? Exploring the Association Between Automation Risk and Welfare State Attitudes in Europe — https://doi.org/10.1017/s0047279421000519</w:t>
      </w:r>
    </w:p>
    <w:p>
      <w:pPr/>
      <w:r>
        <w:rPr>
          <w:b/>
        </w:rPr>
        <w:t>Shared claim-specific concepts:</w:t>
      </w:r>
      <w:r>
        <w:t xml:space="preserve"> also, policies; EU scope visible. This is a provisional connection, not an outcome finding.</w:t>
      </w:r>
    </w:p>
    <w:p>
      <w:pPr>
        <w:pStyle w:val="SourceNote"/>
      </w:pPr>
      <w:r>
        <w:rPr>
          <w:b/>
        </w:rPr>
        <w:t>Available abstract (not full text):</w:t>
      </w:r>
      <w:r>
        <w:t xml:space="preserve"> Abstract Rapid technological change – the digitalization and automation of work – is challenging contemporary welfare states. Most of the existing research, however, focuses on its effect on labor market outcomes, such as employment or wage levels. In contrast, this paper studies the implications of technological change for welfare state attitudes and preferences. Compared to previous work on this topic, this paper adopts a much broader perspective regarding different kinds of social policy. Using data from the European Social Survey, we find that individual automation risk is positively associated with support for redistribution, but negatively with support for social investment policies (partly depending on the specific measure of automation risk that is used), while there is no statistically significant association with support for basic income. We also find a moderating effect of the overall size of the welfare state on the micro-level association between risk and preferences.</w:t>
      </w:r>
    </w:p>
    <w:p>
      <w:pPr/>
      <w:r>
        <w:rPr>
          <w:b/>
        </w:rPr>
        <w:t>POSSIBLE 2020:</w:t>
      </w:r>
      <w:r>
        <w:t xml:space="preserve"> Exploring Young Europeans’ Homeownership Opportunities — https://doi.org/10.13060/23362839.2020.7.1.506</w:t>
      </w:r>
    </w:p>
    <w:p>
      <w:pPr/>
      <w:r>
        <w:rPr>
          <w:b/>
        </w:rPr>
        <w:t>Shared claim-specific concepts:</w:t>
      </w:r>
      <w:r>
        <w:t xml:space="preserve"> also, explores, important, policies; EU scope visible. This is a provisional connection, not an outcome finding.</w:t>
      </w:r>
    </w:p>
    <w:p>
      <w:pPr>
        <w:pStyle w:val="SourceNote"/>
      </w:pPr>
      <w:r>
        <w:rPr>
          <w:b/>
        </w:rPr>
        <w:t>Available abstract (not full text):</w:t>
      </w:r>
      <w:r>
        <w:t xml:space="preserve"> Even before the 2008/9-crisis but certainly afterwards, trends in labour, housing and mortgage markets combined with welfare reform, making it more difficult for each new cohort of young Europeans (25-34) to complete the transition to ‘residential independence’, particularly to become a homeowner. This paper explores ‘trends in homeownership opportunities’, using data from EU-SILC (2005-2018). It takes a broader perspective by exploring trends in its social selectivity, as well as changes in the ‘attributes’ of homeownership over time. Young adults’ homeownership opportunities have declined almost everywhere in Europe, but to varying extents. Furthermore, a more socially selective group of young homeowners seems to be entering properties of lower quality in locations with fewer services. Deteriorating homeownership opportunities are strongly associated with mortgage lending restrictions, indicating that trends in housing and broader financial markets/policies are important explanatory factors. I also find indications that the transition to homeownership is being pushed beyond the commonly-used age-threshold of 34 years.</w:t>
      </w:r>
    </w:p>
    <w:p>
      <w:pPr/>
      <w:r>
        <w:rPr>
          <w:b/>
        </w:rPr>
        <w:t>POSSIBLE 2019:</w:t>
      </w:r>
      <w:r>
        <w:t xml:space="preserve"> Implementing Green Infrastructure in Spatial Planning in Europe — https://doi.org/10.3390/land8040062</w:t>
      </w:r>
    </w:p>
    <w:p>
      <w:pPr/>
      <w:r>
        <w:rPr>
          <w:b/>
        </w:rPr>
        <w:t>Shared claim-specific concepts:</w:t>
      </w:r>
      <w:r>
        <w:t xml:space="preserve"> also, important, wide, insights, policies, see;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717.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r>
        <w:rPr>
          <w:b/>
        </w:rPr>
        <w:t>POSSIBLE 2024:</w:t>
      </w:r>
      <w:r>
        <w:t xml:space="preserve"> A design methodology based approach for robotic gripper design — https://openalex.org/W4391710302</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Abstract Not Provided</w:t>
      </w:r>
    </w:p>
    <w:p>
      <w:pPr/>
      <w:r>
        <w:rPr>
          <w:b/>
        </w:rPr>
        <w:t>POSSIBLE 2024:</w:t>
      </w:r>
      <w:r>
        <w:t xml:space="preserve"> Exploring a Material-Focused Design Methodology: An Innovative Approach to Pressure Vessel Design — https://doi.org/10.3390/machines12010081</w:t>
      </w:r>
    </w:p>
    <w:p>
      <w:pPr/>
      <w:r>
        <w:rPr>
          <w:b/>
        </w:rPr>
        <w:t>Shared claim-specific concepts:</w:t>
      </w:r>
      <w:r>
        <w:t xml:space="preserve"> design, methodology, approach, based, industrial, methodologies; EU scope not established. This is a provisional connection, not an outcome finding.</w:t>
      </w:r>
    </w:p>
    <w:p>
      <w:pPr>
        <w:pStyle w:val="SourceNote"/>
      </w:pPr>
      <w:r>
        <w:rPr>
          <w:b/>
        </w:rPr>
        <w:t>Available abstract (not full text):</w:t>
      </w:r>
      <w:r>
        <w:t xml:space="preserve"> The design of components and elements comprising industrial machinery, as well as those that are part of an industrial system, has been carried out in recent years using various design methodologies. Currently, the products demanded by customers, as well as the needs of different companies, governments, and individuals, require considerations beyond traditional design, including multidisciplinary aspects such as sustainability, environmental friendliness, and circular economy. The design methodologies considered for this study are the quality function deployment (QFD) methodology, the theory of inventive problem-solving methodology, Ashby’s Materials Selection methodology, and the systematic approach methodology, which are currently the main design methodologies. These methodologies present some disadvantages, such as multidisciplinary requirements not being considered directly, the selection of materials based on standards is not well established, and obtaining technical requirements is ambiguous for the technical purposes of the design or manufacturing, and the designer’s experience in these examples is important to the design process and the development of the product. For these reasons, the traditional design methodologies are presented, next, a new design methodology is proposed and described, then a case study is performed in order to compare the proposed methodology with</w:t>
      </w:r>
    </w:p>
    <w:p>
      <w:pPr/>
      <w:r>
        <w:rPr>
          <w:b/>
        </w:rPr>
        <w:t>POSSIBLE 2023:</w:t>
      </w:r>
      <w:r>
        <w:t xml:space="preserve"> Smart factory mapping and design: methodological approaches — https://doi.org/10.1007/s11740-023-01193-8</w:t>
      </w:r>
    </w:p>
    <w:p>
      <w:pPr/>
      <w:r>
        <w:rPr>
          <w:b/>
        </w:rPr>
        <w:t>Shared claim-specific concepts:</w:t>
      </w:r>
      <w:r>
        <w:t xml:space="preserve"> design, approach, based; EU scope not established. This is a provisional connection, not an outcome finding.</w:t>
      </w:r>
    </w:p>
    <w:p>
      <w:pPr>
        <w:pStyle w:val="SourceNote"/>
      </w:pPr>
      <w:r>
        <w:rPr>
          <w:b/>
        </w:rPr>
        <w:t>Available abstract (not full text):</w:t>
      </w:r>
      <w:r>
        <w:t xml:space="preserve"> Abstract Several studies show a demand for further transfer of Industry 4.0 concepts and technologies into practice. This paper describes how companies can be supported methodologically to identify individual opportunities for optimization within their future smart factories. Existing methods are screened, recombined, and enhanced to create a sufficient demand-oriented approach, based on the lean value stream mapping and design. The final approach covers a mapping phase of the current state and a design phase of a future state. It follows the general principle of process optimization prior to digitalization. Being a highly visual method, it can be used to explain the needs and the motivation for the identified improvement initiatives to all involved parties, including non-IT-specialists. This paper also presents an exemplary result and several learnings from tests with three companies with discrete manufacturing processes.</w:t>
      </w:r>
    </w:p>
    <w:p>
      <w:pPr/>
      <w:r>
        <w:rPr>
          <w:b/>
        </w:rPr>
        <w:t>POSSIBLE 2023:</w:t>
      </w:r>
      <w:r>
        <w:t xml:space="preserve"> Full factorial design methodology approach to optimize the elimination of gallic acid from water by coagulation using activated acorns barks as coagulant-aid — https://doi.org/10.2298/jsc220623084b</w:t>
      </w:r>
    </w:p>
    <w:p>
      <w:pPr/>
      <w:r>
        <w:rPr>
          <w:b/>
        </w:rPr>
        <w:t>Shared claim-specific concepts:</w:t>
      </w:r>
      <w:r>
        <w:t xml:space="preserve"> design, methodology, approach, hybrid; EU scope not established. This is a provisional connection, not an outcome finding.</w:t>
      </w:r>
    </w:p>
    <w:p>
      <w:pPr>
        <w:pStyle w:val="SourceNote"/>
      </w:pPr>
      <w:r>
        <w:rPr>
          <w:b/>
        </w:rPr>
        <w:t>Available abstract (not full text):</w:t>
      </w:r>
      <w:r>
        <w:t xml:space="preserve"> This study investigated the elimination of organic matter from water by the coagulation process using a biomaterial ?acorns barks? as a coagulantaid with the presence of aluminium sulphate in low concentration. The removal of gallic acid from water was first studied by two processes: the adsorption on activated acorns barks, and coagulation by aluminium sulphate, separately. The hybrid system was then studied, and the optimal operating conditions were determined. The performance of the hybrid system (coagulation/adsorption) mainly depends on the initial concentration of gallic acid, the coagulant dose and the mass of coagulant-aid. A full factorial design 23 was used to determine the optimum conditions for gallic acid removal. The maximum removal of gallic acid in water was 92.48 %, achieved at 20 mg L-1 of initial gallic acid concentration, 50 mg L-1 of aluminium sulphate coagulant concentration and 1.5 g of activated acorns barks adsorbent mass. The application of these optimal conditions on urban wastewater for the elimination of organic matter has shown the performance of this hybrid system treatment.</w:t>
      </w:r>
    </w:p>
    <w:p>
      <w:pPr/>
      <w:r>
        <w:rPr>
          <w:b/>
        </w:rPr>
        <w:t>POSSIBLE 2021:</w:t>
      </w:r>
      <w:r>
        <w:t xml:space="preserve"> Analytical Quality by Design Methodology Approach for Simultaneous Quantitation of Paeoniflorin and Decursin in Herbal Medicine by RP-HPLC Analysis — https://doi.org/10.20307/nps.2021.27.4.264</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Simultaneous quantification of multiple marker compounds in herbal medicine by high performance liquid chromatography (HPLC) analysis is still a challenge due to the complexity in various parameters to be considered and co-existing multi-components. As a case study, a reliable HPLC method for simultaneous quantification of paeoniflorin from Paeoniae Radix and decursin from Angelicae Gigantis Radix in various commercial herbal medicine was developed based on analytical quality by design (AQbD) strategy. As a first step, risk assessment was performed to select the critical method parameters (CMPs) which were decided as organic mobile phase ratio and column oven temperature. In order to evaluate the effect of the CMPs on critical method attributes (CMAs) of peak resolution and tailing, central composite design (CCD) was employed. The final chromatographic conditions were optimized as follows: column- C18, 4.6 × 250 mm, 5 μm particle size; mobile phase- A: acetonitrile, B: 0.1% acetic acid water; detection wavelength- 235 nm for paeoniflorin, 325 nm for decursin; column oven temperature- 25oC; flow rate- 1.0 mL/min; gradient mobile phase system as Time (min) : % A, 0:14, 25:14, 30:50, 60:50, 61:100, 65:100, 66:14, 75:14. The method was successfully validated according to the International Conference on Harmonization (ICH) guidelines and piloted for ten commercial herbal medicines.</w:t>
      </w:r>
    </w:p>
    <w:p>
      <w:pPr/>
      <w:r>
        <w:rPr>
          <w:b/>
        </w:rPr>
        <w:t>POSSIBLE 2020:</w:t>
      </w:r>
      <w:r>
        <w:t xml:space="preserve"> A Methodological Safe-by-Design Approach for the Development of Nanomedicines — https://doi.org/10.3389/fbioe.2020.00258</w:t>
      </w:r>
    </w:p>
    <w:p>
      <w:pPr/>
      <w:r>
        <w:rPr>
          <w:b/>
        </w:rPr>
        <w:t>Shared claim-specific concepts:</w:t>
      </w:r>
      <w:r>
        <w:t xml:space="preserve"> design, approach, based; EU scope visible. This is a provisional connection, not an outcome finding.</w:t>
      </w:r>
    </w:p>
    <w:p>
      <w:pPr>
        <w:pStyle w:val="SourceNote"/>
      </w:pPr>
      <w:r>
        <w:rPr>
          <w:b/>
        </w:rPr>
        <w:t>Available abstract (not full text):</w:t>
      </w:r>
      <w:r>
        <w:t xml:space="preserve"> Safe-by-Design (SbD) concepts foresee the risk identification and reduction as well as uncertainties regarding human health and environmental safety in early stages of product development. The EU's NANoREG project and further on the H2020 ProSafe initiative, NanoReg2, and CALIBRATE projects have developed a general SbD approach for nanotechnologies (e.g., paints, textiles, etc.). Based on it, the GoNanoBioMat project elaborated a methodological SbD approach (GoNanoBioMat SbD approach) for nanomedicines with a focus on polymeric nanobiomaterials (NBMs) used for drug delivery. NBMs have various advantages such as the potential to increase drug efficacy and bioavailability. However, the nanoscale brings new challenges to product design, manufacturing, and handling. Nanomedicines are costly and require the combination of knowledge from several fields. In this paper, we present the GoNanoBioMat SbD approach, which allows identifying and addressing the relevant safety aspects to address when developing polymeric NBMs during design, characterization, assessment of human health and environmental risk, manufacturing and handling, and combines the nanoscale and medicine field under one approach. Furthermore, regulatory requirements are integrated into the innovation process.</w:t>
      </w:r>
    </w:p>
    <w:p>
      <w:pPr/>
      <w:r>
        <w:rPr>
          <w:b/>
        </w:rPr>
        <w:t>POSSIBLE 2020:</w:t>
      </w:r>
      <w:r>
        <w:t xml:space="preserve"> An approach to the Contextual Design methodology in the context of Information Science — https://doi.org/10.5281/zenodo.3733525</w:t>
      </w:r>
    </w:p>
    <w:p>
      <w:pPr/>
      <w:r>
        <w:rPr>
          <w:b/>
        </w:rPr>
        <w:t>Shared claim-specific concepts:</w:t>
      </w:r>
      <w:r>
        <w:t xml:space="preserve"> design, methodology, approach, based, domain; EU scope not established. This is a provisional connection, not an outcome finding.</w:t>
      </w:r>
    </w:p>
    <w:p>
      <w:pPr>
        <w:pStyle w:val="SourceNote"/>
      </w:pPr>
      <w:r>
        <w:rPr>
          <w:b/>
        </w:rPr>
        <w:t>Available abstract (not full text):</w:t>
      </w:r>
      <w:r>
        <w:t xml:space="preserve"> Based on an operative definition of Information Science (IS) as a study of the mediation aspects of the phenomena: data, information, knowledge and message, and their implementation in the cultural domain, the potential of Contextual Design (CD) as a methodology for the development of optimized interfaces between information resources and users is analyzed. The goals are (i) to identify papers that address or make use of the CD methodology in databases related to IS; (ii) to describe the approaches to the concept of CD in those papers; (iii) to point out the potentials and limitations of this methodology. We draw an exploratory / descriptive study based on a systematic review and categorical analysis. Eight papers were retrieved, which may act as a potential indicator of the reduced use of this methodology in the IS area. Furthermore, its application is essentially practical. Although the limitation of non-involvement of users throughout all the design process is pointed out, the CD methodology shows the ability to collect implicit information through user activities and the possibility of shared systematization of complex data. These characteristics make CD a potential value for the development of appropriate interfaces between information resources and their users.</w:t>
      </w:r>
    </w:p>
    <w:p>
      <w:pPr>
        <w:pStyle w:val="Heading2"/>
      </w:pPr>
      <w:r>
        <w:t>718. The Future of Rural Poland: the Main Trends and Possible Scenarios.</w:t>
      </w:r>
    </w:p>
    <w:p>
      <w:pPr>
        <w:pStyle w:val="SourceNote"/>
      </w:pPr>
      <w:r>
        <w:rPr>
          <w:b/>
        </w:rPr>
        <w:t>Original source (2018):</w:t>
      </w:r>
      <w:r>
        <w:t xml:space="preserve"> https://doi.org/10.1515/eec-2017-0004</w:t>
      </w:r>
    </w:p>
    <w:p>
      <w:pPr/>
      <w:r>
        <w:t>Original wording (abstract; indexed_source_text_not_full_document_verified):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pStyle w:val="Heading2"/>
      </w:pPr>
      <w:r>
        <w:t>719.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2023:</w:t>
      </w:r>
      <w:r>
        <w:t xml:space="preserve"> Update on the clinical use of trabecular bone score (TBS) in the management of osteoporosis: results of an expert group meeting organized by the European Society for Clinical and Economic Aspects of Osteoporosis, Osteoarthritis and Musculoskeletal Diseases (ESCEO), and the International Osteoporosis Foundation (IOF) under the auspices of WHO Collaborating Center for Epidemiology of Musculoskeletal Health and Aging — https://doi.org/10.1007/s00198-023-06817-4</w:t>
      </w:r>
    </w:p>
    <w:p>
      <w:pPr/>
      <w:r>
        <w:rPr>
          <w:b/>
        </w:rPr>
        <w:t>Shared claim-specific concepts:</w:t>
      </w:r>
      <w:r>
        <w:t xml:space="preserve"> organized, strategies, four; EU scope visible. This is a provisional connection, not an outcome finding.</w:t>
      </w:r>
    </w:p>
    <w:p>
      <w:pPr>
        <w:pStyle w:val="SourceNote"/>
      </w:pPr>
      <w:r>
        <w:rPr>
          <w:b/>
        </w:rPr>
        <w:t>Available abstract (not full text):</w:t>
      </w:r>
      <w:r>
        <w:t xml:space="preserve"> PURPOSE: Trabecular bone score (TBS) is a grey-level textural measurement acquired from dual-energy X-ray absorptiometry lumbar spine images and is a validated index of bone microarchitecture. In 2015, a Working Group of the European Society on Clinical and Economic Aspects of Osteoporosis, Osteoarthritis and Musculoskeletal Diseases (ESCEO) published a review of the TBS literature, concluding that TBS predicts hip and major osteoporotic fracture, at least partly independent of bone mineral density (BMD) and clinical risk factors. It was also concluded that TBS is potentially amenable to change as a result of pharmacological therapy. Further evidence on the utility of TBS has since accumulated in both primary and secondary osteoporosis, and the introduction of FRAX and BMD T-score adjustment for TBS has accelerated adoption. This position paper therefore presents a review of the updated scientific literature and provides expert consensus statements and corresponding operational guidelines for the use of TBS. METHODS: An Expert Working Group was convened by the ESCEO and a systematic review of the evidence undertaken, with defined search strategies for four key topics with respect to the potential use of TBS: (1) fracture prediction in men and women; (2) initiating and monitoring treatment in postmenopausal osteoporosis; (3) fracture prediction in secondary osteoporosis; and (4)</w:t>
      </w:r>
    </w:p>
    <w:p>
      <w:pPr/>
      <w:r>
        <w:rPr>
          <w:b/>
        </w:rPr>
        <w:t>POSSIBLE 2021:</w:t>
      </w:r>
      <w:r>
        <w:t xml:space="preserve"> Barriers to ecological restoration in Europe: expert perspectives — https://doi.org/10.1111/rec.13346</w:t>
      </w:r>
    </w:p>
    <w:p>
      <w:pPr/>
      <w:r>
        <w:rPr>
          <w:b/>
        </w:rPr>
        <w:t>Shared claim-specific concepts:</w:t>
      </w:r>
      <w:r>
        <w:t xml:space="preserve"> experts, three, identified;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2019:</w:t>
      </w:r>
      <w:r>
        <w:t xml:space="preserve"> Determinants, consequences and potential solutions to poor adherence to anti-osteoporosis treatment: results of an expert group meeting organized by the European Society for Clinical and Economic Aspects of Osteoporosis, Osteoarthritis and Musculoskeletal Diseases (ESCEO) and the International Osteoporosis Foundation (IOF) — https://doi.org/10.1007/s00198-019-05104-5</w:t>
      </w:r>
    </w:p>
    <w:p>
      <w:pPr/>
      <w:r>
        <w:rPr>
          <w:b/>
        </w:rPr>
        <w:t>Shared claim-specific concepts:</w:t>
      </w:r>
      <w:r>
        <w:t xml:space="preserve"> organized, experts, each; EU scope visible. This is a provisional connection, not an outcome finding.</w:t>
      </w:r>
    </w:p>
    <w:p>
      <w:pPr>
        <w:pStyle w:val="SourceNote"/>
      </w:pPr>
      <w:r>
        <w:rPr>
          <w:b/>
        </w:rPr>
        <w:t>Available abstract (not full text):</w:t>
      </w:r>
      <w:r>
        <w:t xml:space="preserve"> Many patients at increased risk of fractures do not take their medication appropriately, resulting in a substantial decrease in the benefits of drug therapy. Improving medication adherence is urgently needed but remains laborious, given the numerous and multidimensional reasons for non-adherence, suggesting the need for measurement-guided, multifactorial and individualized solutions. INTRODUCTION: Poor adherence to medications is a major challenge in the treatment of osteoporosis. This paper aimed to provide an overview of the consequences, determinants and potential solutions to poor adherence and persistence to osteoporosis medication. METHODS: A working group was organized by the European Society on Clinical and Economic Aspects of Osteoporosis, Osteoarthritis and Musculoskeletal diseases (ESCEO) to review consequences, determinants and potential solutions to adherence and to make recommendations for practice and further research. A systematic literature review and a face-to-face experts meeting were undertaken. RESULTS: Medication non-adherence is associated with increased risk of fractures, leading to a substantial decrease in the clinical and economic benefits of drug therapy. Reasons for non-adherence are numerous and multidimensional for each patient, depending on the interplay of multiple factors, suggesting the need for multifactorial and individualized solutions. Few</w:t>
      </w:r>
    </w:p>
    <w:p>
      <w:pPr/>
      <w:r>
        <w:rPr>
          <w:b/>
        </w:rPr>
        <w:t>POSSIBLE 2019:</w:t>
      </w:r>
      <w:r>
        <w:t xml:space="preserve"> Brief Report on the 11th Meeting of the European Forum on Antiphospholipid Antibodies — https://doi.org/10.1007/s11926-019-0805-1</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The European Forum on Antiphospholipid Antibodies provides a multidisciplinary network of diverse experts with a common interest in antiphospholipid antibodies (aPL) and antiphospholipid syndrome (APS).Ten successful meetings have been organized since 1997 in different cities (Paris, Venice, Utrecht, London, Barcelona, Ljubljana, Marseille, Padua, Krakow, and Nancy), providing an excellent opportunity for European clinicians and scientists involved in the field of APS to meet and strengthen current and future collaborations.The 11th Meeting of the European Forum on Antiphospholipid Antibodies was held in the monumental Lambertus Church in Maastricht, The Netherlands, from September 25 to 26, 2018.The Forum brought together approximately 125 participants from 16 different countries, including the USA, Argentina, and Russia (Fig. 1).Participants with various scientific/medical backgrounds presented an update of their current research in the APS field and reached out to the European Forum for collaboration in new/ongoing projects.Lectures were not only innovative, but also followed by interesting discussions with the audience.This report summarizes the different scientific sessions of the meeting.The abstract book, as well as some of the presentations are available for educational purpose through the website https:// apsmaastricht.com.The current general coordinator of the Europea</w:t>
      </w:r>
    </w:p>
    <w:p>
      <w:pPr/>
      <w:r>
        <w:rPr>
          <w:b/>
        </w:rPr>
        <w:t>POSSIBLE 2019:</w:t>
      </w:r>
      <w:r>
        <w:t xml:space="preserve"> 28th European Vegetation Survey Meeting in Madrid: Vegetation Diversity and Global Change — https://doi.org/10.5209/mbot.65670</w:t>
      </w:r>
    </w:p>
    <w:p>
      <w:pPr/>
      <w:r>
        <w:rPr>
          <w:b/>
        </w:rPr>
        <w:t>Shared claim-specific concepts:</w:t>
      </w:r>
      <w:r>
        <w:t xml:space="preserve"> organized, experts, each, other, three; EU scope visible. This is a provisional connection, not an outcome finding.</w:t>
      </w:r>
    </w:p>
    <w:p>
      <w:pPr>
        <w:pStyle w:val="SourceNote"/>
      </w:pPr>
      <w:r>
        <w:rPr>
          <w:b/>
        </w:rPr>
        <w:t>Available abstract (not full text):</w:t>
      </w:r>
      <w:r>
        <w:t xml:space="preserve"> The twenty-eighth annual meeting of the European Vegetation Survey has been held in Madrid from September 2 to 6 at the School of Pharmacy (Complutense University) with the title 'Vegetation Diversity and Global Change'.European Vegetation Survey is a working group of IAVS (International Association of Vegetation Science) born in 1992 as a new initiative related to the European Habitats Directive (Bulletin of the European Communities) which urged member countries to conserve their most significant natural spaces.That directive led the countries to work in the preparation of detailed cartographies of its vegetation and the creation of Natura 2000 Network, which included the most important "natural vegetation units" of each country and provided them with special protection.More than 160 experts from 25 countries has attended it.The Department of Pharmacology, Pharmacognosy and Botany has organized this event for the first time in Madrid.Traditionally Pharmacy has been considered as guarantor of environmental health and its relationships with the Official Professional Pharmaceutical College of Madrid has resulted in sponsoring the congress, and count on the presence of its president, Luis González Díaz in the Opening Ceremony, together with the vice-dean of the Faculty, Manuel Córdoba on behalf of the Dean Irene Iglesias, the general secretary of EVS (European Vegetation Survey) M</w:t>
      </w:r>
    </w:p>
    <w:p>
      <w:pPr/>
      <w:r>
        <w:rPr>
          <w:b/>
        </w:rPr>
        <w:t>POSSIBLE 2019:</w:t>
      </w:r>
      <w:r>
        <w:t xml:space="preserve"> Final Report of the Fifth Meeting of Scientific Experts on Fish Stocks in the Central Arctic Ocean — https://openalex.org/W3138443630</w:t>
      </w:r>
    </w:p>
    <w:p>
      <w:pPr/>
      <w:r>
        <w:rPr>
          <w:b/>
        </w:rPr>
        <w:t>Shared claim-specific concepts:</w:t>
      </w:r>
      <w:r>
        <w:t xml:space="preserve"> organized, experts, other, possible, four; EU scope visible. This is a provisional connection, not an outcome finding.</w:t>
      </w:r>
    </w:p>
    <w:p>
      <w:pPr>
        <w:pStyle w:val="SourceNote"/>
      </w:pPr>
      <w:r>
        <w:rPr>
          <w:b/>
        </w:rPr>
        <w:t>Available abstract (not full text):</w:t>
      </w:r>
      <w:r>
        <w:t xml:space="preserve"> This report provides a summary of the 5th meeting of scientific experts on Fish Stocks in the Central \nArctic Ocean (FiSCAO) on October 24‐26, 2017, in Ottawa, Canada. \nAt the request of the 10 parties negotiating on an agreement to prevent unregulated commercial fishing \nin the High Seas portion of the Central Arctic Ocean (CAO), participants of the 5th FiSCAO meeting were \ntasked with addressing four Terms of Reference, summarized below: \n ToR 1. Design a 1‐3 year long mapping program. \n ToR 2. Design a monitoring program. \n ToR 3. Identify human, financial, vessel/equipment resources needed for mapping and \nmonitoring. \n ToR 4. Develop data collection, sharing, and hosting protocols that outline the details of what \nand how data shall be collected, shared, and hosted for consideration by the Parties. \nThe 5th FiSCAO meeting included scientific representatives from seven states including Canada, the \nPeople's Republic of China, the European Union, Iceland, the Republic of Korea, the Kingdom of Norway \nand the United States of America. The meeting also included representatives from the International \nCouncil for the Exploration of the Sea (ICES), the North Pacific Marine Science Organization (PICES) and \nthe Arctic Council’s Protection of the Arctic Marine Environment (PAME) and Conservation of Arctic \nFlora and Fauna (CAFF) working groups. \nThe report sum</w:t>
      </w:r>
    </w:p>
    <w:p>
      <w:pPr>
        <w:pStyle w:val="Heading2"/>
      </w:pPr>
      <w:r>
        <w:t>720.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2021:</w:t>
      </w:r>
      <w:r>
        <w:t xml:space="preserve"> Extreme windstorms and sting jets in convection-permitting climate simulations over Europe — https://doi.org/10.1007/s00382-021-06011-4</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Extra-tropical windstorms are one of the costliest natural hazards affecting Europe, and windstorms that develop a sting-jet are extremely damaging. A sting-jet is a mesoscale core of very high wind speeds that occurs in Shapiro-Keyser type cyclones, and high-resolution models are required to adequately model sting-jets. Here, we develop a low-cost methodology to automatically detect sting jets, using the characteristic warm seclusion of Shapiro-Keyser cyclones and the slantwise descent of high wind speeds, within pan-European 2.2km convection-permitting climate model (CPM) simulations over Europe. The representation of wind gusts is improved with respect to ERA-Interim reanalysis data compared to observations; this is linked to better representation of cold conveyor belts and sting-jets in the CPM. Our analysis indicates that Shapiro-Keyser cyclones, and those that develop sting-jets, are the most damaging windstorms in present and future climates. The frequency of extreme windstorms is projected to increase by 2100 and a large contribution comes from sting-jet storms. Furthermore, extreme wind speeds and their future changes are underestimated in the GCM compared to the CPM. We conclude that the CPM adds value in the representation of extreme winds and surface wind gusts and can provide improved input for impact models compared to coarser resolution models.</w:t>
      </w:r>
    </w:p>
    <w:p>
      <w:pPr/>
      <w:r>
        <w:rPr>
          <w:b/>
        </w:rPr>
        <w:t>POSSIBLE 2021:</w:t>
      </w:r>
      <w:r>
        <w:t xml:space="preserve"> Experimental validation of an integrated modelling approach to neutron emission studies at JET — https://doi.org/10.1088/1741-4326/ac3021</w:t>
      </w:r>
    </w:p>
    <w:p>
      <w:pPr/>
      <w:r>
        <w:rPr>
          <w:b/>
        </w:rPr>
        <w:t>Shared claim-specific concepts:</w:t>
      </w:r>
      <w:r>
        <w:t xml:space="preserve"> jet, several, characteristics; EU scope not established. This is a provisional connection, not an outcome finding.</w:t>
      </w:r>
    </w:p>
    <w:p>
      <w:pPr>
        <w:pStyle w:val="SourceNote"/>
      </w:pPr>
      <w:r>
        <w:rPr>
          <w:b/>
        </w:rPr>
        <w:t>Available abstract (not full text):</w:t>
      </w:r>
      <w:r>
        <w:t xml:space="preserve"> An integrated modelling methodology for the calculation of realistic plasma neutron sources for the JET tokamak has been developed. The computational chain comprises TRANSP plasma transport and DRESS neutron spectrum calculations, and their coupling to the MCNP neutron transport code, bridging plasma physics and neutronics. In the paper we apply the developed methodology to the analysis of neutron emission properties of deuterium and helium plasmas at JET, and validate individual modelling steps against neutron diagnostic measurements. Two types of JET discharges are modelled—baseline-like and three-ion radio-frequency scenarios—due to their diversity in plasma heating, characteristics of the induced fast ion population, and the imprint of these on neutron emission properties. The neutron emission modelling results are quantitatively compared to the total neutron yield from fission chambers, neutron emissivity profiles from the neutron camera, neutron spectra from the time-of-flight spectrometer, and neutron activation measurements. The agreement between measured and calculated quantities is found to be satisfactory for all four diagnostic systems within the estimated experimental and computational uncertainties. Additionally, the effect of neutrons not originating from the dominating D(D, n) 3 He reactions is studied through modelling of triton burnup DT neutrons, and, in mixe</w:t>
      </w:r>
    </w:p>
    <w:p>
      <w:pPr/>
      <w:r>
        <w:rPr>
          <w:b/>
        </w:rPr>
        <w:t>POSSIBLE 2020:</w:t>
      </w:r>
      <w:r>
        <w:t xml:space="preserve"> Drivers of the Northern Extratropical Eddy‐Driven Jet Change in CMIP5 and CMIP6 Models — https://doi.org/10.1029/2019gl086695</w:t>
      </w:r>
    </w:p>
    <w:p>
      <w:pPr/>
      <w:r>
        <w:rPr>
          <w:b/>
        </w:rPr>
        <w:t>Shared claim-specific concepts:</w:t>
      </w:r>
      <w:r>
        <w:t xml:space="preserve"> jet, over, northern; EU scope visible. This is a provisional connection, not an outcome finding.</w:t>
      </w:r>
    </w:p>
    <w:p>
      <w:pPr>
        <w:pStyle w:val="SourceNote"/>
      </w:pPr>
      <w:r>
        <w:rPr>
          <w:b/>
        </w:rPr>
        <w:t>Available abstract (not full text):</w:t>
      </w:r>
      <w:r>
        <w:t xml:space="preserve"> Abstract The wintertime midlatitude atmospheric circulation is evaluated in CMIP6 models. The biases have been reduced since CMIP5 although the low‐level flow is still too zonal. CMIP5 and CMIP6 projections of 850 hPa zonal wind are then analyzed and are consistent under the RCP8.5 and the SSP5–8.5 scenarios, respectively. A poleward shift is identified in the Pacific, while a tripole structure is found in the North Atlantic: The zonal wind strengthens over Western Europe and decreases north and south. A multiple linear regression allows us to quantify the contribution of different drivers to the intermodel spread in zonal wind projections. It supports the importance of projected tropical warming and changes in the stratospheric vortex but also suggests a contribution of the asymmetry in the projected surface warming of the equatorial Pacific and of the present‐day biases in the eddy‐driven jet position. The North Atlantic warming hole plays a weaker role.</w:t>
      </w:r>
    </w:p>
    <w:p>
      <w:pPr/>
      <w:r>
        <w:rPr>
          <w:b/>
        </w:rPr>
        <w:t>POSSIBLE 2019:</w:t>
      </w:r>
      <w:r>
        <w:t xml:space="preserve"> Jet production in charged-current deep-inelastic scattering to third order in QCD — https://doi.org/10.1016/j.physletb.2019.03.003</w:t>
      </w:r>
    </w:p>
    <w:p>
      <w:pPr/>
      <w:r>
        <w:rPr>
          <w:b/>
        </w:rPr>
        <w:t>Shared claim-specific concepts:</w:t>
      </w:r>
      <w:r>
        <w:t xml:space="preserve"> third, jet; EU scope not established. This is a provisional connection, not an outcome finding.</w:t>
      </w:r>
    </w:p>
    <w:p>
      <w:pPr>
        <w:pStyle w:val="SourceNote"/>
      </w:pPr>
      <w:r>
        <w:rPr>
          <w:b/>
        </w:rPr>
        <w:t>Available abstract (not full text):</w:t>
      </w:r>
      <w:r>
        <w:t xml:space="preserve"> The production of jets in charged-current deep-inelastic scattering (CC DIS) probes simultaneously the strong and the electroweak sectors of the Standard Model ; its measurement provides important information on the quark flavour structure of the proton. We compute third-order ( N 3 LO ) perturbative QCD corrections to this process, fully differential in the jet and lepton kinematics. We observe a substantial reduction in the theory uncertainty, to sub-percent level throughout the relevant kinematical range, thus enabling precision phenomenology with jet observables.</w:t>
      </w:r>
    </w:p>
    <w:p>
      <w:pPr/>
      <w:r>
        <w:rPr>
          <w:b/>
        </w:rPr>
        <w:t>POSSIBLE 2019:</w:t>
      </w:r>
      <w:r>
        <w:t xml:space="preserve"> Erosion, screening, and migration of tungsten in the JET divertor — https://doi.org/10.1088/1741-4326/ab2aef</w:t>
      </w:r>
    </w:p>
    <w:p>
      <w:pPr/>
      <w:r>
        <w:rPr>
          <w:b/>
        </w:rPr>
        <w:t>Shared claim-specific concepts:</w:t>
      </w:r>
      <w:r>
        <w:t xml:space="preserve"> jet, over, large; EU scope not established. This is a provisional connection, not an outcome finding.</w:t>
      </w:r>
    </w:p>
    <w:p>
      <w:pPr>
        <w:pStyle w:val="SourceNote"/>
      </w:pPr>
      <w:r>
        <w:rPr>
          <w:b/>
        </w:rPr>
        <w:t>Available abstract (not full text):</w:t>
      </w:r>
      <w:r>
        <w:t xml:space="preserve"> The erosion of tungsten (W), induced by the bombardment of plasma and impurity particles, determines the lifetime of plasma-facing components as well as impacting on plasma performance by the influx of W into the confined region. The screening of W by the divertor and the transport of W in the plasma determines largely the W content in the plasma core, but the W source strength itself has a vital impact on this process. The JET tokamak experiment provides access to a large set of W erosion-determining parameters and permits a detailed description of the W source in the divertor closest to the ITER one: (i) effective sputtering yields and fluxes as function of impact energy of intrinsic (Be, C) and extrinsic (Ne, N) impurities as well as hydrogenic isotopes (H, D) are determined and predictions for the tritium (T) isotope are made. This includes the quantification of intra- and inter-edge localised mode (ELM) contributions to the total W source in H-mode plasmas which vary owing to the complex flux compositions and energy distributions in the corresponding phases. The sputtering threshold behaviour and the spectroscopic composition analysis provides an insight in the dominating species and plasma phases causing W erosion. (ii) The interplay between the net and gross W erosion source is discussed considering (prompt) re-deposition, thus, the immediate return of W ions back to the</w:t>
      </w:r>
    </w:p>
    <w:p>
      <w:pPr>
        <w:pStyle w:val="Heading2"/>
      </w:pPr>
      <w:r>
        <w:t>721.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r>
        <w:rPr>
          <w:b/>
        </w:rPr>
        <w:t>POSSIBLE 2021:</w:t>
      </w:r>
      <w:r>
        <w:t xml:space="preserve"> Childhood overweight and obesity in Europe: Changes from 2007 to 2017 — https://doi.org/10.1111/obr.13226</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The Childhood Obesity Surveillance Initiative (COSI) routinely measures height and weight of primary school children aged 6-9 years and calculates overweight and obesity prevalence within the World Health Organization (WHO) European Region using a standard methodology. This study examines the trends in the prevalence of overweight and obesity from the first round of COSI carried out in 2007/2008 to the latest of 2015/2017 in 11 European countries in which data were collected for at least three rounds. In total 303,155 children were measured. In general, the prevalence of overweight and obesity among boys and girls decreased in countries with high prevalence (Southern Europe) and remained stable or slightly increased in Northern European and Eastern European countries included in the analysis. Among boys, the highest decrease in overweight (including obesity) was observed in Portugal (from 40.5% in 2007/2008 to 28.4 in 2015/2017) and in Greece for obesity (from 30.5% in 2009/2010 to 21.7% in 2015/2017). Lithuania recorded the strongest increase in the proportion of boys with overweight (from 24.8% to 28.5%) and obesity (from 9.4% to 12.2%). The trends were similar for boys and girls in most countries. Several countries in Europe have successfully implemented policies and interventions to counteract the increase of overweight and obesity, but there is still much to be done.</w:t>
      </w:r>
    </w:p>
    <w:p>
      <w:pPr/>
      <w:r>
        <w:rPr>
          <w:b/>
        </w:rPr>
        <w:t>POSSIBLE 2020:</w:t>
      </w:r>
      <w:r>
        <w:t xml:space="preserve"> Obesity Prevalence in the Long-Term Future in 18 European Countries and in the USA — https://doi.org/10.1159/000511023</w:t>
      </w:r>
    </w:p>
    <w:p>
      <w:pPr/>
      <w:r>
        <w:rPr>
          <w:b/>
        </w:rPr>
        <w:t>Shared claim-specific concepts:</w:t>
      </w:r>
      <w:r>
        <w:t xml:space="preserve"> prevalence, obesity, expected; EU scope visible. This is a provisional connection, not an outcome finding.</w:t>
      </w:r>
    </w:p>
    <w:p>
      <w:pPr>
        <w:pStyle w:val="SourceNote"/>
      </w:pPr>
      <w:r>
        <w:rPr>
          <w:b/>
        </w:rPr>
        <w:t>Available abstract (not full text):</w:t>
      </w:r>
      <w:r>
        <w:t xml:space="preserve"> INTRODUCTION: Obesity constitutes a major public health problem in Europe, but how the obesity epidemic in European countries will evolve remains unknown. Most previous obesity projections considered the short-term future only, focused on single non-European countries, and projected ongoing increases foremost. We comparatively project obesity prevalence into the long-term future for 18 European countries and the USA. DATA: We used national age-specific (20-84 years) and sex-specific obesity prevalence estimates (1975-2016) from the NCD Risk Factor Collaboration (NCD-RisC) 2017 study, which are based on available measured height and weight data, supplemented with estimates from a Bayesian hierarchical model. METHODS: We projected age- and sex-specific obesity prevalence up to the year 2100 by integrating the notion of a wave-shaped obesity epidemic into conventional age-period projections. RESULTS: In 1990-2016, the increasing trends in obesity prevalence were decelerating. Obesity is expected to reach maximum levels between 2030 and 2052 among men, and between 2026 and 2054 among women. The maximum levels will likely be reached first in The Netherlands, USA, and UK, and last in Switzerland; and are expected to be highest in the USA and UK, and lowest in The Netherlands for men and Denmark for women. In 2060, obesity prevalence is expected to be lowest among Dutch men and highes</w:t>
      </w:r>
    </w:p>
    <w:p>
      <w:pPr/>
      <w:r>
        <w:rPr>
          <w:b/>
        </w:rPr>
        <w:t>POSSIBLE 2020:</w:t>
      </w:r>
      <w:r>
        <w:t xml:space="preserve"> Obesity ‑ a risk factor for increased COVID‑19 prevalence, severity and lethality (Review) — https://doi.org/10.3892/mmr.2020.11127</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Coronaviruses (CoVs), enveloped positive-sense RNA viruses, are a group of viruses that cause infections in the human respiratory tract, which can be characterized clinically from mild to fatal. The severe acute respiratory syndrome coronavirus 2 (SARS‑CoV‑2) is the virus responsible. The global spread of COVID‑19 can be described as the worst pandemic in humanity in the last century. To date, COVID‑19 has infected more than 3,000,000 people worldwide and killed more than 200,000 people. All age groups can be infected from the virus, but more serious symptoms that can possibly result in death are observed in older people and those with underlying medical conditions such as cardiovascular and pulmonary disease. Novel data report more severe symptoms and even a negative prognosis for the obese patients. A growing body of evidence connects obesity with COVID‑19 and a number of mechanisms from immune system activity attenuation to chronic inflammation are implicated. Lipid peroxidation creates reactive lipid aldehydes which in a patient with metabolic disorder and COVID‑19 will affect its prognosis. Finally, pregnancy‑associated obesity needs to be studied further in connection to COVID‑19 as this infection could pose high risk both to pregnant women and the fetus.</w:t>
      </w:r>
    </w:p>
    <w:p>
      <w:pPr/>
      <w:r>
        <w:rPr>
          <w:b/>
        </w:rPr>
        <w:t>POSSIBLE 2020:</w:t>
      </w:r>
      <w:r>
        <w:t xml:space="preserve"> The combined impact of smoking, obesity and alcohol on life-expectancy trends in Europe — https://doi.org/10.1093/ije/dyaa273</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Smoking, obesity and alcohol abuse greatly affect mortality and exhibit a distinct time dynamic, with their prevalence and associated mortality rates increasing and (eventually) declining over time. Their combined impact on secular trends in life expectancy is unknown but is relevant for understanding these trends. We therefore estimate the combined impact of smoking, obesity and alcohol on life-expectancy trends in Europe. METHODS: We used estimated national age-specific smoking-, obesity- and alcohol-attributable mortality fractions for 30 European countries by sex, 1990-2014, which we aggregated multiplicatively to obtain lifestyle-attributable mortality. We estimated potential gains in life expectancy by eliminating lifestyle-attributable mortality and compared past trends in life expectancy at birth (e0) with and without lifestyle-attributable mortality. We examined all countries combined, by region and individually. RESULTS: Among men, the combined impact of smoking, obesity and alcohol on e0 declined from 6.6 years in 1990 to 5.8 years in 2014, mainly due to declining smoking-attributable mortality. Among women, the combined impact increased from 1.9 to 2.3 years due to mortality increases in all three lifestyle-related factors. The observed increase in e0 over the 1990-2014 period was 5.0 years for men and 4.0 years for women. After excluding lifestyle-attri</w:t>
      </w:r>
    </w:p>
    <w:p>
      <w:pPr/>
      <w:r>
        <w:rPr>
          <w:b/>
        </w:rPr>
        <w:t>POSSIBLE 2019:</w:t>
      </w:r>
      <w:r>
        <w:t xml:space="preserve"> Prevalence of prediabetes and type 2 diabetes in children with obesity and increased transaminases in European German‐speaking countries. Analysis of the APV initiative — https://doi.org/10.1111/ijpo.12601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Non-alcoholic fatty liver disease (NAFLD), prediabetes and type 2 diabetes mellitus are known to be closely linked with obesity as early as during childhood. OBJECTIVES: The study aimed to determine the prevalence of prediabetes and T2DM in children with obesity with or without increased transaminases. METHODS: Data from the observational multicentre (n = 51), cross-sectional Adipositas Patienten Verlaufsbeobachtung registry were analyzed. Mild increase (mild group) was defined by alanine transaminase (ALT) &gt;24 to ≤50 U/L and moderate to severe increase (advanced group) by ALT &gt; 50 U/L. Prediabetes and T2DM were defined according to recent IDF/ISPAD guidelines. RESULTS: The prevalence of prediabetes and T2DM was 11.9% (95% CI: 11.0-12.8) and 1.4% (95% CI: 1.1-1.7) among all participants (n = 4932; male = 2481; mean age 12.9 ± 2.7 years; BMI-SDS 2.1 ± 0.5; Tanner stage 3.2 ± 1.5). The prevalence of impaired glucose metabolism (prediabetes and T2DM) was 13.8% (95% CI: 12.1-15.4) in the mild, 21.9% (95% CI: 18.8-25.1) in the advanced group, 10.7% (95% CI: 9.4-11.9) in the control group. Mild and advanced groups had greater odds ratios for prediabetes [1.42; 95% CI: 1.17-1.72, 2.26-fold; (1.78-2.86), respectively], the advanced group also for T2DM [2.39 (1.36-4.21)] compared to controls. While an increase in transaminases predominantly affected boys, girls within the ad</w:t>
      </w:r>
    </w:p>
    <w:p>
      <w:pPr/>
      <w:r>
        <w:rPr>
          <w:b/>
        </w:rPr>
        <w:t>POSSIBLE 2019:</w:t>
      </w:r>
      <w:r>
        <w:t xml:space="preserve"> Prevalence and Trends of Overweight and Obesity in European Children From 1999 to 2016 — https://doi.org/10.1001/jamapediatrics.2019.2430</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IMPORTANCE: Studies of trends in excess weight among European children throughout the last few decades have rendered mixed results. Additionally, some studies were outdated, were based on self-reported weight and height, or included only a few European countries. OBJECTIVE: To assess prevalence trends in measured overweight and obesity among children across Europe from 1999 to 2016 using a systematic methodology. DATA SOURCES: MEDLINE, Embase, CINAHL, and Web of Science were searched from their inception until May 2018. Moreover, searches were conducted on health institutions' websites to identify studies not published in scientific journals. STUDY SELECTION: The inclusion criteria were: (1) studies reporting the population-based prevalence of excess weight (overweight plus obesity) or obesity according to body mass index cutoffs proposed by the International Obesity Task Force; (2) cross-sectional or follow-up studies; and (3) studies including populations aged 2 to 13 years. DATA EXTRACTION AND SYNTHESIS: Literature review and data extraction followed established guidelines. The Mantel-Haenszel method was used to compute the pooled prevalence estimates and their 95% CI whenever there was no evidence of heterogeneity (I2 &lt; 50%); otherwise, the DerSimonian and Laird random-effects method was used. Subgroup analyses by study year, country, or European region (Atlantic, Iberian, </w:t>
      </w:r>
    </w:p>
    <w:p>
      <w:pPr>
        <w:pStyle w:val="Heading2"/>
      </w:pPr>
      <w:r>
        <w:t>722.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pStyle w:val="Heading2"/>
      </w:pPr>
      <w:r>
        <w:t>723.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2024:</w:t>
      </w:r>
      <w:r>
        <w:t xml:space="preserve"> The City of Medan: the Emergence of an Urban Centre — https://doi.org/10.1163/9789004716186_004</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emergence of urban heat traps and human mobility in 20 US cities — https://doi.org/10.1038/s42949-024-00142-3</w:t>
      </w:r>
    </w:p>
    <w:p>
      <w:pPr/>
      <w:r>
        <w:rPr>
          <w:b/>
        </w:rPr>
        <w:t>Shared claim-specific concepts:</w:t>
      </w:r>
      <w:r>
        <w:t xml:space="preserve"> emergence, urban, small; EU scope not established. This is a provisional connection, not an outcome finding.</w:t>
      </w:r>
    </w:p>
    <w:p>
      <w:pPr>
        <w:pStyle w:val="SourceNote"/>
      </w:pPr>
      <w:r>
        <w:rPr>
          <w:b/>
        </w:rPr>
        <w:t>Available abstract (not full text):</w:t>
      </w:r>
      <w:r>
        <w:t xml:space="preserve"> Abstract Understanding the relationship between spatial structures of cities and environmental hazard exposures is essential for urban health and sustainability planning. However, a critical knowledge gap exists in terms of the extent to which socio-spatial networks shaped by human mobility exacerbate or alleviate urban heat exposures of populations in cities. In this study, we utilize location-based data to construct human mobility networks in twenty metropolitan areas in the U.S. The human mobility networks are analyzed in conjunction with the urban heat characteristics of spatial areas. We identify areas with high and low urban heat exposure and evaluate visitation patterns of populations residing in high and low urban heat areas to other spatial areas with similar and dissimilar urban heat exposure. The results reveal the presence of urban heat traps in the majority of the studied metropolitan areas, wherein populations residing in high-heat exposure areas primarily visited other high-heat exposure zones. Specifically, cities such as Los Angeles, Boston, and Chicago were particularly pronounced as urban heat traps. The results also show a small percentage of human mobility to produce urban heat escalation and heat escapes. The findings from this study provide a better understanding of urban heat exposure in cities based on patterns of human mobility. These findings contribu</w:t>
      </w:r>
    </w:p>
    <w:p>
      <w:pPr/>
      <w:r>
        <w:rPr>
          <w:b/>
        </w:rPr>
        <w:t>POSSIBLE 2024:</w:t>
      </w:r>
      <w:r>
        <w:t xml:space="preserve"> SOCIAL INNOVATION EMERGENCE IN A CONGOLESE URBAN TERRITORY WITH A PEASANT LIFESTYLETO A SMART CITY — https://doi.org/10.33564/ijeast.2024.v09i04.022</w:t>
      </w:r>
    </w:p>
    <w:p>
      <w:pPr/>
      <w:r>
        <w:rPr>
          <w:b/>
        </w:rPr>
        <w:t>Shared claim-specific concepts:</w:t>
      </w:r>
      <w:r>
        <w:t xml:space="preserve"> emergence, urban, city, local; EU scope not established. This is a provisional connection, not an outcome finding.</w:t>
      </w:r>
    </w:p>
    <w:p>
      <w:pPr>
        <w:pStyle w:val="SourceNote"/>
      </w:pPr>
      <w:r>
        <w:rPr>
          <w:b/>
        </w:rPr>
        <w:t>Available abstract (not full text):</w:t>
      </w:r>
      <w:r>
        <w:t xml:space="preserve"> The study deals with the local governance of an African city with a peasant lifestyle, likely to transition towards a smart, truly urban city. To resolve the problem of managing the still latent emergence of social innovation in southern countries, the study hypothesizes that these urban agglomerations will only be able to see their development come through social innovations, in the extent that the knowledge of the populations concerned is at the service of public power through participatory democracy. The study proposes the revision of the place reserved for the resident in the management of the city and a model of participatory democracy in a co-creation approach.</w:t>
      </w:r>
    </w:p>
    <w:p>
      <w:pPr/>
      <w:r>
        <w:rPr>
          <w:b/>
        </w:rPr>
        <w:t>POSSIBLE 2024:</w:t>
      </w:r>
      <w:r>
        <w:t xml:space="preserve"> THE EMERGENCE OF SECONDARY URBAN CENTERS OR THE WITHDRAWAL OF URBAN CENTRALITY TO THE SUBURBS: A CASE STUDY OF THE CITY OF TÉBESSA IN THE FAR EAST OF ALGERIA — https://doi.org/10.31435/ijitss.4(44).2024.3041</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Major Algerian cities have witnessed significant dynamics, causing radical functional transformations that impacted city centers and their suburbs, leading to changes in the traditional image of cities. This resulted in a new distribution of urban functions and a redefinition of the concept of "space." Consequently, the current expansion and extension of cities' urban structure has encouraged a new relationship between the center and suburb, where new points of attraction have emerged on the "margins and suburbs," resulting in "**new centralities**" that caused major transformations affecting urban communities, spaces, and functions. The city of Tébessa, like other cities and being a border city and transit area to the Tunisian border, has experienced a new form of urban spaces. It previously had a traditional urban centrality around the Byzantine wall, one of the city's landmarks, which dominated for a long time as a central point over the rest of the urban space (the center). However, in recent years, it has undergone major transformations, characterized by strong attraction of functions, activities, and services, especially commercial activity in some city neighborhoods such as Skanska district, Constantine Road district, and Annaba Road district, in addition to “La Rocade” district, which plays a fundamental role in drawing a new image of centralities within Tébessa city at</w:t>
      </w:r>
    </w:p>
    <w:p>
      <w:pPr/>
      <w:r>
        <w:rPr>
          <w:b/>
        </w:rPr>
        <w:t>POSSIBLE 2022:</w:t>
      </w:r>
      <w:r>
        <w:t xml:space="preserve"> The emergence of a new urban proximity-based morphology: the 15-minute city and the smart city — https://doi.org/10.4337/9781803926803.00012</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The COVID-19 pandemic exposed the numerous socioeconomic challenges and disparities that exists globally, and more so in the cities, prompting a need to re-think the existing urban models, and the regeneration approaches that could be initiated to mitigate or correct the underlying problems. In the height of those dilemma, the '15-Minute City' concept has emerged as a potential planning pathway that could be adopted in cities to address the gaps on the social, economic and urban health issues that have been exposed, and which have led to the widespread of this pandemic. While this concept majorly advocates for a change in urban morphology, it could have massive potential especially if anchored on the Smart Cities networks and strongholds. This chapter seek to explore how this concept can become a success especially by incorporating some of the aspects of the Smart City networks and technologies, in reinforcing the social dimension which this model inherently advocate.</w:t>
      </w:r>
    </w:p>
    <w:p>
      <w:pPr/>
      <w:r>
        <w:rPr>
          <w:b/>
        </w:rPr>
        <w:t>POSSIBLE 2021:</w:t>
      </w:r>
      <w:r>
        <w:t xml:space="preserve"> Digital transformation of urban governance in China: The emergence and evolution of smart cities — https://doi.org/10.38044/2686-9136-2021-2-1-29-47</w:t>
      </w:r>
    </w:p>
    <w:p>
      <w:pPr/>
      <w:r>
        <w:rPr>
          <w:b/>
        </w:rPr>
        <w:t>Shared claim-specific concepts:</w:t>
      </w:r>
      <w:r>
        <w:t xml:space="preserve"> emergence, urban, city, need, reviews; EU scope not established. This is a provisional connection, not an outcome finding.</w:t>
      </w:r>
    </w:p>
    <w:p>
      <w:pPr>
        <w:pStyle w:val="SourceNote"/>
      </w:pPr>
      <w:r>
        <w:rPr>
          <w:b/>
        </w:rPr>
        <w:t>Available abstract (not full text):</w:t>
      </w:r>
      <w:r>
        <w:t xml:space="preserve"> This research article contributes to the field of digital governance as it reviews the conceptual definition and practical application of “smart cities” in the context of urban development in China. By analyzing both firsthand interview data and secondary statistical and policy reports during the period between 2009 to 2019, we contend that the emergence of smart cities in China has evolved from a disorderly process to a more standardized one. During this process, cities made efforts to use digital technology — such as 5G, cloud computing, and the Internet of Things — in social governance, infrastructure, and industrial development. However, such rapid development also spawned a series of emerging legal issues, which had a huge impact on China’s legal system. The article seeks to holistically examine the discourse surrounding the concept of a “smart city” and its practical implementation by drawing attention to its promises as well as criticisms. The article also touches upon the challenges — such as “information islands” in construction, technology, and management — that confront the emerging smart cities, and emphasizes China’s need to further improve laws and regulations, build an integrated legal system, explore new regulation methods, shape a highly autonomous and refined governance order, and provide legal protection for the development of smart cities. The paper conclude</w:t>
      </w:r>
    </w:p>
    <w:p>
      <w:pPr/>
      <w:r>
        <w:rPr>
          <w:b/>
        </w:rPr>
        <w:t>POSSIBLE 2021:</w:t>
      </w:r>
      <w:r>
        <w:t xml:space="preserve"> The emergence of city food networks: Rescaling the impact of urban food policies — https://doi.org/10.1016/j.foodpol.2021.102107</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Hundreds of cities across the globe are mobilising the convening power of food to deliver food security and sustainability outcomes supported by an increasing number of national and international city food networks devoted to scale-up and out this urban food revolution. This paper presents the first comparative analysis of this increasingly networked urban foodscape based on data from 13 national and international initiatives which together represent more than 500 cities across the globe. By applying a translocal governance framework, the paper explores the different aims, structures and mechanisms activated by this complex landscape of networks and how these intrinsic characteristics endow them with diverse strengths and limitations. To examine further the role of networks in rescaling the impact urban food policies, I analyse the metagovernance of these initiatives exploring discourses around coordination of these networks and identifying potential convergence points. Results from this study are translated into policy recommendations aimed at unfolding further the transformative capacity of translocal networks and elevate their role in unfolding a more integrated and equitable new urban food agenda; mainly by proposing to reinforce the cross-scalar alignment of food policies, making the case to invest in connective infrastructure such as network and backbone organisations, wo</w:t>
      </w:r>
    </w:p>
    <w:p>
      <w:pPr/>
      <w:r>
        <w:rPr>
          <w:b/>
        </w:rPr>
        <w:t>POSSIBLE 2020:</w:t>
      </w:r>
      <w:r>
        <w:t xml:space="preserve"> Emergence and Structure of Urban Centralities in a Medium-Sized Historic City — https://doi.org/10.1177/2158244020930002</w:t>
      </w:r>
    </w:p>
    <w:p>
      <w:pPr/>
      <w:r>
        <w:rPr>
          <w:b/>
        </w:rPr>
        <w:t>Shared claim-specific concepts:</w:t>
      </w:r>
      <w:r>
        <w:t xml:space="preserve"> emergence, urban, city; EU scope visible. This is a provisional connection, not an outcome finding.</w:t>
      </w:r>
    </w:p>
    <w:p>
      <w:pPr>
        <w:pStyle w:val="SourceNote"/>
      </w:pPr>
      <w:r>
        <w:rPr>
          <w:b/>
        </w:rPr>
        <w:t>Available abstract (not full text):</w:t>
      </w:r>
      <w:r>
        <w:t xml:space="preserve"> Within the last 20 years, medium-sized cities in Portugal’s interior have been subject to a process of “desertification.” They have progressively lost in terms of economic activity, value and vitality, with the corresponding erosion of their heritage value. One exception to this general trend is the town of Évora. Of particular note is the vitality of its historic center (designated as a World Heritage Site in 1986) and the balance achieved between the center and a number of subcenters outside the walls. Here, urban centralities have proven to be an essential component of the urban structure in the fight against urban failure. This research project analyzes the relationship between town planning and the emergence of urban centralities. Historic towns are a very particular case, with subcenters emerging as a town grows and the historic center co-evolving with the entire urban area and surrounding urban centralities. The rise of centralities testifies to the vitality of the town. This article seeks to understand what factors have led to the balance of urban centralities in Évora by examining their structure and how they have emerged in the context of planning policies and urban growth. The methodology adopted crosses the results of three different approaches to highlight the emergence of urban centralities: identification and assessment of urban centralities, analysis of urban ar</w:t>
      </w:r>
    </w:p>
    <w:p>
      <w:pPr>
        <w:pStyle w:val="Heading2"/>
      </w:pPr>
      <w:r>
        <w:t>724.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2024:</w:t>
      </w:r>
      <w:r>
        <w:t xml:space="preserve"> Long-term daily water temperatures unveil escalating water warming and intensifying heatwaves in the Odra river Basin, Central Europe — https://doi.org/10.1016/j.gsf.2024.101916</w:t>
      </w:r>
    </w:p>
    <w:p>
      <w:pPr/>
      <w:r>
        <w:rPr>
          <w:b/>
        </w:rPr>
        <w:t>Shared claim-specific concepts:</w:t>
      </w:r>
      <w:r>
        <w:t xml:space="preserve"> long-term, temperature, central, ensemble, summer; EU scope visible. This is a provisional connection, not an outcome finding.</w:t>
      </w:r>
    </w:p>
    <w:p>
      <w:pPr>
        <w:pStyle w:val="SourceNote"/>
      </w:pPr>
      <w:r>
        <w:rPr>
          <w:b/>
        </w:rPr>
        <w:t>Available abstract (not full text):</w:t>
      </w:r>
      <w:r>
        <w:t xml:space="preserve"> Water temperature is a critical indicator and weathervane of aquatic ecosystems. However, the vast majority of rivers lack long-term continuous and complete water temperature datasets. In this study, ensemble models by combining NARX (nonlinear autoregressive network with exogenous inputs) and air2stream were used to reconstruct daily river water temperatures for 27 hydrological stations in the Odra River Basin, one of the largest river systems in Europe. For each hydrological station, both the NARX and air2stream models were calibrated and validated, and the better-performed model was selected to reconstruct daily river water temperatures from 1985 to 2022. The results showed that hybrid modeling by combining NARX and air2stream is promising for reconstructing daily river water temperatures. Based on the reconstructed dataset, annual and seasonal trends of water temperature and characteristics of river heatwaves were evaluated. The results indicated that annual river water temperatures showed a consistent warming trend over the past 40 years with an average warming rate of 0.315 °C/decade. Seasonal river water temperatures indicated that summer warms faster, followed by autumn and spring, and winter river water temperatures showed an insignificant warming trend. River heatwaves are increased in frequency, duration, and intensity in the Odra River Basin, and 6 out of 27 hydrolo</w:t>
      </w:r>
    </w:p>
    <w:p>
      <w:pPr/>
      <w:r>
        <w:rPr>
          <w:b/>
        </w:rPr>
        <w:t>POSSIBLE 2024:</w:t>
      </w:r>
      <w:r>
        <w:t xml:space="preserve"> Examining the Eastern European extreme summer temperatures of 2023 from a long-term perspective: the role of natural variability vs. anthropogenic factors — https://doi.org/10.5194/nhess-24-4683-2024</w:t>
      </w:r>
    </w:p>
    <w:p>
      <w:pPr/>
      <w:r>
        <w:rPr>
          <w:b/>
        </w:rPr>
        <w:t>Shared claim-specific concepts:</w:t>
      </w:r>
      <w:r>
        <w:t xml:space="preserve"> long-term, those, find, behavior, summer; EU scope visible. This is a provisional connection, not an outcome finding.</w:t>
      </w:r>
    </w:p>
    <w:p>
      <w:pPr>
        <w:pStyle w:val="SourceNote"/>
      </w:pPr>
      <w:r>
        <w:rPr>
          <w:b/>
        </w:rPr>
        <w:t>Available abstract (not full text):</w:t>
      </w:r>
      <w:r>
        <w:t xml:space="preserve"> Abstract. Amidst unprecedent rising global temperatures, this study investigates the historical context of heatwave (HW) events in Eastern Europe. The record-breaking 2023 summer, featuring a heatwave lasting for 19 days in the south-eastern part of Romania, extending up to Ukraine, necessitates a deeper understanding of past extreme events. Utilizing statistical methods on long-term station data spanning from 1885 to 2023, we aim to detect and analyze historical heatwaves, particularly focusing on events predating 1960. This extended timeframe allows for a more comprehensive assessment of noteworthy extremes compared to recent decades. Our analysis identifies two critical periods with increased heatwave frequency and intensity: 1920–1965 and 1980–2023, respectively, highlighting the most extreme events in August 1946, August 1952, July 2012, June 2019, and August 2023. Furthermore, reanalysis data shows that historical heatwaves, similar to the 2023 event, were associated with large-scale European heat extremes linked to high-pressure systems and they were accompanied by extreme drought, thus leading to compound extreme events. We find that while a clear trend emerges towards more frequent HWs from the 1980s onward, the analysis also uncovers substantial heatwave activity on daily timescales throughout the 1885–1960 period. Moreover, we highlight the intertwined impacts of cli</w:t>
      </w:r>
    </w:p>
    <w:p>
      <w:pPr/>
      <w:r>
        <w:rPr>
          <w:b/>
        </w:rPr>
        <w:t>POSSIBLE 2023:</w:t>
      </w:r>
      <w:r>
        <w:t xml:space="preserve"> Mixtures of long-term exposure to ambient air pollution, built environment and temperature and stroke incidence across Europe — https://doi.org/10.1016/j.envint.2023.108136</w:t>
      </w:r>
    </w:p>
    <w:p>
      <w:pPr/>
      <w:r>
        <w:rPr>
          <w:b/>
        </w:rPr>
        <w:t>Shared claim-specific concepts:</w:t>
      </w:r>
      <w:r>
        <w:t xml:space="preserve"> long-term, temperature, lower, until, end; EU scope visible. This is a provisional connection, not an outcome finding.</w:t>
      </w:r>
    </w:p>
    <w:p>
      <w:pPr>
        <w:pStyle w:val="SourceNote"/>
      </w:pPr>
      <w:r>
        <w:rPr>
          <w:b/>
        </w:rPr>
        <w:t>Available abstract (not full text):</w:t>
      </w:r>
      <w:r>
        <w:t xml:space="preserve"> The complex interplay of multiple environmental factors and cardiovascular has scarcely been studied. Within the EXPANSE project, we evaluated the association between long-term exposure to multiple environmental indices and stroke incidence across Europe. Participants from three traditional adult cohorts (Germany, Netherlands and Sweden) and four administrative cohorts (Catalonia [region Spain], Rome [city-wide], Greece and Sweden [nationwide]) were followed until incident stroke, death, migration, loss of follow-up or study end. We estimated exposures at residential addresses from different exposure domains: air pollution (nitrogen dioxide (NO2), particulate matter &lt;2.5μm (PM2.5), black carbon (BC), ozone), built environment (green/blue spaces, impervious surfaces) and meteorology (seasonal mean and standard deviation of temperatures). Associations between environmental exposures and stroke were estimated in single and multiple-exposure Cox proportional hazard models, and Principal Component (PC) Analyses derived prototypes for specific exposures domains. We carried out random effects meta-analyses by cohort type. In over 15 million participants, increased levels of NO2 and BC were associated with increased higher stroke incidence in both cohort types. Increased Normalized Difference Vegetation Index (NDVI) was associated with a lower stroke incidence in both cohort types, whe</w:t>
      </w:r>
    </w:p>
    <w:p>
      <w:pPr/>
      <w:r>
        <w:rPr>
          <w:b/>
        </w:rPr>
        <w:t>POSSIBLE 2022:</w:t>
      </w:r>
      <w:r>
        <w:t xml:space="preserve"> Trends in intraseasonal temperature variability in Europe, 1961–2018 — https://doi.org/10.1002/joc.7645</w:t>
      </w:r>
    </w:p>
    <w:p>
      <w:pPr/>
      <w:r>
        <w:rPr>
          <w:b/>
        </w:rPr>
        <w:t>Shared claim-specific concepts:</w:t>
      </w:r>
      <w:r>
        <w:t xml:space="preserve"> suggest, temperature, central, summer; EU scope visible. This is a provisional connection, not an outcome finding.</w:t>
      </w:r>
    </w:p>
    <w:p>
      <w:pPr>
        <w:pStyle w:val="SourceNote"/>
      </w:pPr>
      <w:r>
        <w:rPr>
          <w:b/>
        </w:rPr>
        <w:t>Available abstract (not full text):</w:t>
      </w:r>
      <w:r>
        <w:t xml:space="preserve"> Abstract While long‐term changes in measures of central tendency of climate elements, that is, mean temperature, are well acknowledged, studies of trends in measures of their variability are much less common. This is despite the fact that trends in variability can have higher effect on climate extremes than trends in mean. Here, four measures of intraseasonal variability are examined: (a) standard deviation of mean daily temperature, (b) the range between the 90th and 10th quantile of mean daily temperature, (c) mean absolute value of day‐to‐day temperature change, and (d) one‐day lagged temporal autocorrelation. ECA&amp;D daily data from 168 stations and linear regression method are utilized to calculate trends of these characteristics in period from 1961 to 2018. Significant trends (positive and negative) are revealed with substantial differences between seasons, regions and measures. The most considerable decreases in temperature variability were recorded in winter, for temporal autocorrelation in eastern Europe and for variance‐based measures in northern Europe. For example, the standard deviation has decreased by more than 10% in the Arctic Ocean. This can indicate a decrease in the frequency of cold extremes in Scandinavia. On the contrary, increasing persistence may suggest a greater likelihood of cold extremes in the East European Plain. Increases in variability prevail onl</w:t>
      </w:r>
    </w:p>
    <w:p>
      <w:pPr/>
      <w:r>
        <w:rPr>
          <w:b/>
        </w:rPr>
        <w:t>POSSIBLE 2022:</w:t>
      </w:r>
      <w:r>
        <w:t xml:space="preserve"> Warming temperatures drive at least half of the magnitude of long-term trait changes in European birds — https://doi.org/10.1073/pnas.2105416119</w:t>
      </w:r>
    </w:p>
    <w:p>
      <w:pPr/>
      <w:r>
        <w:rPr>
          <w:b/>
        </w:rPr>
        <w:t>Shared claim-specific concepts:</w:t>
      </w:r>
      <w:r>
        <w:t xml:space="preserve"> long-term, temperature; EU scope visible. This is a provisional connection, not an outcome finding.</w:t>
      </w:r>
    </w:p>
    <w:p>
      <w:pPr>
        <w:pStyle w:val="SourceNote"/>
      </w:pPr>
      <w:r>
        <w:rPr>
          <w:b/>
        </w:rPr>
        <w:t>Available abstract (not full text):</w:t>
      </w:r>
      <w:r>
        <w:t xml:space="preserve"> SignificanceClimate change is impacting wild populations, but its relative importance compared to other causes of change is still unclear. Many studies assume that changes in traits primarily reflect effects of climate change, but this assumption is rarely tested. We show that in European birds global warming was likely the single most important contributor to temporal trends in laying date, body condition, and offspring number. However, nontemperature factors were also important and acted in the same direction, implying that attributing temporal trends solely to rising temperatures overestimates the impact of climate warming. Differences among species in the amount of trait change were predominantly determined by these nontemperature effects, suggesting that species differences are not due to variation in sensitivity to temperature.</w:t>
      </w:r>
    </w:p>
    <w:p>
      <w:pPr/>
      <w:r>
        <w:rPr>
          <w:b/>
        </w:rPr>
        <w:t>POSSIBLE 2022:</w:t>
      </w:r>
      <w:r>
        <w:t xml:space="preserve"> Long-term drought intensification over Europe driven by the weakening trend of the Atlantic Meridional Overturning Circulation — https://doi.org/10.1016/j.ejrh.2022.101176</w:t>
      </w:r>
    </w:p>
    <w:p>
      <w:pPr/>
      <w:r>
        <w:rPr>
          <w:b/>
        </w:rPr>
        <w:t>Shared claim-specific concepts:</w:t>
      </w:r>
      <w:r>
        <w:t xml:space="preserve"> suggest, long-term, temperature, central, projections, precipitation; EU scope visible. This is a provisional connection, not an outcome finding.</w:t>
      </w:r>
    </w:p>
    <w:p>
      <w:pPr>
        <w:pStyle w:val="SourceNote"/>
      </w:pPr>
      <w:r>
        <w:rPr>
          <w:b/>
        </w:rPr>
        <w:t>Available abstract (not full text):</w:t>
      </w:r>
      <w:r>
        <w:t xml:space="preserve"> Europe, with a particular focus on the Czech Republic, Poland, Spain, and Norway. Long-lasting droughts have become a semi-permanent feature of the European climate, especially over the last two decades. These prolonged droughts are usually driven by persistent sea surface temperature anomalies over the Pacific and Atlantic basins. By employing complex statistical methods (i.e., Canonical Correlation Analysis and Convergent Cross-Mapping) in this study we make a comprehensive assessment of the observed drying trend over the central and southern parts of Europe and its underlying drivers. Building upon the potential relationship between drought variability and large-scale oceanic and atmospheric circulation, we show that the observed drying trend in the central and southern parts of Europe has been driven by a long-term slowdown of the Atlantic Meridional Overturning Circulation (AMOC), via changes in the large-scale atmospheric circulation. A weakening of AMOC leads to an increase in the frequency of atmospheric-blocking like circulation over the central part of Europe, which in turn inhibits precipitation and favors long-term drying. Since climate projections indicate a slowdown of the AMOC in the future, we suggest that this will potentially lead to an increase in the frequency of dry years, especially over the central and southern parts of Europe (e.g., the eastern part of G</w:t>
      </w:r>
    </w:p>
    <w:p>
      <w:pPr/>
      <w:r>
        <w:rPr>
          <w:b/>
        </w:rPr>
        <w:t>POSSIBLE 2022:</w:t>
      </w:r>
      <w:r>
        <w:t xml:space="preserve"> Trends in intraseasonal temperature variability in Europe, 1961 - 2018 — https://doi.org/10.5194/ems2022-539</w:t>
      </w:r>
    </w:p>
    <w:p>
      <w:pPr/>
      <w:r>
        <w:rPr>
          <w:b/>
        </w:rPr>
        <w:t>Shared claim-specific concepts:</w:t>
      </w:r>
      <w:r>
        <w:t xml:space="preserve"> suggest, long-term, temperature, central, summer; EU scope visible. This is a provisional connection, not an outcome finding.</w:t>
      </w:r>
    </w:p>
    <w:p>
      <w:pPr>
        <w:pStyle w:val="SourceNote"/>
      </w:pPr>
      <w:r>
        <w:rPr>
          <w:b/>
        </w:rPr>
        <w:t>Available abstract (not full text):</w:t>
      </w:r>
      <w:r>
        <w:t xml:space="preserve"> While long-term changes in measures of central tendency of climate elements, that is, mean temperature, are well acknowledged, studies of trends in measures of their variability are much less common. This is despite the fact that trends in variability can have higher effect on climate extremes than trends in mean. Four measures of intraseasonal variability are examined: (a) standard deviation of mean daily temperature, (b) the range between the 90th and 10th quantile of mean daily temperature, (c) mean absolute value of day-to-day temperature change, and (d) one-day lagged temporal autocorrelation. ECA&amp;D daily data from 168 stations and linear regression method are utilized to calculate trends of these characteristics in period from 1961 to 2018. Significant trends (positive and negative) are revealed with substantial differences between seasons, regions and measures. The most considerable decreases in temperature variability were recorded in winter, for temporal autocorrelation in eastern Europe and for variance-based measures in northern Europe. For example, the standard deviation has decreased by more than 10% in the Arctic Ocean. This can indicate a decrease in the frequency of cold extremes in Scandinavia. On the contrary, increasing persistence may suggest a greater likelihood of cold extremes in the East European Plain in winter. Increases in variability prevail only in </w:t>
      </w:r>
    </w:p>
    <w:p>
      <w:pPr/>
      <w:r>
        <w:rPr>
          <w:b/>
        </w:rPr>
        <w:t>POSSIBLE 2021:</w:t>
      </w:r>
      <w:r>
        <w:t xml:space="preserve"> Microbial temperature adaptation across a European gradient — https://doi.org/10.5194/egusphere-egu21-4867</w:t>
      </w:r>
    </w:p>
    <w:p>
      <w:pPr/>
      <w:r>
        <w:rPr>
          <w:b/>
        </w:rPr>
        <w:t>Shared claim-specific concepts:</w:t>
      </w:r>
      <w:r>
        <w:t xml:space="preserve"> suggest, long-term, temperature; EU scope visible. This is a provisional connection, not an outcome finding.</w:t>
      </w:r>
    </w:p>
    <w:p>
      <w:pPr>
        <w:pStyle w:val="SourceNote"/>
      </w:pPr>
      <w:r>
        <w:rPr>
          <w:b/>
        </w:rPr>
        <w:t>Available abstract (not full text):</w:t>
      </w:r>
      <w:r>
        <w:t xml:space="preserve"> Temperature is one of the most important environmental factors controlling both microbial growth and respiration. Warmer temperatures accelerate the rate at which microorganisms respire. Therefore, it is expected that climate warming will induce losses of carbon to the atmosphere through soil microbial respiration, representing a positive feedback to climate warming. However, there are multiple gaps in our understanding on responses of microorganisms to warming. For instance, long-term experiments have shown that the increase in soil respiration found in warming experiments diminishes with time, recovering to ambient values. This suggests that soil C losses might not be as extensive as previously suggested. This can be due to substrate depletion or shifts in the microbial community composition that led to thermal adaptation. To test thermal adaptation of soil microbial communities to their climate, variation along latitudinal gradients is a useful context. Such geographical gradients have long-term and large temperature differences thus patterns in thermal adaptation should have had sufficient time for ecological and evolutionary processes to act, allowing us to test if soil microbial communities have adapted to thermal regimes. We investigated a latitudinal gradient across Europe with 76 sites that spanned a gradient of decadal mean annual temperature (MAT) from -3.1 to 18.3°C</w:t>
      </w:r>
    </w:p>
    <w:p>
      <w:pPr/>
      <w:r>
        <w:rPr>
          <w:b/>
        </w:rPr>
        <w:t>POSSIBLE 2020:</w:t>
      </w:r>
      <w:r>
        <w:t xml:space="preserve"> Middle Miocene long-term continental temperature change in and out of pace with marine climate records — https://doi.org/10.1038/s41598-020-64743-5</w:t>
      </w:r>
    </w:p>
    <w:p>
      <w:pPr/>
      <w:r>
        <w:rPr>
          <w:b/>
        </w:rPr>
        <w:t>Shared claim-specific concepts:</w:t>
      </w:r>
      <w:r>
        <w:t xml:space="preserve"> suggest, long-term, temperature, central; EU scope visible. This is a provisional connection, not an outcome finding.</w:t>
      </w:r>
    </w:p>
    <w:p>
      <w:pPr>
        <w:pStyle w:val="SourceNote"/>
      </w:pPr>
      <w:r>
        <w:rPr>
          <w:b/>
        </w:rPr>
        <w:t>Available abstract (not full text):</w:t>
      </w:r>
      <w:r>
        <w:t xml:space="preserve"> Abstract Reconstructing long-term continental temperature change provides the required counterpart to age equivalent marine records and can reveal how terrestrial and marine temperatures were related during times of extreme climate change such as the Miocene Climatic Optimum (MCO) and the following Middle Miocene Climatic Transition (MMCT). Carbonate clumped isotope temperatures (T(Δ 47 )) from 17.5 to 14.0 Ma Central European paleosols (Molasse Basin, Switzerland) display a temperature pattern during the MCO that is similar to coeval marine temperature records. Maximum temperatures in the long-term soil T(Δ 47 ) record (at 16.5 and 14.9 Ma) lag maximum ocean bottom water temperatures, lead global ice volume, and mark the initiation of minimum global ice volume phases. The suggested onset of the MMCT, deduced by a marked and rapid decline in Molasse Basin soil temperatures is coeval with cooling reported in high-latitudinal marine records. This is best explained by a change in the seasonal timing of soil carbonate formation that was likely driven by a modification of rainfall seasonality and thus by a major reorganization of mid-latitude atmospheric circulation across Central Europe. In particular, our data suggest a strong climate coupling between the North Atlantic and Central Europe already in the middle Miocene.</w:t>
      </w:r>
    </w:p>
    <w:p>
      <w:pPr/>
      <w:r>
        <w:rPr>
          <w:b/>
        </w:rPr>
        <w:t>POSSIBLE 2020:</w:t>
      </w:r>
      <w:r>
        <w:t xml:space="preserve"> Rates of increase of antibiotic resistance and ambient temperature in Europe: a cross-national analysis of 28 countries between 2000 and 2016 — https://doi.org/10.2807/1560-7917.es.2020.25.45.1900414</w:t>
      </w:r>
    </w:p>
    <w:p>
      <w:pPr/>
      <w:r>
        <w:rPr>
          <w:b/>
        </w:rPr>
        <w:t>Shared claim-specific concepts:</w:t>
      </w:r>
      <w:r>
        <w:t xml:space="preserve"> suggest, long-term, temperature; EU scope visible. This is a provisional connection, not an outcome finding.</w:t>
      </w:r>
    </w:p>
    <w:p>
      <w:pPr>
        <w:pStyle w:val="SourceNote"/>
      </w:pPr>
      <w:r>
        <w:rPr>
          <w:b/>
        </w:rPr>
        <w:t>Available abstract (not full text):</w:t>
      </w:r>
      <w:r>
        <w:t xml:space="preserve"> Abstract Background Widely recognized as a major public health threat globally, the rapid increase of antibiotic resistance in bacteria could soon render our most effective method to combat infections obsolete. Factors influencing the burden of resistance in human populations remain poorly described, though temperature is known to play an important role in mechanisms at the bacterial level. Methods We performed an ecologic analysis of country level antibiotic resistance prevalence in 3 common bacterial pathogens across 28 countries in Europe, and used multivariable models to evaluate associations with minimum temperature and other predictors over a 17-year period (2000-2016). We quantified the effects of minimum temperature, population density, and antibiotic consumption on the rate of change of antibiotic resistance across geographies. Findings For three common bacterial pathogens and four classes of antibiotics, we found evidence of a long-term effect of ambient minimum temperature on rates of increase of antibiotic resistance across 28 countries in Europe between 2000-2016. Specifically, we show that across all antibiotic classes for the pathogens E. coli and K. pneumoniae , European countries with 10°C warmer ambient temperatures have experienced more rapid increases in antibiotic resistance over the 17-year period, ranging between 0.33%/year (95% CI 0.2, 0.5) and 1.2%/year</w:t>
      </w:r>
    </w:p>
    <w:p>
      <w:pPr/>
      <w:r>
        <w:rPr>
          <w:b/>
        </w:rPr>
        <w:t>POSSIBLE 2019:</w:t>
      </w:r>
      <w:r>
        <w:t xml:space="preserve"> The Effect of Temperature on the Physiological Condition and Immune-Capacity of European Lobsters (Homarus gammarus) During Long-Term Starvation — https://doi.org/10.3389/fmars.2019.00281</w:t>
      </w:r>
    </w:p>
    <w:p>
      <w:pPr/>
      <w:r>
        <w:rPr>
          <w:b/>
        </w:rPr>
        <w:t>Shared claim-specific concepts:</w:t>
      </w:r>
      <w:r>
        <w:t xml:space="preserve"> long-term, temperature, those; EU scope visible. This is a provisional connection, not an outcome finding.</w:t>
      </w:r>
    </w:p>
    <w:p>
      <w:pPr>
        <w:pStyle w:val="SourceNote"/>
      </w:pPr>
      <w:r>
        <w:rPr>
          <w:b/>
        </w:rPr>
        <w:t>Available abstract (not full text):</w:t>
      </w:r>
      <w:r>
        <w:t xml:space="preserve"> Decapod crustaceans, such as those from the Homarus genus, are key benthic representatives supporting very valuable fishing and aquaculture industries. Those commercially caught, such as the European lobster (H. gammarus) can be stored in live facilities for short (few days) to long periods (up to 6 months) before being traded. Conditions in captivity are not standardized, including holding temperatures or feeding regimes. Herein, the physiological condition during long-term starvation (24 weeks) in H. gammarus was assessed at three temperatures (4, 8 and 12°C). Our results indicate that, H. gammarus have the capacity to endure long-term starvation. Principal component analysis (PCA) of measured parameters showed two main components (Eigen value&gt;1). Fasted animals kept at 12°C separated from all others experimental groups due to higher total phenoloxidase (PO) activity in the hemolymph and water content in the muscle, suggesting that keeping H. gammarus un-fed at this higher temperature is physiologically more demanding and detrimental. This was later confirmed by significant changes particularly in this group in histology and lipid class composition of the hepatopancreas. These data call into question the suitability of current accepted in-vivo condition markers (e.g. hemolymph protein concentration) for determining the physiological condition and welfare of decapods such as H</w:t>
      </w:r>
    </w:p>
    <w:p>
      <w:pPr>
        <w:pStyle w:val="Heading2"/>
      </w:pPr>
      <w:r>
        <w:t>725.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r>
        <w:rPr>
          <w:b/>
        </w:rPr>
        <w:t>POSSIBLE 2024:</w:t>
      </w:r>
      <w:r>
        <w:t xml:space="preserve"> Strategic flood impact mitigation in developing countries’ urban road networks: Application to Hanoi — https://doi.org/10.1016/j.ejor.2024.06.035</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Due to climate change, the frequency and scale of flood events worldwide are increasing dramatically. Flood impacts are especially acute in developing countries, where they often revert years of progress in sustainable development and poverty reduction. This paper introduces an optimization-based decision support tool for selecting cost-efficient flood mitigation investments in developing countries’ urban areas. The core of the tool is a scenario-based, multi-period, bi-objective Mixed Integer Linear Programming model which minimizes infrastructure damage and traffic congestion in urban road networks. The tool was developed in collaboration with Vietnamese stakeholders (e.g., local communities and government authorities), and integrates data and inputs from other disciplines, including social science, transport economics, climatology and hydrology. A metaheuristic, combining a Greedy Randomized Adaptive Search Procedure with a Variable Neighborhood Descent algorithm, is developed to solve large scale problem instances. An extensive computational campaign on randomly generated instances demonstrates the efficiency of the metaheuristic in solving realistic problems with hundreds of interdependent flood mitigation interventions. Finally, the applicability of the interdisciplinary approach is demonstrated on a real case study to generate a 20-year plan of mitigation investments for</w:t>
      </w:r>
    </w:p>
    <w:p>
      <w:pPr/>
      <w:r>
        <w:rPr>
          <w:b/>
        </w:rPr>
        <w:t>POSSIBLE 2023:</w:t>
      </w:r>
      <w:r>
        <w:t xml:space="preserve"> The Belt and Road Initiative: An Integrative Subject for Interdisciplinary Studies about China — https://doi.org/10.65959/eaa.1810</w:t>
      </w:r>
    </w:p>
    <w:p>
      <w:pPr/>
      <w:r>
        <w:rPr>
          <w:b/>
        </w:rPr>
        <w:t>Shared claim-specific concepts:</w:t>
      </w:r>
      <w:r>
        <w:t xml:space="preserve"> interdisciplinary, road, allow; EU scope not established. This is a provisional connection, not an outcome finding.</w:t>
      </w:r>
    </w:p>
    <w:p>
      <w:pPr>
        <w:pStyle w:val="SourceNote"/>
      </w:pPr>
      <w:r>
        <w:rPr>
          <w:b/>
        </w:rPr>
        <w:t>Available abstract (not full text):</w:t>
      </w:r>
      <w:r>
        <w:t xml:space="preserve"> hina's economic transformation altered the global economy in unexpected ways.In 2000 when Bill Clinton encouraged Congress to support China's ascension to the World Trade Organization (WTO), his argument centered on the belief that once Chinese society saw the power and the benefits of capitalism, it would demand political and economic freedom, and the power of free markets would propel China to economic prosperity.Twenty-plus years later, China has discovered its own path to economic wellness, one that continues to support the Chinese Communist Party (CCP) with political power largely unquestioned.The economy is the second largest in the world and the largest under standards of purchasing power parity (the exchange rate that would translate renminbi to dollars and allow someone to buy the same basket of goods in either country).1 China's investment in its own infrastructure and the development of industry in technology, finance, and artificial intelligence make the country a daunting global competitor.Given China's rise and its explicit resolution to follow its own path, an understanding of China's economic transformation and global strategy is imperative for American students preparing for careers.The vast differences in culture and worldview of Chinese society suggest that simply applying the standard business transaction and replacing US dollars with Chinese renminbi is not</w:t>
      </w:r>
    </w:p>
    <w:p>
      <w:pPr/>
      <w:r>
        <w:rPr>
          <w:b/>
        </w:rPr>
        <w:t>POSSIBLE 2022:</w:t>
      </w:r>
      <w:r>
        <w:t xml:space="preserve"> Arctic roads and railways: social and environmental consequences of transport infrastructure in the circumpolar North — https://doi.org/10.1139/as-2021-0033</w:t>
      </w:r>
    </w:p>
    <w:p>
      <w:pPr/>
      <w:r>
        <w:rPr>
          <w:b/>
        </w:rPr>
        <w:t>Shared claim-specific concepts:</w:t>
      </w:r>
      <w:r>
        <w:t xml:space="preserve"> integrated, case; EU scope not established. This is a provisional connection, not an outcome finding.</w:t>
      </w:r>
    </w:p>
    <w:p>
      <w:pPr>
        <w:pStyle w:val="SourceNote"/>
      </w:pPr>
      <w:r>
        <w:rPr>
          <w:b/>
        </w:rPr>
        <w:t>Available abstract (not full text):</w:t>
      </w:r>
      <w:r>
        <w:t xml:space="preserve"> Land-based transport corridors and related infrastructure are increasingly extending into and across the Arctic in support of resource development and population growth, causing large-scale cumulative changes to northern socio-ecological systems. These changes include the increased mobility of people, goods and resources, and environmental impacts on landscapes and ecosystems as the human footprint reaches remote, unindustrialized regions. Arctic climate change is also generating new challenges for the construction and maintenance of these transport systems, requiring adaptive engineering solutions as well as community resilience. In this review article, we consider the complex entanglements between humans, the environment, and land transportation infrastructure in the North and illustrate these interrelations by way of seven case studies: the Baikal–Amur Mainline, Bovanenkovo Railway, Alaska–Canada Highway, Inuvik–Tuktoyatuk Highway, Alaska Railroad, Hudson Bay Railway, and proposed railways on Baffin Island, Canada. As new infrastructure is built and anticipated across the circumpolar North, there is an urgent need for an integrated socio-ecological approach to impact assessment. This would include full consideration of Indigenous knowledge and concerns, collaboration with local communities and user groups in assessment, planning and monitoring, and evaluation of alternative </w:t>
      </w:r>
    </w:p>
    <w:p>
      <w:pPr/>
      <w:r>
        <w:rPr>
          <w:b/>
        </w:rPr>
        <w:t>POSSIBLE 2022:</w:t>
      </w:r>
      <w:r>
        <w:t xml:space="preserve"> Coexistence research requires more interdisciplinary communication — https://doi.org/10.1002/ece3.8914</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Coexistence theories develop rapidly at the ecology forefront, outpacing their experimental testing. I discuss the reasons for this gap, call on interdisciplinary researchers to construct a road map for coexistence research, and recommend the actions that should be implemented therein.</w:t>
      </w:r>
    </w:p>
    <w:p>
      <w:pPr/>
      <w:r>
        <w:rPr>
          <w:b/>
        </w:rPr>
        <w:t>POSSIBLE 2022:</w:t>
      </w:r>
      <w:r>
        <w:t xml:space="preserve"> Developing computable sustainable urbanization science: interdisciplinary perspective — https://doi.org/10.1007/s43762-022-00048-9</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In this era of drastic global change, the Anthropocene, carbon neutrality and sustainable development have become common twenty-first century human challenges and goals. Large-scale urbanization is indicative of human activities and provides an important impetus for environmental changes; therefore, cities have become an important stage in which to promote a more sustainable future development of human society. However, current researchers study urbanization issues based on the perspectives and tools of their respective disciplines; therefore, a holistic and comprehensive understanding of urbanization is lacking due to the insufficient integration of multidisciplinary study perspectives. We explored the construction of interdisciplinary computable sustainable urbanization and introduces a conceptual framework for interdisciplinary urbanization, as scientific computing supports and integrates the natural sciences and humanities to simulate urban evolution and further observe, explain, and optimize human and environment interactions in urban areas. We advocated for the establishment of major international research programs and organizations in the field of sustainable urbanization, and the cultivation of talented young professionals with broad-ranging interdisciplinary interests. Expectantly, we hope a livable planet in the Anthropocene era could be created by developing sustaina</w:t>
      </w:r>
    </w:p>
    <w:p>
      <w:pPr/>
      <w:r>
        <w:rPr>
          <w:b/>
        </w:rPr>
        <w:t>POSSIBLE 2021:</w:t>
      </w:r>
      <w:r>
        <w:t xml:space="preserve"> FBG‐Based Sensing for Structural Health Monitoring of Road Infrastructure — https://doi.org/10.1155/2021/8850368</w:t>
      </w:r>
    </w:p>
    <w:p>
      <w:pPr/>
      <w:r>
        <w:rPr>
          <w:b/>
        </w:rPr>
        <w:t>Shared claim-specific concepts:</w:t>
      </w:r>
      <w:r>
        <w:t xml:space="preserve"> interdisciplinary, road, based; EU scope not established. This is a provisional connection, not an outcome finding.</w:t>
      </w:r>
    </w:p>
    <w:p>
      <w:pPr>
        <w:pStyle w:val="SourceNote"/>
      </w:pPr>
      <w:r>
        <w:rPr>
          <w:b/>
        </w:rPr>
        <w:t>Available abstract (not full text):</w:t>
      </w:r>
      <w:r>
        <w:t xml:space="preserve"> Public road infrastructure is developed all around the world. To save resources, ensure public safety, and provide longer‐lasting road infrastructure, structural health monitoring (SHM) applications for roads have to be researched and developed. Asphalt is one of the largest used surface materials for the road building industry. This material also provides relatively easy fiber optical sensor technology installment, which can be effectively used for SHM applications—road infrastructure monitoring as well as for resource optimization when road building or their repairs are planned. This article focuses on the research of the fiber Bragg grating (FBG) optical temperature and strain sensor applications in road SHM, which is part of the greater interdisciplinary research project started at the Riga Technical University in the year 2017. Experimental work described in this article was realized in one of the largest Latvian road sites where the FBG strain and temperature sensors were installed into asphalt pavement, and experiments were carried out in two main scenarios. Firstly, in a controlled environment with a calibrated falling weight deflectometer (FWD) to test the installed FBG sensors. Secondly, by evaluating the real‐time traffic impact on the measured strain and temperature, where different types of vehicles passed the asphalt span in which the sensors were embedded. The fi</w:t>
      </w:r>
    </w:p>
    <w:p>
      <w:pPr/>
      <w:r>
        <w:rPr>
          <w:b/>
        </w:rPr>
        <w:t>POSSIBLE 2020:</w:t>
      </w:r>
      <w:r>
        <w:t xml:space="preserve"> Interdisciplinary Approaches to Road Safety Improvement — https://doi.org/10.67228/30715636/ijetmr-2020pii7j5e</w:t>
      </w:r>
    </w:p>
    <w:p>
      <w:pPr/>
      <w:r>
        <w:rPr>
          <w:b/>
        </w:rPr>
        <w:t>Shared claim-specific concepts:</w:t>
      </w:r>
      <w:r>
        <w:t xml:space="preserve"> interdisciplinary, road, integrated, best, based; EU scope not established. This is a provisional connection, not an outcome finding.</w:t>
      </w:r>
    </w:p>
    <w:p>
      <w:pPr>
        <w:pStyle w:val="SourceNote"/>
      </w:pPr>
      <w:r>
        <w:rPr>
          <w:b/>
        </w:rPr>
        <w:t>Available abstract (not full text):</w:t>
      </w:r>
      <w:r>
        <w:t xml:space="preserve"> Road traffic injuries are one of the most important socio-economic and public health issues on the global level. Road crashes based on reports made by the World Health Organization cause a death of more than 1.19 million people every year and this is highly disfavored to the low- and middle-income countries. Traditional methods of safety on the road, which have focused mainly on engineering and enforcement, have proved inadequate in the regard of the multifactorial and intricate nature of the traffic accidents. The paper provides a theoretical explanation of an interdisciplinary approach that incorporates engineering, data science, behavior psychology, and the social policy, urban planning, and healthcare to improve road safety scores. The paper includes an overview of the contemporary paradigms of road safety and outlines the need to have systematic and interdisciplinary interventions. The proposed model will integrate the knowledge of transportation engineering, artificial intelligence, social health, and social science to deliver the best infrastructure design, driver behavior, emergency response, and inform the evidence-based policymaking. High-tech means of data analytics and machine learning are used to forecast areas vulnerable to accidents and risky behaviors, and the behavioral interventions are aimed at human error, which is the most common cause of accidents. The res</w:t>
      </w:r>
    </w:p>
    <w:p>
      <w:pPr/>
      <w:r>
        <w:rPr>
          <w:b/>
        </w:rPr>
        <w:t>POSSIBLE 2020:</w:t>
      </w:r>
      <w:r>
        <w:t xml:space="preserve"> Road To Nano Technology Education In Engineering Technology: An Area Of Interdisciplinary Studies — https://doi.org/10.18260/1-2--2088</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Abstract NOTE: The first page of text has been automatically extracted and included below in lieu of an abstract Road to Nano-Technology Education in Engineering Technology: An Area of Interdisciplinary Studies Abstract “Nano-scale science and engineering most likely will produce the strategic technology breakthroughs of tomorrow,” says David Swain, Senior Vice President of Engineering and Technology at Boeing. The development of micro-scale engineering in the area of electronics and computer technology demonstrates low cost and high efficiency technology advancements in miniaturization. These efforts have led to the emergence of nanotechnology dealing with a wide range of engineering applications at the nano scale. Nanotechnology has future impacts in the application markets such as medicine, healthcare, biotechnology, communications, and electronics. Due to rapid development and broad impact of nanotechnology, education and training of a new generation of workforce skilled in this field will play an important role in the development and applications of nanotechnology. It is a challenge for educators, especially for engineering technology educators, to provide an appropriate curriculum and effective learning environment including state-of-the-art laboratories for students who want to enter the nano field after their graduation. This paper will discuss the objectives of nano-te</w:t>
      </w:r>
    </w:p>
    <w:p>
      <w:pPr/>
      <w:r>
        <w:rPr>
          <w:b/>
        </w:rPr>
        <w:t>POSSIBLE 2020:</w:t>
      </w:r>
      <w:r>
        <w:t xml:space="preserve"> Interdisciplinary and Transdisciplinary Perspectives: On the Road to a Holistic Approach to Dementia Prevention and Care — https://doi.org/10.3233/adr-180070</w:t>
      </w:r>
    </w:p>
    <w:p>
      <w:pPr/>
      <w:r>
        <w:rPr>
          <w:b/>
        </w:rPr>
        <w:t>Shared claim-specific concepts:</w:t>
      </w:r>
      <w:r>
        <w:t xml:space="preserve"> interdisciplinary, road, opportunities; EU scope not established. This is a provisional connection, not an outcome finding.</w:t>
      </w:r>
    </w:p>
    <w:p>
      <w:pPr>
        <w:pStyle w:val="SourceNote"/>
      </w:pPr>
      <w:r>
        <w:rPr>
          <w:b/>
        </w:rPr>
        <w:t>Available abstract (not full text):</w:t>
      </w:r>
      <w:r>
        <w:t xml:space="preserve"> Dementia, of which the most frequent form is Alzheimer's disease, is a chronic and terminal condition with multi-factorial causes and numerous consequences on a patient's life. Combining perspectives from different disciplines seems necessary for unraveling dementia's entangled issues. Current dementia management is a multidisciplinary effort; however, integrating different disciplines as a holistic treatment process is often hindered due to different responsibilities, various conceptual approaches, and distinctive research methods. With this paper, we raise some of the challenges that need to be addressed in order to initiate an interdisciplinary or even transdisciplinary research agenda. We also outline recommendations on how to integrate multiple disciplinary perspectives in dementia care and research. We see opportunities for young investigators to draw from different fields of research in dementia as their research focus is still developing. By establishing common objectives with investigators from other fields, we can pursue the goal of improving treatment and care as a team-meaning accomplishing different tasks but sharing a common purpose. It is necessary to address the communication between fields that limits the understanding of connections between cognitive symptoms, biological processes, treatment, lifestyle, and care giving in order to reach the aim of developing a</w:t>
      </w:r>
    </w:p>
    <w:p>
      <w:pPr>
        <w:pStyle w:val="Heading2"/>
      </w:pPr>
      <w:r>
        <w:t>726.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2021:</w:t>
      </w:r>
      <w:r>
        <w:t xml:space="preserve"> Using the Systems Engineering Initiative for Patient Safety (SEIPS) model to describe the planning and management of the COVID-19 pandemic in Hong Kong — https://doi.org/10.1093/intqhc/mzab042</w:t>
      </w:r>
    </w:p>
    <w:p>
      <w:pPr/>
      <w:r>
        <w:rPr>
          <w:b/>
        </w:rPr>
        <w:t>Shared claim-specific concepts:</w:t>
      </w:r>
      <w:r>
        <w:t xml:space="preserve"> describe, use, planning, tool, five, private; EU scope not established. This is a provisional connection, not an outcome finding.</w:t>
      </w:r>
    </w:p>
    <w:p>
      <w:pPr>
        <w:pStyle w:val="SourceNote"/>
      </w:pPr>
      <w:r>
        <w:rPr>
          <w:b/>
        </w:rPr>
        <w:t>Available abstract (not full text):</w:t>
      </w:r>
      <w:r>
        <w:t xml:space="preserve"> The COVID-19 pandemic has had massive impact on healthcare systems highlighting that the relatively deficient medical facilities to cater the high patient load and the shortage of personal protective equipment (PPE) to ensure staff safety are the major problems to tackle [1, 2]. Hong Kong public hospitals faced the same challenges. It is crucial for the hospital management to formulate decisive strategies through a systems approach and take swift actions to handle these situations. The Systems Engineering Initiative for Patient Safety (SEIPS) model, consisted of five main domains namely organization, person, tasks, technologies and tools, and environment, is a renowned tool which adopts human factors principles and offers a comprehensive conceptual framework in facilitating hospital management to understand its own system [3, 4]. Evidence showed that this model had been successfully applied in handling the COVID-19 pandemic [5]. The aims of this article are to apply the SEIPS model to systematically describe the strategies and actions taken by the five public hospitals in the New Territories West Cluster (NTWC) of Hong Kong Hospital Authority and examine if the SEIPS model could support organizations in planning for and managing a pandemic. The strategies and actions taken in the NTWC since the COVID-19 pandemic in February 2020 are summarized in Table 1, and the key actions of</w:t>
      </w:r>
    </w:p>
    <w:p>
      <w:pPr/>
      <w:r>
        <w:rPr>
          <w:b/>
        </w:rPr>
        <w:t>POSSIBLE 2020:</w:t>
      </w:r>
      <w:r>
        <w:t xml:space="preserve"> Reasoning versus Planning — https://doi.org/10.1002/9781119720348.ch5</w:t>
      </w:r>
    </w:p>
    <w:p>
      <w:pPr/>
      <w:r>
        <w:rPr>
          <w:b/>
        </w:rPr>
        <w:t>Shared claim-specific concepts:</w:t>
      </w:r>
      <w:r>
        <w:t xml:space="preserve"> use, planning, tool, versus; EU scope not established. This is a provisional connection, not an outcome finding.</w:t>
      </w:r>
    </w:p>
    <w:p>
      <w:pPr>
        <w:pStyle w:val="SourceNote"/>
      </w:pPr>
      <w:r>
        <w:rPr>
          <w:b/>
        </w:rPr>
        <w:t>Available abstract (not full text):</w:t>
      </w:r>
      <w:r>
        <w:t xml:space="preserve"> In this chapter, the author defends the theory that the ability to use and make tools and build constructions is based on technical-reasoning skills, useful for solving physical problems that humans generate themselves. He proposes a revised version of some of the theses supported by cognitive archaeologists, according to which the development of executive functions during our evolution would be the key to explaining complex Tool behaviors. The author describes three key processes concerning executive functions, namely flexibility, inhibition and updating. He also proposes a theoretical development on the contribution of technical reasoning and the potential role of executive functions. The theoretical development provides an alternative scenario where these schemas are not stored, but rather generated either totally (i.e. total planning) or partially (i.e. partial planning).</w:t>
      </w:r>
    </w:p>
    <w:p>
      <w:pPr/>
      <w:r>
        <w:rPr>
          <w:b/>
        </w:rPr>
        <w:t>POSSIBLE 2019:</w:t>
      </w:r>
      <w:r>
        <w:t xml:space="preserve"> The Planning in Life and Adapting to Novel Situations (PLANS): An Ecologically Valid Measure of Every-day Planning — https://openalex.org/W3034860865</w:t>
      </w:r>
    </w:p>
    <w:p>
      <w:pPr/>
      <w:r>
        <w:rPr>
          <w:b/>
        </w:rPr>
        <w:t>Shared claim-specific concepts:</w:t>
      </w:r>
      <w:r>
        <w:t xml:space="preserve"> use, planning, effective, capacity; EU scope not established. This is a provisional connection, not an outcome finding.</w:t>
      </w:r>
    </w:p>
    <w:p>
      <w:pPr>
        <w:pStyle w:val="SourceNote"/>
      </w:pPr>
      <w:r>
        <w:rPr>
          <w:b/>
        </w:rPr>
        <w:t>Available abstract (not full text):</w:t>
      </w:r>
      <w:r>
        <w:t xml:space="preserve"> Individuals with brain injuries often experience impairment in executive functioning, including the ability to plan. Planning dysfunction limits the capacity to complete functional planning tasks required for effective independent living and community functioning and is a frequent target of community rehabilitation intervention. Current planning measurement tools have limitations in their ecological validity, and are not sensitive to every-day planning. Research has shown that naturalistic simulated instruments have higher degrees of ecological validity than traditional testing options, and are more predictive of executive functioning limitations observed in real-world contexts. This dissertation project describes three research studies involved with the development and feasibility of a new naturalistic instrument: The Planning in Life and Adapting to Novel Situations (PLANS). The first study conducted a scoping literature review (n=22) and semi-structured interviews (n=8) with community rehabilitation clinicians to inform the context, tasks, and scoring of the PLANS. Second, an analysis of clinical data from the Community Multiple Errands Test (CoMET), by individuals with cognitive disabilities (n=55) was conducted to assess planning performance errors in community functioning. CoMET performance was significantly related to measures of logical reasoning, planning and verbal fl</w:t>
      </w:r>
    </w:p>
    <w:p>
      <w:pPr/>
      <w:r>
        <w:rPr>
          <w:b/>
        </w:rPr>
        <w:t>POSSIBLE 2019:</w:t>
      </w:r>
      <w:r>
        <w:t xml:space="preserve"> Acting and Planning Using Operational Models — https://doi.org/10.1609/aaai.v33i01.33017691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The most common representation formalisms for planning are descriptive models. They abstractly describe what the actions do and are tailored for efficiently computing the next state(s) in a state transition system. But acting requires operational models that describe how to do things, with rich control structures for closed-loop online decision-making. Using descriptive representations for planning and operational representations for acting can lead to problems with developing and verifying consistency of the different models.We define and implement an integrated acting-and-planning system in which both planning and acting use the same operational models, which are written in a general-purpose hierarchical task-oriented language offering rich control structures. The acting component is inspired by the well-known PRS system, except that instead of being purely reactive, it can get advice from the planner. Our planning algorithm, RAEplan, plans by doing Monte Carlo rollout simulations of the actor’s operational models. Our experiments show significant benefits in the efficiency of the acting and planning system.</w:t>
      </w:r>
    </w:p>
    <w:p>
      <w:pPr/>
      <w:r>
        <w:rPr>
          <w:b/>
        </w:rPr>
        <w:t>POSSIBLE 2018:</w:t>
      </w:r>
      <w:r>
        <w:t xml:space="preserve"> Planning and navigation as active inference — https://doi.org/10.1007/s00422-018-0753-2</w:t>
      </w:r>
    </w:p>
    <w:p>
      <w:pPr/>
      <w:r>
        <w:rPr>
          <w:b/>
        </w:rPr>
        <w:t>Shared claim-specific concepts:</w:t>
      </w:r>
      <w:r>
        <w:t xml:space="preserve"> use, planning, exploration; EU scope not established. This is a provisional connection, not an outcome finding.</w:t>
      </w:r>
    </w:p>
    <w:p>
      <w:pPr>
        <w:pStyle w:val="SourceNote"/>
      </w:pPr>
      <w:r>
        <w:rPr>
          <w:b/>
        </w:rPr>
        <w:t>Available abstract (not full text):</w:t>
      </w:r>
      <w:r>
        <w:t xml:space="preserve"> This paper introduces an active inference formulation of planning and navigation. It illustrates how the exploitation-exploration dilemma is dissolved by acting to minimise uncertainty (i.e. expected surprise or free energy). We use simulations of a maze problem to illustrate how agents can solve quite complicated problems using context sensitive prior preferences to form subgoals. Our focus is on how epistemic behaviour-driven by novelty and the imperative to reduce uncertainty about the world-contextualises pragmatic or goal-directed behaviour. Using simulations, we illustrate the underlying process theory with synthetic behavioural and electrophysiological responses during exploration of a maze and subsequent navigation to a target location. An interesting phenomenon that emerged from the simulations was a putative distinction between 'place cells'-that fire when a subgoal is reached-and 'path cells'-that fire until a subgoal is reached.</w:t>
      </w:r>
    </w:p>
    <w:p>
      <w:pPr/>
      <w:r>
        <w:rPr>
          <w:b/>
        </w:rPr>
        <w:t>POSSIBLE 2018:</w:t>
      </w:r>
      <w:r>
        <w:t xml:space="preserve"> Using public participatory mapping to inform general land use planning and zoning — https://doi.org/10.1016/j.landurbplan.2018.04.011</w:t>
      </w:r>
    </w:p>
    <w:p>
      <w:pPr/>
      <w:r>
        <w:rPr>
          <w:b/>
        </w:rPr>
        <w:t>Shared claim-specific concepts:</w:t>
      </w:r>
      <w:r>
        <w:t xml:space="preserve"> use, planning;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Search Reduction in Planning with Primary Effects — https://doi.org/10.1184/r1/6609317</w:t>
      </w:r>
    </w:p>
    <w:p>
      <w:pPr/>
      <w:r>
        <w:rPr>
          <w:b/>
        </w:rPr>
        <w:t>Shared claim-specific concepts:</w:t>
      </w:r>
      <w:r>
        <w:t xml:space="preserve"> describe, use, planning, effective; EU scope not established. This is a provisional connection, not an outcome finding.</w:t>
      </w:r>
    </w:p>
    <w:p>
      <w:pPr>
        <w:pStyle w:val="SourceNote"/>
      </w:pPr>
      <w:r>
        <w:rPr>
          <w:b/>
        </w:rPr>
        <w:t>Available abstract (not full text):</w:t>
      </w:r>
      <w:r>
        <w:t xml:space="preserve"> The use of primary effects in planning is an effective approach for reducing search costs, closely related to abstraction planning. However, there has been little analysis of planning with primary effects and few experimental results. In this paper we demonstrate the connection between primary effects and abstraction hierarchies and provide analytical and empirical results on the efficiency of planning with primary effects. First, we show how the relationship between primary effects and abstraction can be used for automatically selecting primary effects and generating good abstraction hierarchies. Then we analytically demonstrate that the use of primary effects may lead to an exponential reduction of the running time and identify factors that influence the efficiency of planning with primary effects. Finally, we describe experiments that confirm our analysis and demonstrate the practical efficiency of using primary effects.</w:t>
      </w:r>
    </w:p>
    <w:p>
      <w:pPr>
        <w:pStyle w:val="Heading2"/>
      </w:pPr>
      <w:r>
        <w:t>727.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r>
        <w:rPr>
          <w:b/>
        </w:rPr>
        <w:t>POSSIBLE 2020:</w:t>
      </w:r>
      <w:r>
        <w:t xml:space="preserve"> Potential for Early Forecast of Moroccan Wheat Yields Based on Climatic Drivers — https://doi.org/10.1029/2020gl087516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Wheat production plays an important role in Morocco. Current wheat forecast systems use weather and vegetation data during the crop growing phase, thus limiting the earliest possible release date to early spring. However, Morocco ' s wheat production is mostly rainfed and thus strongly tied to fluctuations in rainfall, which in turn depend on slowly evolving climate dynamics. This offers a source of predictability at longer time scales. Using physically guided causal discovery algorithms , we extract climate precursors for wheat yield variability from gridded fields of geopotential height and sea surface temperatures which show potential for accurate yield forecasts already in December, with around 50% explained variance in an out‐of‐sample cross validation. The detected interactions are physically meaningful and consistent with documented ocean‐atmosphere feedbacks. Reliable yield forecasts at such long lead times could provide farmers and policy makers with necessary information for early action and strategic adaptation measurements to support food security.</w:t>
      </w:r>
    </w:p>
    <w:p>
      <w:pPr/>
      <w:r>
        <w:rPr>
          <w:b/>
        </w:rPr>
        <w:t>POSSIBLE 2019:</w:t>
      </w:r>
      <w:r>
        <w:t xml:space="preserve"> Current and potential use of ensemble forecasts in operational TC forecasting: results from a global forecaster survey — https://doi.org/10.1016/j.tcrr.2019.10.005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order to understand the current and potential use of ensemble forecasts in operational tropical cyclone (TC) forecasting, a questionnaire on the use of dynamic ensembles was conducted at operational TC forecast centers across the world, in association with the World Meteorological Organisation (WMO) High-Impact Weather Project (HIWeather). The results of the survey are presented, and show that ensemble forecasts are used by nearly all respondents, particularly in TC track and genesis forecasting, with several examples of where ensemble forecasts have been pulled through successfully into the operational TC forecasting process. There is still, however, a notable difference between the high proportion of operational TC forecasters who use and value ensemble forecast information, and the slower pull-through into operational forecast warnings and products of the probabilistic guidance and uncertainty information that ensembles can provide. Those areas of research and development that would help TC forecasters to make increased use of ensemble forecast information in the future include improved access to ensemble forecast data, verification and visualizations, the development of hazard and impact-based products, an improvement in the skill of the ensembles (particularly for intensity and structure), and improved guidance on how to use ensembles and optimally combine forecasts fro</w:t>
      </w:r>
    </w:p>
    <w:p>
      <w:pPr/>
      <w:r>
        <w:rPr>
          <w:b/>
        </w:rPr>
        <w:t>POSSIBLE 2019:</w:t>
      </w:r>
      <w:r>
        <w:t xml:space="preserve"> The future of forecasting for renewable energy — https://doi.org/10.1002/wene.365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r>
        <w:rPr>
          <w:b/>
        </w:rPr>
        <w:t>POSSIBLE 2019:</w:t>
      </w:r>
      <w:r>
        <w:t xml:space="preserve"> The intrinsic predictability of ecological time series and its potential to guide forecasting — https://doi.org/10.1002/ecm.1359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Successfully predicting the future states of systems that are complex, stochastic and potentially chaotic is a major challenge. Model forecasting error (FE) is the usual measure of success; however model predictions provide no insights into the potential for improvement. In short, the realized predictability of a specific model is uninformative about whether the system is inherently predictable or whether the chosen model is a poor match for the system and our observations thereof. Ideally, model proficiency would be judged with respect to the systems’ intrinsic predictability – the highest achievable predictability given the degree to which system dynamics are the result of deterministic v. stochastic processes. Intrinsic predictability may be quantified with permutation entropy (PE), a model-free, information-theoretic measure of the complexity of a time series. By means of simulations we show that a correlation exists between estimated PE and FE and show how stochasticity, process error, and chaotic dynamics affect the relationship. This relationship is verified for a dataset of 461 empirical ecological time series. We show how deviations from the expected PE-FE relationship are related to covariates of data quality and the nonlinearity of ecological dynamics. These results demonstrate a theoretically-grounded basis for a model-free evaluation of a system’s intrinsi</w:t>
      </w:r>
    </w:p>
    <w:p>
      <w:pPr>
        <w:pStyle w:val="Heading2"/>
      </w:pPr>
      <w:r>
        <w:t>728.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r>
        <w:rPr>
          <w:b/>
        </w:rPr>
        <w:t>POSSIBLE 2022:</w:t>
      </w:r>
      <w:r>
        <w:t xml:space="preserve"> Incentives and constraints: a configurational account of European involvement in the anti-Daesh coalition — https://doi.org/10.1017/s1755773921000333</w:t>
      </w:r>
    </w:p>
    <w:p>
      <w:pPr/>
      <w:r>
        <w:rPr>
          <w:b/>
        </w:rPr>
        <w:t>Shared claim-specific concepts:</w:t>
      </w:r>
      <w:r>
        <w:t xml:space="preserve"> incentives, member, states, literature, legislative; EU scope visible. This is a provisional connection, not an outcome finding.</w:t>
      </w:r>
    </w:p>
    <w:p>
      <w:pPr>
        <w:pStyle w:val="SourceNote"/>
      </w:pPr>
      <w:r>
        <w:rPr>
          <w:b/>
        </w:rPr>
        <w:t>Available abstract (not full text):</w:t>
      </w:r>
      <w:r>
        <w:t xml:space="preserve"> Abstract In 2014, the USA initiated the formation of a multilateral military operation against Daesh in Syria and Iraq. Eventually, more than 70 states joined the anti-Daesh coalition. However, contributions to the military effort have been characterized by great variance, especially among EU member states. While some states took leading roles in the airstrikes, others provided training for Iraqi and Kurdish forces, and still others did not get involved beyond voicing their support for the policy. Against this backdrop, this article makes a two-fold contribution to the literature on military coalitions and security policy. Empirically, the article provides a mapping of the then 28 EU member states’ military engagement in the fight against Daesh in Syria and Iraq. Analytically, fuzzy-set Qualitative Comparative Analysis (fsQCA) is applied to account for the observed pattern of military involvement, using an integrative framework that combines international and domestic factors. The results demonstrate that multiple paths led towards EU military involvement in the anti-Daesh coalition. At the same time, international-level incentives, such as external threat and/or alliance value feature prominently in all three identified paths. The analysis further underscores the value of a configurational perspective, because neither an external threat nor alliance value are sufficient on the</w:t>
      </w:r>
    </w:p>
    <w:p>
      <w:pPr/>
      <w:r>
        <w:rPr>
          <w:b/>
        </w:rPr>
        <w:t>POSSIBLE 2021:</w:t>
      </w:r>
      <w:r>
        <w:t xml:space="preserve"> OPTIMAL INCENTIVES FOR ECONOMIC GROWTH IN CENTRAL EUROPEAN COUNTRIES: A MICRO APPROACH — https://doi.org/10.12775/cjfa.2021.009</w:t>
      </w:r>
    </w:p>
    <w:p>
      <w:pPr/>
      <w:r>
        <w:rPr>
          <w:b/>
        </w:rPr>
        <w:t>Shared claim-specific concepts:</w:t>
      </w:r>
      <w:r>
        <w:t xml:space="preserve"> incentives, view; EU scope visible. This is a provisional connection, not an outcome finding.</w:t>
      </w:r>
    </w:p>
    <w:p>
      <w:pPr>
        <w:pStyle w:val="SourceNote"/>
      </w:pPr>
      <w:r>
        <w:rPr>
          <w:b/>
        </w:rPr>
        <w:t>Available abstract (not full text):</w:t>
      </w:r>
      <w:r>
        <w:t xml:space="preserve"> Financial crisis of 2008 and the ongoing pandemic are continuing to have a negative impact on the economies of all countries even tough interest rates have been decreased significantly. This paper attempted to view the problem from a micro point of view to suggest more effective incentives for growth. The specific objective of the study is to determine and examine the effects of these incentives on economic growth in Central European countries.</w:t>
      </w:r>
    </w:p>
    <w:p>
      <w:pPr/>
      <w:r>
        <w:rPr>
          <w:b/>
        </w:rPr>
        <w:t>POSSIBLE 2021:</w:t>
      </w:r>
      <w:r>
        <w:t xml:space="preserve"> Encouraging the Development of New Antibiotics: Are Financial Incentives the Right Way Forward? A Systematic Review and Case Study — https://doi.org/10.2147/idr.s287792</w:t>
      </w:r>
    </w:p>
    <w:p>
      <w:pPr/>
      <w:r>
        <w:rPr>
          <w:b/>
        </w:rPr>
        <w:t>Shared claim-specific concepts:</w:t>
      </w:r>
      <w:r>
        <w:t xml:space="preserve"> right, incentives, literature; EU scope not established. This is a provisional connection, not an outcome finding.</w:t>
      </w:r>
    </w:p>
    <w:p>
      <w:pPr>
        <w:pStyle w:val="SourceNote"/>
      </w:pPr>
      <w:r>
        <w:rPr>
          <w:b/>
        </w:rPr>
        <w:t>Available abstract (not full text):</w:t>
      </w:r>
      <w:r>
        <w:t xml:space="preserve"> Antibiotic resistance is an urgent public health threat that has received substantial attention from the world's leading health agencies and national governmental bodies alike. However, despite increasing rates of antibiotic resistance, pharmaceutical companies are reluctant to develop new antibiotics due to scientific, regulatory, and financial barriers. Nonetheless, only a handful of countries have addressed this by implementing or proposing financial incentive models to promote antibiotic innovation. This study is comprised of a systematic review that aimed to understand which antibiotic incentive strategies are most recommended within the literature and subsequently analyzed these incentives to determine which are most likely to sustainably revitalize the antibiotic pipeline. Through a case study of Canada, we apply our incentive analysis to the Canadian landscape to provide decision-makers with a possible path forward. Based on our findings, we propose that Canada support the ongoing efforts of other countries by implementing a fully delinked subscription-based market entry reward. This paper seeks to spark action in Canada by shifting the national paradigm to one where antibiotic research and development is prioritized as a key element to addressing antibiotic resistance.</w:t>
      </w:r>
    </w:p>
    <w:p>
      <w:pPr/>
      <w:r>
        <w:rPr>
          <w:b/>
        </w:rPr>
        <w:t>POSSIBLE 2021:</w:t>
      </w:r>
      <w:r>
        <w:t xml:space="preserve"> Openness to Industry 4.0 and performance: The impact of barriers and incentives — https://doi.org/10.1016/j.techfore.2021.120756</w:t>
      </w:r>
    </w:p>
    <w:p>
      <w:pPr/>
      <w:r>
        <w:rPr>
          <w:b/>
        </w:rPr>
        <w:t>Shared claim-specific concepts:</w:t>
      </w:r>
      <w:r>
        <w:t xml:space="preserve"> incentives, literature; EU scope visible. This is a provisional connection, not an outcome finding.</w:t>
      </w:r>
    </w:p>
    <w:p>
      <w:pPr>
        <w:pStyle w:val="SourceNote"/>
      </w:pPr>
      <w:r>
        <w:rPr>
          <w:b/>
        </w:rPr>
        <w:t>Available abstract (not full text):</w:t>
      </w:r>
      <w:r>
        <w:t xml:space="preserve"> The impact of barriers and incentives on the relationship between openness to Industry 4.0 and performance have so far received little scholarly attention. As a result, this paper explores this relationship by employing a mixed methods approach. A qualitative analysis using in-depth interviews and multiple case studies identifies prominent barriers and incentives, whilst a quantitative analysis on a representative sample of 500 local manufacturing units in Piedmont (a region of Northern Italy) is undertaken via an OLS regression-based path analysis. The results of the parallel-serial multiple mediation model show that: (1) greater openness to Industry 4.0 is related to better performance; (2) greater openness to Industry 4.0 leads to a higher perception of barriers; (3) greater knowledge-related and economic and financial barriers improve performance, abstracting from the adoption of incentives; and (4) greater openness to Industry 4.0 drives the adoption of incentives. However, perceived economic and financial barriers are found not to drive firms to adopt more incentives. The study contributes to the Industry 4.0 literature by identifying previously unidentified strengths and weaknesses to barriers and incentives, and highlights the necessity of policies that reflect real firms’ needs.</w:t>
      </w:r>
    </w:p>
    <w:p>
      <w:pPr/>
      <w:r>
        <w:rPr>
          <w:b/>
        </w:rPr>
        <w:t>POSSIBLE 2019:</w:t>
      </w:r>
      <w:r>
        <w:t xml:space="preserve"> Issue Competition without Electoral Incentives? A Study of Issue Emphasis in the European Parliament — https://doi.org/10.1086/704224</w:t>
      </w:r>
    </w:p>
    <w:p>
      <w:pPr/>
      <w:r>
        <w:rPr>
          <w:b/>
        </w:rPr>
        <w:t>Shared claim-specific concepts:</w:t>
      </w:r>
      <w:r>
        <w:t xml:space="preserve"> right, set, incentives, find, literature; EU scope visible. This is a provisional connection, not an outcome finding.</w:t>
      </w:r>
    </w:p>
    <w:p>
      <w:pPr>
        <w:pStyle w:val="SourceNote"/>
      </w:pPr>
      <w:r>
        <w:rPr>
          <w:b/>
        </w:rPr>
        <w:t>Available abstract (not full text):</w:t>
      </w:r>
      <w:r>
        <w:t xml:space="preserve"> Niche party leverage over mainstream party policy agendas is a central theme in the issue competition literature. The literature has underlined that the electoral threat associated with niche party issue mobilization guides mainstream party responses to such niche parties. Yet how do political parties react to issue mobilization in an institutional setting not primarily steered by electoral considerations? We argue that the European Parliament constitutes such a case and study issue competition on the radical right’s core issue: immigration. To establish the leverage of radical right members of the European Parliament (MEPs), we use an original data set of parliamentary questions and motions between 2004 and 2016. Using time-series regression analysis, we find that mainstream party groups do not increase their emphasis of immigration issues in response to radical right MEPs’ issue emphasis. These findings indicate that the institutional context and the perceived electoral threat are crucial for issue competition dynamics.</w:t>
      </w:r>
    </w:p>
    <w:p>
      <w:pPr/>
      <w:r>
        <w:rPr>
          <w:b/>
        </w:rPr>
        <w:t>POSSIBLE 2019:</w:t>
      </w:r>
      <w:r>
        <w:t xml:space="preserve"> Constrained Waiver of Trial Rights? Incentives to Plead Guilty and the Right to a Fair Trial — https://doi.org/10.1111/jols.12169</w:t>
      </w:r>
    </w:p>
    <w:p>
      <w:pPr/>
      <w:r>
        <w:rPr>
          <w:b/>
        </w:rPr>
        <w:t>Shared claim-specific concepts:</w:t>
      </w:r>
      <w:r>
        <w:t xml:space="preserve"> right, incentives, literature; EU scope visible. This is a provisional connection, not an outcome finding.</w:t>
      </w:r>
    </w:p>
    <w:p>
      <w:pPr>
        <w:pStyle w:val="SourceNote"/>
      </w:pPr>
      <w:r>
        <w:rPr>
          <w:b/>
        </w:rPr>
        <w:t>Available abstract (not full text):</w:t>
      </w:r>
      <w:r>
        <w:t xml:space="preserve"> This article develops an interpretative framework to examine when incentives to plead guilty should be found to constrain defendant choice to waive fair trial rights under the European Convention on Human Rights. This framework is informed by existing jurisprudence, specifically the judgments of the European Court of Human Rights in Natsvlishvili and Togonidze v. Georgia and Deweer v. Belgium , and socio‐legal literature. According to the framework, an incentive to plead guilty should be found to violate fair trial rights where it makes it unreasonable to expect defendants to exercise their right to a full trial, is independent of the projected outcome at trial, and causes the defendant to plead guilty. An empirical analysis of guilty‐plea practice in England and Wales informed by this new framework identifies problematic incentives and suggests such incentives may disproportionately influence vulnerable defendants.</w:t>
      </w:r>
    </w:p>
    <w:p>
      <w:pPr/>
      <w:r>
        <w:rPr>
          <w:b/>
        </w:rPr>
        <w:t>POSSIBLE 2018:</w:t>
      </w:r>
      <w:r>
        <w:t xml:space="preserve"> Did Europe Move in the Right Direction on E‐waste Legislation? — https://doi.org/10.1111/poms.12894</w:t>
      </w:r>
    </w:p>
    <w:p>
      <w:pPr/>
      <w:r>
        <w:rPr>
          <w:b/>
        </w:rPr>
        <w:t>Shared claim-specific concepts:</w:t>
      </w:r>
      <w:r>
        <w:t xml:space="preserve"> right, set, incentives, levels, find, additional; EU scope visible. This is a provisional connection, not an outcome finding.</w:t>
      </w:r>
    </w:p>
    <w:p>
      <w:pPr>
        <w:pStyle w:val="SourceNote"/>
      </w:pPr>
      <w:r>
        <w:rPr>
          <w:b/>
        </w:rPr>
        <w:t>Available abstract (not full text):</w:t>
      </w:r>
      <w:r>
        <w:t xml:space="preserve"> This study presents an analytical framework of the product take back legislation in the context of product reuse. We characterize existing and proposed forms of E‐waste legislation and compare their environmental and economic performance. Using stylized models, we analyze an OEM's decision about new and remanufactured product quantity in response to the legislative mechanism. We focus on the 2012 waste electrical and electronic equipment directive in Europe, where the policy makers intended to create additional incentives for the product reuse. Through a comparison to the Original 2002 version of the directive, we find that these incentives translate into improved environmental outcomes only for a limited set of products. We also study a proposed policy that advocates a separate target for the product reuse. Our analysis reveals that from an environmental standpoint, the Recast version is always dominated either by the Original policy or by the one that advocates a separate target for product reuse. We show that the benefits of a separate reuse target scheme can be fully replicated with the aid of fiscal levers. Our main message is that there cannot be a single best environmental policy that is suitable for all products. Therefore, the consideration of product attributes is essential in identification of the most appropriate policy tool. This can be done either by the implement</w:t>
      </w:r>
    </w:p>
    <w:p>
      <w:pPr>
        <w:pStyle w:val="Heading2"/>
      </w:pPr>
      <w:r>
        <w:t>729.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2021:</w:t>
      </w:r>
      <w:r>
        <w:t xml:space="preserve"> Why radical transformation is necessary for gender equality and a zero carbon European construction sector — https://doi.org/10.4324/9781003052821-12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is set in the context of European Union (EU) policy to reduce environment carbon emissions through the European Performance of Buildings Directive (EPBD), which – despite EU equality objectives – remains gender-blind and in accordance with ecological modernisation, technology-driven, and oriented to innovation. Difficulties in implementing the EPBD relate to vocational education and training (VET) and the labour process requirements for nearly zero energy building (NZEB). The reasons for the failure of VET and labour market policies and practices to improve the participation of women and what is needed to overcome barriers to their inclusion are highlighted. Combined, the requirements for the inclusion of women and a sustainable construction process, provide the pillars on which a transformed industry can be constructed. In examining local and organisational examples of where women have been successfully included and/or NZEB has been achieved, the ingredients are identified for developing an eco-equitable and socially useful construction sector and the coalition of actors involved – above all the public authorities, VET institutions, unions, women in construction, and environmental organisations.</w:t>
      </w:r>
    </w:p>
    <w:p>
      <w:pPr/>
      <w:r>
        <w:rPr>
          <w:b/>
        </w:rPr>
        <w:t>POSSIBLE 2019:</w:t>
      </w:r>
      <w:r>
        <w:t xml:space="preserve"> Continuous Transformation and Neo-Carbon Energy Scenarios — https://openalex.org/W2946377064</w:t>
      </w:r>
    </w:p>
    <w:p>
      <w:pPr/>
      <w:r>
        <w:rPr>
          <w:b/>
        </w:rPr>
        <w:t>Shared claim-specific concepts:</w:t>
      </w:r>
      <w:r>
        <w:t xml:space="preserve"> four, neo-carbon, energy, project, groups;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r>
        <w:rPr>
          <w:b/>
        </w:rPr>
        <w:t>POSSIBLE 2019:</w:t>
      </w:r>
      <w:r>
        <w:t xml:space="preserve"> TRANSFORMATIONAL ENERGY FUTURES : Neo-Carbon Energy Societal Scenarios — https://openalex.org/W2953412228</w:t>
      </w:r>
    </w:p>
    <w:p>
      <w:pPr/>
      <w:r>
        <w:rPr>
          <w:b/>
        </w:rPr>
        <w:t>Shared claim-specific concepts:</w:t>
      </w:r>
      <w:r>
        <w:t xml:space="preserve"> four, transformational, neo-carbon, energy, project, used; EU scope visible. This is a provisional connection, not an outcome finding.</w:t>
      </w:r>
    </w:p>
    <w:p>
      <w:pPr>
        <w:pStyle w:val="SourceNote"/>
      </w:pPr>
      <w:r>
        <w:rPr>
          <w:b/>
        </w:rPr>
        <w:t>Available abstract (not full text):</w:t>
      </w:r>
      <w:r>
        <w:t xml:space="preserve"> This report presents a set of transformative Neo-Carbon Energy scenarios within a societal context. The scenarios describe how society – social relations, culture, values, economy etc. – may change in a renewable energy system. They depict four different avenues and vistas to the world in 2050 where the energy system is decentralised, based almost 100% on renewable energy and prosumeristic citizens play a central role in a peer-to-peer fashion. The scenarios have been constructed within a Tekes-funded research project Neo-Carbon Energy in co-operation with VTT Technical Research Centre of Finland, Lappeenranta University of Technology (LUT), and Finland Futures Research Centre (FFRC) at University of Turku. The foresight part of the research project explores the futures of an economy based on a new energy system and peer-to-peer society in 2050. The project is one of the strategic research openings of Tekes – the Finnish Funding Agency for Innovation. The report also provides a list of 10 key recommendations, as a reflection to the scenarios, for various stakeholders in order to prepare for the emerging renewable energy transformation – to proactively surf on the winning side in this futures turbulence. They can be used to support and test strategies and decision-making for the transition towards renewable energy world, as well as to identify game changers – transformative lead</w:t>
      </w:r>
    </w:p>
    <w:p>
      <w:pPr/>
      <w:r>
        <w:rPr>
          <w:b/>
        </w:rPr>
        <w:t>POSSIBLE 2019:</w:t>
      </w:r>
      <w:r>
        <w:t xml:space="preserve"> CLA GAME REPORT : Causal Layered Analysis Game on Neo-Carbon Energy Scenarios — https://openalex.org/W2981863467</w:t>
      </w:r>
    </w:p>
    <w:p>
      <w:pPr/>
      <w:r>
        <w:rPr>
          <w:b/>
        </w:rPr>
        <w:t>Shared claim-specific concepts:</w:t>
      </w:r>
      <w:r>
        <w:t xml:space="preserve"> four, transformational, neo-carbon, energy, project, used; EU scope visible. This is a provisional connection, not an outcome finding.</w:t>
      </w:r>
    </w:p>
    <w:p>
      <w:pPr>
        <w:pStyle w:val="SourceNote"/>
      </w:pPr>
      <w:r>
        <w:rPr>
          <w:b/>
        </w:rPr>
        <w:t>Available abstract (not full text):</w:t>
      </w:r>
      <w:r>
        <w:t xml:space="preserve"> This report describes the process and results of Causal Layered Analysis (CLA) game session held on 11 June 2015 in the International Conference of “Futures Studies Tackling Wicked Problems”, organized by Finland Futures Research Centre in Turku. CLA is a qualitative method developed by Sohail Inayatullah. It enables a deeper investigation of alternative futures through an analysis done through four different layers; litany, system, worldview and myth/metaphor. The method functioned as the theoretical framework for the experimental game session conducted during the conference. The aim of the CLA game was to elaborate on and experiment with four transformational scenarios being developed by Finland Futures Research Centre for an ongoing Neo-Carbon Energy project. The tentative scenarios were constructed in the futures-orientated part of the project “Neo-Carbon Enabling Neo-Growth Society – Transformative Scenarios 2050”. The research project proposes a new emission-free energy solution based on renewables, mainly solar and wind. In the Neo-Carbon Energy system, solar and wind technologies produce energy that is stored in synthetic methane or other synthetic hydrocarbons. Carbon dioxide and hydrogen can also be used as feedstock for chemicals and materials. The society as a whole is expected to be affected by this new mainly distributed production of energy and materials. The for</w:t>
      </w:r>
    </w:p>
    <w:p>
      <w:pPr/>
      <w:r>
        <w:rPr>
          <w:b/>
        </w:rPr>
        <w:t>POSSIBLE 2019:</w:t>
      </w:r>
      <w:r>
        <w:t xml:space="preserve"> The Fuzzy Futures of Neo-Carbon Work : Neo-Carbon Futures Clinique II — https://openalex.org/W3004377575</w:t>
      </w:r>
    </w:p>
    <w:p>
      <w:pPr/>
      <w:r>
        <w:rPr>
          <w:b/>
        </w:rPr>
        <w:t>Shared claim-specific concepts:</w:t>
      </w:r>
      <w:r>
        <w:t xml:space="preserve"> four, neo-carbon, energy, project, groups, foresight; EU scope not established. This is a provisional connection, not an outcome finding.</w:t>
      </w:r>
    </w:p>
    <w:p>
      <w:pPr>
        <w:pStyle w:val="SourceNote"/>
      </w:pPr>
      <w:r>
        <w:rPr>
          <w:b/>
        </w:rPr>
        <w:t>Available abstract (not full text):</w:t>
      </w:r>
      <w:r>
        <w:t xml:space="preserve"> This report documents and analyses the results of a Neo-Carbon Futures Clinique held at Hotel President in Helsinki 13 April 2016. At the Futures Clinique workshop groups anticipated possible futures of peer-to-peer work that is self-organised by the workers. The Futures Clinique is part of the Neo-Carbon Energy research project. The foresight part of the project is concerned with studying the futures of peer-to-peer societies enabled by the proposed Neo-Carbon energy system. Such a system would be a distributed, renewable energy system that empowers citizens by providing them with cheap, clean and abundant energy and materials. In this project, possible futures of a peer-to-peer society are studied through four scenarios (Heinonen et al. 2016), which provided the framework also for this Futures Clinique. The results of the Futures Clinique were summarised and refined into seven categories, each illuminating different aspects of the possible futures of peer-to-peer work. Common to the categories is the strengthening of values other than economic as the main drivers in economy and society.</w:t>
      </w:r>
    </w:p>
    <w:p>
      <w:pPr/>
      <w:r>
        <w:rPr>
          <w:b/>
        </w:rPr>
        <w:t>POSSIBLE 2019:</w:t>
      </w:r>
      <w:r>
        <w:t xml:space="preserve"> SURPRISING ENERGY FUTURES : Neo-Carbon Energy Futures Clinique V — https://openalex.org/W2944828902</w:t>
      </w:r>
    </w:p>
    <w:p>
      <w:pPr/>
      <w:r>
        <w:rPr>
          <w:b/>
        </w:rPr>
        <w:t>Shared claim-specific concepts:</w:t>
      </w:r>
      <w:r>
        <w:t xml:space="preserve"> four, neo-carbon, energy, project, groups, foresight; EU scope visible. This is a provisional connection, not an outcome finding.</w:t>
      </w:r>
    </w:p>
    <w:p>
      <w:pPr>
        <w:pStyle w:val="SourceNote"/>
      </w:pPr>
      <w:r>
        <w:rPr>
          <w:b/>
        </w:rPr>
        <w:t>Available abstract (not full text):</w:t>
      </w:r>
      <w:r>
        <w:t xml:space="preserve"> This report describes the process and results of futures clinique Surprising Energy Futures: Anticipating Discontinuities and Testing Resilience of Renewable Energy World with Black Swans, held on 17 May 2017 at Sitra, Helsinki.The event was the fifth futures clinique within the foresight part of the research project Neo-Carbon Enabling Neo-Growth Society -Transformative Scenarios 2050, conducted by Finland Futures Research Centre.The aim of the event was to contribute to the four transformative societal scenarios of Neo-Carbon Energy project.The event consisted of presentations and intermittent working sessions.Dr. Karlheinz Steinmüller discussed the topic of Black Swans and VUCA World, with comments by Prof. Jarno Limnéll.During the working sessions seven groups co-creatively identified discontinuities and their impacts by utilising different foresight methods.Black swans and wild cards -unexpected events with dramatic impacts -were utilised to test the resilience of the renewable energy world.Each group concentrated on a specific topic, through which the uncertain and discontinuous aspects of societal development were observed.The topics were: 1) Politics: nation-states, governments, geopolitics, new ideologies, 2) Corporations and economy, 3) Civil society &amp; peer-to-peer practices, 4) Robotisation &amp; artificial 7. FEN workshop at session 6 -The future of work: An interactive</w:t>
      </w:r>
    </w:p>
    <w:p>
      <w:pPr/>
      <w:r>
        <w:rPr>
          <w:b/>
        </w:rPr>
        <w:t>POSSIBLE 2019:</w:t>
      </w:r>
      <w:r>
        <w:t xml:space="preserve"> Towards the third industrial revolution : NEO-CARBON ENERGY project Future Clinique I ”Creating the Third Industrial Revolution” 6.5.2015 — https://openalex.org/W2996065642</w:t>
      </w:r>
    </w:p>
    <w:p>
      <w:pPr/>
      <w:r>
        <w:rPr>
          <w:b/>
        </w:rPr>
        <w:t>Shared claim-specific concepts:</w:t>
      </w:r>
      <w:r>
        <w:t xml:space="preserve"> four, neo-carbon, energy, project; EU scope visible. This is a provisional connection, not an outcome finding.</w:t>
      </w:r>
    </w:p>
    <w:p>
      <w:pPr>
        <w:pStyle w:val="SourceNote"/>
      </w:pPr>
      <w:r>
        <w:rPr>
          <w:b/>
        </w:rPr>
        <w:t>Available abstract (not full text):</w:t>
      </w:r>
      <w:r>
        <w:t xml:space="preserve"> This report presents the results of ”Creating the Third Industrial Revolution”, a Futures Clinique organised in Ruoholahti, Helsinki May 6, 2015 at Sitra. Futures Clinique is a distinct futures workshop method. The futures clinique was conducted within a research project NEO-CARBON ENERGY and its futures research part “Neo-Carbon Enabling Neo-Growth Society – Transformative Energy Futures 2050”, funded by Tekes. Around 70 experts participated in the Futures Clinique. The participants included project members, government, business and third sector representatives as well as students. They worked around four tentative scenario sketches until the year 2050 called Radical Startups, Value-driven Techemoths, Green DIY En-gineers and New Consciousness. All of the scenarios are transformative i.e. implying fundamental change and differ more or less radically from the present. The scenario sketches were analysed on a general level and especially with regard to implications for Finland.</w:t>
      </w:r>
    </w:p>
    <w:p>
      <w:pPr/>
      <w:r>
        <w:rPr>
          <w:b/>
        </w:rPr>
        <w:t>POSSIBLE 2019:</w:t>
      </w:r>
      <w:r>
        <w:t xml:space="preserve"> Hidden carbon costs of the “everywhere war”: Logistics, geopolitical ecology, and the carbon boot‐print of the US military — https://doi.org/10.1111/tran.12319</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This paper examines the US military's impact on climate by analysing the geopolitical ecology of its global logistical supply chains. Our geopolitical ecology framework interrogates the material‐ecological metabolic flows (hydrocarbon‐based fuels, water, sand, concrete) that shape geopolitical and geoeconomic power relations. We argue that to account for the US military as a major climate actor, one must understand the logistical supply chain that makes its acquisition and consumption of hydrocarbon‐based fuels possible. Our paper focuses on the US Defense Logistics Agency – Energy (DLA‐E), a large yet virtually unresearched sub‐agency within the US Department of Defense. The DLA‐E is the primary purchase‐point for hydrocarbon‐based fuels for the US military, as well as a powerful actor in the global oil market. After outlining our geopolitical ecology approach, we detail the scope of the DLA‐E's operations, its supply chain, bureaucratic practices, and the physical infrastructure that facilitates the US military's consumption of hydro‐based carbons on a global scale. We show several “path dependencies” – warfighting paradigms, weapons systems, bureaucratic requirements, and waste – that are put in place by military supply chains and undergird a heavy reliance on carbon‐based fuels by the US military for years to come. The paper, based on comprehensive records of bulk fuel purc</w:t>
      </w:r>
    </w:p>
    <w:p>
      <w:pPr/>
      <w:r>
        <w:rPr>
          <w:b/>
        </w:rPr>
        <w:t>POSSIBLE 2018:</w:t>
      </w:r>
      <w:r>
        <w:t xml:space="preserve"> Final Neo-Carbon Energy Countdown – Ready for Renewables — https://doi.org/10.13140/rg.2.2.14147.25129</w:t>
      </w:r>
    </w:p>
    <w:p>
      <w:pPr/>
      <w:r>
        <w:rPr>
          <w:b/>
        </w:rPr>
        <w:t>Shared claim-specific concepts:</w:t>
      </w:r>
      <w:r>
        <w:t xml:space="preserve"> four, neo-carbon, energy, project; EU scope not established. This is a provisional connection, not an outcome finding.</w:t>
      </w:r>
    </w:p>
    <w:p>
      <w:pPr>
        <w:pStyle w:val="SourceNote"/>
      </w:pPr>
      <w:r>
        <w:rPr>
          <w:b/>
        </w:rPr>
        <w:t>Available abstract (not full text):</w:t>
      </w:r>
      <w:r>
        <w:t xml:space="preserve"> Renewables-based Neo-Carbon Vision of the world in 2050 portrays an electrified, resilient and secure society with empowered, prosumeristic citizens who upload their surplus energy into smart grids as well as download energy when needed. The following overview on key insights of the Neo-Carbon Energy project on energy futures helps to frame the academic and societal discourse in the years to come. Four scenarios assume a social perspective to open up very different avenues as transformative manifestations of this vision. The vision shows the pre-ferred goal – a renewables-based society – while the scenarios outline alternative expressions and pathways towards the desired vision. Finally, the actors that can make this change happen have to be identified and supported, especially in policy-making, and the role of energy markets re-thought.</w:t>
      </w:r>
    </w:p>
    <w:p>
      <w:pPr>
        <w:pStyle w:val="Heading2"/>
      </w:pPr>
      <w:r>
        <w:t>730.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2024:</w:t>
      </w:r>
      <w:r>
        <w:t xml:space="preserve"> DECARBONIZING FREIGHT TRANSPORTATION IN BRAZIL: METHODOLOGIES, RESULTS AND PRACTICAL IMPLICATIONS — https://doi.org/10.26668/businessreview/2024.v9i10.4667</w:t>
      </w:r>
    </w:p>
    <w:p>
      <w:pPr/>
      <w:r>
        <w:rPr>
          <w:b/>
        </w:rPr>
        <w:t>Shared claim-specific concepts:</w:t>
      </w:r>
      <w:r>
        <w:t xml:space="preserve"> decarbonizing, transportation, ghg, emissions, two; EU scope not established. This is a provisional connection, not an outcome finding.</w:t>
      </w:r>
    </w:p>
    <w:p>
      <w:pPr>
        <w:pStyle w:val="SourceNote"/>
      </w:pPr>
      <w:r>
        <w:rPr>
          <w:b/>
        </w:rPr>
        <w:t>Available abstract (not full text):</w:t>
      </w:r>
      <w:r>
        <w:t xml:space="preserve"> Objective: The objective of this technological article is to present a practical tool for calculating CO2 emissions based on fuel consumption applied in a small road freight transport company. Theoretical Framework: There are 4 methods available in the literature for calculating CO2 emissions produced during cargo transport, which stand out for their applicability: (1) GHG Procol; (2) MNT; (3) DEFRA; and (4) GLEC. The authors (Leonardi &amp; Baumgartner, 2004; Lewis et al., 2016) have methodologies for calculating emissions from freight transport, which currently present significant variability in the approaches and databases recommended. The main methodologies in this area are based on two main foundations: (1) fuel-based methodologies; (2) activity-based methodologies. Method: The calculation methodology used is based on fuel consumption (bottom-up), which considered the characteristics of the target fleet, the number of vehicles and their technological phase, the actual intensity of fleet use in operation, and real fuel consumption. Results and Discussion: From this initial information, it was possible to obtain the volume of CO2 emissions specific to the fleet, considering vehicles using regular diesel and biodiesel (S10). The results indicated a fleet CO2 emission of 1,643 tons per year with the use of biodiesel (S10), representing a 10.5% reduction compared to the total CO2 e</w:t>
      </w:r>
    </w:p>
    <w:p>
      <w:pPr/>
      <w:r>
        <w:rPr>
          <w:b/>
        </w:rPr>
        <w:t>POSSIBLE 2024:</w:t>
      </w:r>
      <w:r>
        <w:t xml:space="preserve"> Decarbonization with induced technical change: Exploring the niche potential of hydrogen in heavy transportation — https://doi.org/10.1016/j.jclepro.2024.140743</w:t>
      </w:r>
    </w:p>
    <w:p>
      <w:pPr/>
      <w:r>
        <w:rPr>
          <w:b/>
        </w:rPr>
        <w:t>Shared claim-specific concepts:</w:t>
      </w:r>
      <w:r>
        <w:t xml:space="preserve"> transportation, sector, energy, one; EU scope visible. This is a provisional connection, not an outcome finding.</w:t>
      </w:r>
    </w:p>
    <w:p>
      <w:pPr>
        <w:pStyle w:val="SourceNote"/>
      </w:pPr>
      <w:r>
        <w:rPr>
          <w:b/>
        </w:rPr>
        <w:t>Available abstract (not full text):</w:t>
      </w:r>
      <w:r>
        <w:t xml:space="preserve"> Fuel cells and electric batteries are competing technologies for the energy transition in heavy transportation. We explore the conditions for the survival of a unique technology in the long term. Learning by doing suggests focusing on a single technology while differentiation and decreasing return to scale (cost convexity) favor diversification. Exogenous technical change also plays a role. The interaction between these factors is analyzed in a general model. It is proved that in absence of convexity and exogenous technical change, only one technology is used for the whole transition. We then apply this framework to analyze the competition between fuel-cell electric buses (FCEBs) and battery electric buses (BEB) in the European bus sector, considering both learning by doing and exogenous technical change. The model is calibrated and solved. It is shown that the existence of a niche for FCEBs critically depends on the speed at which cost reductions are achieved. The speed depends both on the size of the niche and the rate of learning by doing for FCEBs. Public policies to decentralize the socially optimal trajectory in terms of carbon tax and subsidies to learning by doing are derived.</w:t>
      </w:r>
    </w:p>
    <w:p>
      <w:pPr/>
      <w:r>
        <w:rPr>
          <w:b/>
        </w:rPr>
        <w:t>POSSIBLE 2024:</w:t>
      </w:r>
      <w:r>
        <w:t xml:space="preserve"> The Significance of Economic Complexity and Renewable Energy for Decarbonization in Eastern European Countries — https://doi.org/10.3390/en17215271</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Emerging states’ path to enhancing the welfare of their citizens has been strongly accompanied by environmental degradation; climate change effects often abrogate their economic results. This zero-sum game must change, and environmental concerns should be considered when the development of a country is discussed and assessed. In this sense, this study’s objective is to analyze the impact of economic complexity and renewable energy consumption in the presence of economic growth and urbanization in selected emerging European countries from 1995 to 2021. We used a multiple-methodologic approach to highlight the supportive effects of economic complexity and renewable energy consumption in mitigating carbon emissions. Furthermore, the effects of economic growth and urbanization were emphasized by applying the cointegration regression (CCR), fully modified OLS, and dynamic OLS (FMOLS–DOLS) approaches. Additionally, we used Driscoll–Kraay estimation regression to test the robustness of our results. The results reveal the beneficial role of renewable energy consumption and economic complexity in the decarbonization process of selected countries. Furthermore, the study highlighted the detrimental influence of urbanization and economic growth, which were feasible considering the emerging status of the countries included in the panel.</w:t>
      </w:r>
    </w:p>
    <w:p>
      <w:pPr/>
      <w:r>
        <w:rPr>
          <w:b/>
        </w:rPr>
        <w:t>POSSIBLE 2024:</w:t>
      </w:r>
      <w:r>
        <w:t xml:space="preserve"> The Impact of Deep Decarbonization Policy on the Level of Greenhouse Gas Emissions in the European Union — https://doi.org/10.3390/en17051245</w:t>
      </w:r>
    </w:p>
    <w:p>
      <w:pPr/>
      <w:r>
        <w:rPr>
          <w:b/>
        </w:rPr>
        <w:t>Shared claim-specific concepts:</w:t>
      </w:r>
      <w:r>
        <w:t xml:space="preserve"> greenhouse, gas, emissions, energy, within; EU scope visible. This is a provisional connection, not an outcome finding.</w:t>
      </w:r>
    </w:p>
    <w:p>
      <w:pPr>
        <w:pStyle w:val="SourceNote"/>
      </w:pPr>
      <w:r>
        <w:rPr>
          <w:b/>
        </w:rPr>
        <w:t>Available abstract (not full text):</w:t>
      </w:r>
      <w:r>
        <w:t xml:space="preserve"> The Green Deal, a cornerstone of the European Union’s climate goals, sets out to achieve a substantial 55% reduction in greenhouse gas emissions by 2030 compared to 1990 levels. The EU’s decarbonization strategies revolve around three pivotal avenues. First, there is a focus on enhancing energy efficiency and decreasing the energy intensity of economies. Second, concerted efforts are made to diminish the reliance on fossil fuels, particularly within industrial sectors. Lastly, there is a deliberate push to augment the share of renewable energy sources in the final energy consumption mix. These measures collectively aim to propel the decarbonization of EU economies, establishing EU member countries as global leaders in implementing these transformative processes. This manuscript seeks to evaluate the efficacy of three primary decarbonization strategies adopted by EU economies, namely the enhancement in energy efficiency, the promotion of renewable energy consumption and the reduction in fossil fuel consumption. The objective is to discern which strategies wield a decisive influence in achieving decarbonization goals across EU countries. The analysis encompasses all 27 member states of the European Union, spanning from 1990 to 2022, with data sourced from reputable outlets, including Eurostat, Our World in Data and the Energy Institute. Research findings underscore that, in the r</w:t>
      </w:r>
    </w:p>
    <w:p>
      <w:pPr/>
      <w:r>
        <w:rPr>
          <w:b/>
        </w:rPr>
        <w:t>POSSIBLE 2023:</w:t>
      </w:r>
      <w:r>
        <w:t xml:space="preserve"> Decarbonization potential of future sustainable propulsion—A review of road transportation — https://doi.org/10.1002/ese3.1434</w:t>
      </w:r>
    </w:p>
    <w:p>
      <w:pPr/>
      <w:r>
        <w:rPr>
          <w:b/>
        </w:rPr>
        <w:t>Shared claim-specific concepts:</w:t>
      </w:r>
      <w:r>
        <w:t xml:space="preserve"> transportation, greenhouse, gas, emissions, energy, system; EU scope not established. This is a provisional connection, not an outcome finding.</w:t>
      </w:r>
    </w:p>
    <w:p>
      <w:pPr>
        <w:pStyle w:val="SourceNote"/>
      </w:pPr>
      <w:r>
        <w:rPr>
          <w:b/>
        </w:rPr>
        <w:t>Available abstract (not full text):</w:t>
      </w:r>
      <w:r>
        <w:t xml:space="preserve"> Abstract Modern automotive propulsion technologies must achieve the highest CO 2 reduction potential quickly to abide by the requirements of the Paris Climate Agreement. A collective utilization of renewable fuels, e‐fuels, hydrogen, and electrical energy will be able to meet different mobility and transport requirements in an optimal and CO 2 ‐neutral approach. The well‐to‐wheel greenhouse gas emissions of a propulsion system are determined by two factors, that is, the energy efficiency of the system and the carbon intensity of the energy source. Regardless of the CO 2 emission generated during the battery manufacturing and recycling process, the carbon intensity of the battery electric vehicles during operation is mainly decided by the carbon intensity of the electricity being consumed. The relatively low fleet ratios of battery electric and hydrogen‐powered vehicles and the massive remaining useful life of current internal combustion engine vehicle stock limit their impact on decarbonization in the near term. The expansion of charging infrastructure requires significant acceleration for the success of large‐scale and rapid electric vehicle adoption. For internal combustion engines, the focus is to further improve energy efficiency and the adoption of low‐to‐zero carbon renewable fuels. Hybrid and plug‐in hybrid vehicles are demonstrating the advantages of combining state‐of‐</w:t>
      </w:r>
    </w:p>
    <w:p>
      <w:pPr/>
      <w:r>
        <w:rPr>
          <w:b/>
        </w:rPr>
        <w:t>POSSIBLE 2023:</w:t>
      </w:r>
      <w:r>
        <w:t xml:space="preserve"> Electrification of onshore power systems in maritime transportation towards decarbonization of ports: A review of the cold ironing technology — https://doi.org/10.1016/j.rser.2023.113243</w:t>
      </w:r>
    </w:p>
    <w:p>
      <w:pPr/>
      <w:r>
        <w:rPr>
          <w:b/>
        </w:rPr>
        <w:t>Shared claim-specific concepts:</w:t>
      </w:r>
      <w:r>
        <w:t xml:space="preserve"> transportation, high, electrification; EU scope not established. This is a provisional connection, not an outcome finding.</w:t>
      </w:r>
    </w:p>
    <w:p>
      <w:pPr>
        <w:pStyle w:val="SourceNote"/>
      </w:pPr>
      <w:r>
        <w:rPr>
          <w:b/>
        </w:rPr>
        <w:t>Available abstract (not full text):</w:t>
      </w:r>
      <w:r>
        <w:t xml:space="preserve"> Cold ironing is a remarkable electrification innovation in the maritime industry for ship transportation, in which diesel engines driving ship generators for onboard load are switched to shore-supplied electricity during berthing. This facility serves not only as an alternative power supply for electric ships but also as part of the green port's strategy. Cold ironing installation is expected to be unavoidable in the long term for all port operators due to stringent emission policies. Even though cold ironing is used by a few ports across the world, it is still regarded as an underutilized technology due to the high upfront cost associated with the shoreside installation and ship's retrofitting, as well as unclear benefits for both sides. The involvement of diverse types of ships with different power requirements, various operational schemes, unpredictable berthing hours, uncertainty in the availability of local power sources, and synchronization issues among others make it very complex to coordinate for optimal cold ironing operations, which necessitate further investigations. This review gives an overview of cold ironing technology, including its operation, power requirement, standardization, challenges, and important assessment for evaluation. A cold ironing implementation strategy to achieve the ultimate seaport decarbonization goal through a synergy between cold ironing an</w:t>
      </w:r>
    </w:p>
    <w:p>
      <w:pPr/>
      <w:r>
        <w:rPr>
          <w:b/>
        </w:rPr>
        <w:t>POSSIBLE 2023:</w:t>
      </w:r>
      <w:r>
        <w:t xml:space="preserve"> Decarbonization Prospects for the European Pulp and Paper Industry: Different Development Pathways and Needed Actions — https://doi.org/10.3390/en16020746</w:t>
      </w:r>
    </w:p>
    <w:p>
      <w:pPr/>
      <w:r>
        <w:rPr>
          <w:b/>
        </w:rPr>
        <w:t>Shared claim-specific concepts:</w:t>
      </w:r>
      <w:r>
        <w:t xml:space="preserve"> sector, emissions, energy, electrification, other; EU scope visible. This is a provisional connection, not an outcome finding.</w:t>
      </w:r>
    </w:p>
    <w:p>
      <w:pPr>
        <w:pStyle w:val="SourceNote"/>
      </w:pPr>
      <w:r>
        <w:rPr>
          <w:b/>
        </w:rPr>
        <w:t>Available abstract (not full text):</w:t>
      </w:r>
      <w:r>
        <w:t xml:space="preserve"> The pulp and paper industry (PPI) has several opportunities to contribute to meeting prevailing climate targets. It can cut its own CO2 emissions, which currently account for 2% of global industrial fossil CO2 emissions, and it has an opportunity to produce renewable energy, fuels, and materials for other sectors. The purpose of this study is to improve understanding of the decarbonization prospects of the PPI. The study provides insights on the magnitude of needed annual renewal rates for several possible net-zero target years of industrial fossil CO2 emissions in the PPI and discusses decarbonization opportunities, namely, energy and material efficiency improvement, fuel switching, electrification, renewable energy production, carbon capture, and new products. The effects of climate policies on the decarbonization opportunities are critically evaluated to provide an overview of the current and future business environment of the European PPI. The focus is on Europe, but other regions are analyzed briefly to widen the view. The analysis shows that there are no major technical barriers to the fossil-free operation of the PPI, but the sector renovates slowly, and many new opportunities are not implemented on a large scale due to immature technology, poor economic feasibility, or unclear political environment.</w:t>
      </w:r>
    </w:p>
    <w:p>
      <w:pPr/>
      <w:r>
        <w:rPr>
          <w:b/>
        </w:rPr>
        <w:t>POSSIBLE 2021:</w:t>
      </w:r>
      <w:r>
        <w:t xml:space="preserve"> Hydrogen is Essential for Industry and Transportation Decarbonization — https://doi.org/10.1149/2.f18214if</w:t>
      </w:r>
    </w:p>
    <w:p>
      <w:pPr/>
      <w:r>
        <w:rPr>
          <w:b/>
        </w:rPr>
        <w:t>Shared claim-specific concepts:</w:t>
      </w:r>
      <w:r>
        <w:t xml:space="preserve"> decarbonizing, transportation, sector, energy, high; EU scope not established. This is a provisional connection, not an outcome finding.</w:t>
      </w:r>
    </w:p>
    <w:p>
      <w:pPr>
        <w:pStyle w:val="SourceNote"/>
      </w:pPr>
      <w:r>
        <w:rPr>
          <w:b/>
        </w:rPr>
        <w:t>Available abstract (not full text):</w:t>
      </w:r>
      <w:r>
        <w:t xml:space="preserve"> Hydrogen will play a critical role in a future comprehensive energy portfolio; hydrogen will be the decarbonizing tie between the different energy production sources and their end uses. Hydrogen acts as a zero-carbon energy carrier to couple energy sources and end uses. This provides the methodology to decarbonize the major energy consumption sectors of (1) the electric grid, (2) transportation and (3) industrial processes. It can provide energy storage supporting intermittent renewable power and cost-effective energy resilience; it enables the massive and seasonal energy storage that is required for a zero-emissions electric grid. It can be used in the transportation sector, especially for heavy-duty transportation where long ranges and fast refueling are critical. Renewable hydrogen is critical to decarbonize industrial processes that have needs for high temperature, chemical reduction and refining and chemical feedstocks. Hydrogen is potentially the only viable method to decarbonize all sectors of the economy simultaneously.</w:t>
      </w:r>
    </w:p>
    <w:p>
      <w:pPr>
        <w:pStyle w:val="Heading2"/>
      </w:pPr>
      <w:r>
        <w:t>731.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2023:</w:t>
      </w:r>
      <w:r>
        <w:t xml:space="preserve"> Investigation into Factors Affecting Penetration Rate and Favorable Ground Types of Pipe Jacking — https://doi.org/10.2174/18748368-v17-2305300-2022-24</w:t>
      </w:r>
    </w:p>
    <w:p>
      <w:pPr/>
      <w:r>
        <w:rPr>
          <w:b/>
        </w:rPr>
        <w:t>Shared claim-specific concepts:</w:t>
      </w:r>
      <w:r>
        <w:t xml:space="preserve"> penetration, among, identify; EU scope not established. This is a provisional connection, not an outcome finding.</w:t>
      </w:r>
    </w:p>
    <w:p>
      <w:pPr>
        <w:pStyle w:val="SourceNote"/>
      </w:pPr>
      <w:r>
        <w:rPr>
          <w:b/>
        </w:rPr>
        <w:t>Available abstract (not full text):</w:t>
      </w:r>
      <w:r>
        <w:t xml:space="preserve"> Introduction: Improper assessment of the penetration rate (PR) of pipe jacking (PJ) may lead to serious schedule delays and cost overruns. In the current practice, PR is estimated on the basis of the experience of practitioners. This has resulted in predicted PR values that are not consistent with the actual ones. A guideline that can be used to reliably predict PR and account for the effects of the significantly controlling factors is not available. This negatively affects the estimated project time and cost. The problems stem from the many factors that affect PR such as the ground conditions, installation depth, machine type, operator experience, and pipe diameter. Little research has been made in this regard. So this research will focus on two main objectives; the first is to identify, categorize and rank the factors that affect PR, and the second is to investigate the common types of ground and PJ machines in Egypt and the Middle East to determine the favorable ground types for PJ machines. Methods: To determine the factors that affect the PR of PJ and their relative importance, interviews were made with 17 PJ experts in Egypt. Then, a questionnaire was sent to 149 PJ experts in Egypt and the Middle East. The obtained responses were analyzed and the relative importance of all factors was determined. Based on the interviews with experts and the questionnaire survey, the favo</w:t>
      </w:r>
    </w:p>
    <w:p>
      <w:pPr/>
      <w:r>
        <w:rPr>
          <w:b/>
        </w:rPr>
        <w:t>POSSIBLE 2021:</w:t>
      </w:r>
      <w:r>
        <w:t xml:space="preserve"> The Broadband Penetration in Europe — https://doi.org/10.57017/jaes.v16.3(73).07</w:t>
      </w:r>
    </w:p>
    <w:p>
      <w:pPr/>
      <w:r>
        <w:rPr>
          <w:b/>
        </w:rPr>
        <w:t>Shared claim-specific concepts:</w:t>
      </w:r>
      <w:r>
        <w:t xml:space="preserve"> penetration, expected, different, estimate; EU scope visible. This is a provisional connection, not an outcome finding.</w:t>
      </w:r>
    </w:p>
    <w:p>
      <w:pPr>
        <w:pStyle w:val="SourceNote"/>
      </w:pPr>
      <w:r>
        <w:rPr>
          <w:b/>
        </w:rPr>
        <w:t>Available abstract (not full text):</w:t>
      </w:r>
      <w:r>
        <w:t xml:space="preserve"> In this article we estimate the determinants of broadband penetration in Europe. We use data from the European Innovation Scoreboard of the European Commission for 37 countries in the period 2010-2019. We apply Panel Data with Fixed Effects, Panel Data with Random Effects, WLS, OLS and Dynamic Panel. We found that the level of “Broadband Penetration” in Europe is positively associated to “Enterprises Providing ICT Training”, “Innovative Sales Share”, “Intellectual Assets”, “Knowledge-Intensive Service Exports”, “Turnover Share SMEs”, “Innovation Friendly Environment” and negatively associated with “Government procurement of advanced technology products”, “Sales Impact”, “Firm Investments”, “Opportunity-Driven Entrepreneurship”, “Most Cited Publications”, “Rule of Law”. In adjunct we perform a clusterization with k-Means algorithm optimized with the Silhouette Coefficient and we find the presence of three different clusters. Finally, we apply eight machine learning algorithms to predict the level of “Broadband Penetration” in Europe and we find that the Polynomial Regression algorithm is the best predictor and that the level of the variable is expected to increase of 10,4%.</w:t>
      </w:r>
    </w:p>
    <w:p>
      <w:pPr/>
      <w:r>
        <w:rPr>
          <w:b/>
        </w:rPr>
        <w:t>POSSIBLE 2021:</w:t>
      </w:r>
      <w:r>
        <w:t xml:space="preserve"> DEM study of particle scale and penetration rate on the installation mechanisms of screw piles in sand — https://doi.org/10.1016/j.compgeo.2021.104380</w:t>
      </w:r>
    </w:p>
    <w:p>
      <w:pPr/>
      <w:r>
        <w:rPr>
          <w:b/>
        </w:rPr>
        <w:t>Shared claim-specific concepts:</w:t>
      </w:r>
      <w:r>
        <w:t xml:space="preserve"> penetration, different, behaviour; EU scope not established. This is a provisional connection, not an outcome finding.</w:t>
      </w:r>
    </w:p>
    <w:p>
      <w:pPr>
        <w:pStyle w:val="SourceNote"/>
      </w:pPr>
      <w:r>
        <w:rPr>
          <w:b/>
        </w:rPr>
        <w:t>Available abstract (not full text):</w:t>
      </w:r>
      <w:r>
        <w:t xml:space="preserve"> Screw piles are efficient anchors to sustain large uplift loads and can be installed with low noise or vibration. Screw piles dimensions are currently increasing, renewing research interest to reduce the installation requirements (torque and crowd or vertical force). The Discrete Element Method (DEM) is an ideal technique to investigate the complex soil behaviour during screw pile installation. Different techniques such as particle upscaling or increase of pile penetration rate have been used to reduce the CPU time to more acceptable durations (e.g. few days or weeks). This paper investigates how such techniques can affect the accuracy of the results and change the installation mechanisms. Results show that maintaining a low particle scaling factor is essential to reproduce the correct mechanism at low pile advancement ratio (AR, defined as the vertical displacement per rotation divided by the helix pitch). The pile overflighting (AR ≤ 1) creates an upwards movement of particles, which in turn creates some tension in the pile. Smaller advancement ratios require smaller particles to accurately capture this effect. Results also show that the pile penetration rate must be maintained relatively low to avoid spurious inertial effects.</w:t>
      </w:r>
    </w:p>
    <w:p>
      <w:pPr/>
      <w:r>
        <w:rPr>
          <w:b/>
        </w:rPr>
        <w:t>POSSIBLE 2021:</w:t>
      </w:r>
      <w:r>
        <w:t xml:space="preserve"> Cosmetics Europe evaluation of 6 in silico skin penetration models — https://doi.org/10.1016/j.comtox.2021.100177</w:t>
      </w:r>
    </w:p>
    <w:p>
      <w:pPr/>
      <w:r>
        <w:rPr>
          <w:b/>
        </w:rPr>
        <w:t>Shared claim-specific concepts:</w:t>
      </w:r>
      <w:r>
        <w:t xml:space="preserve"> penetration, different, between; EU scope visible. This is a provisional connection, not an outcome finding.</w:t>
      </w:r>
    </w:p>
    <w:p>
      <w:pPr>
        <w:pStyle w:val="SourceNote"/>
      </w:pPr>
      <w:r>
        <w:rPr>
          <w:b/>
        </w:rPr>
        <w:t>Available abstract (not full text):</w:t>
      </w:r>
      <w:r>
        <w:t xml:space="preserve"> The ADME TF aims to develop in silico skin penetration models using in vitro human skin penetration data for 25 chemicals solubilized in wataer. Since there are widely differing opinions on different in silico models, we evaluated 3 open source (DermWin™, CDC and the University of Surrey models) and 3 commercial models (DSkin, SimCyp and TCAT). Simulation of cutaneous distribution used a finite dose exposure scenario. None of the models adequately predicted the amount of chemical that evaporated. This was important since the prediction of dermal delivery (DD) was improved when the evaporated amount was accounted for in the simulations. The ability to predict the amounts in skin layers varied between models, and the DD were generally over-predicted by 4 models and under-predicted by 1 model. Interestingly, measured partition and diffusion coefficients for the stratum corneum (SC) improved the DD prediction by one model from R2 = 0.23 to R2 = 0.57, while DD was predicted well by other models using QSAR values with higher R2 = 0.80. The effect of ethanol on DD was indicated by 5 of the models used, although they all over-predicted the DD. In conclusion, our evaluation highlighted important differences in 6 models and identified required improvement of in silico models.</w:t>
      </w:r>
    </w:p>
    <w:p>
      <w:pPr/>
      <w:r>
        <w:rPr>
          <w:b/>
        </w:rPr>
        <w:t>POSSIBLE 2021:</w:t>
      </w:r>
      <w:r>
        <w:t xml:space="preserve"> Experimental and HIL investigation of under-frequency and rate of change of frequency load shedding schemes in interconnected networks with high penetration of renewable generation — https://doi.org/10.1049/icp.2021.1898</w:t>
      </w:r>
    </w:p>
    <w:p>
      <w:pPr/>
      <w:r>
        <w:rPr>
          <w:b/>
        </w:rPr>
        <w:t>Shared claim-specific concepts:</w:t>
      </w:r>
      <w:r>
        <w:t xml:space="preserve"> penetration, expected, different; EU scope visible. This is a provisional connection, not an outcome finding.</w:t>
      </w:r>
    </w:p>
    <w:p>
      <w:pPr>
        <w:pStyle w:val="SourceNote"/>
      </w:pPr>
      <w:r>
        <w:rPr>
          <w:b/>
        </w:rPr>
        <w:t>Available abstract (not full text):</w:t>
      </w:r>
      <w:r>
        <w:t xml:space="preserve"> Under-frequency Load Shedding Schemes (UFLS) are a well-established part of any under-frequency defence plan. Their future effectiveness in systems with increased penetration of renewable energy sources without rotating mass should however be questioned: lower inertia implies higher frequency gradients; more power electronics implies higher harmonics. Both factors will concur to make frequency measurements and short relay operation times more challenging: In this contribution, the impact of the penetration of renewable sources on the rate of change of frequency (RoCoF) in continental Europe has been simulated with the dynamic ENTSO-E model for different penetration levels, confirming the higher RoCoF and lower frequency nadir to be expected in case of large disturbances. The operation of the current UFLS scheme is included in the model and has been compared with a scheme incorporating a RoCoF criterion. The authors have also performed laboratory tests in order to assess the use of RoCoF-based load shedding as an improvement to frequency-only based load shedding schemes. Central European transmission and distribution system operators have established joint bodies for agreeing on the best evolution of underfrequency defence plans: challenges include frequency measurement and correct coordination of several control schemes and approaches within the CE transmission system community</w:t>
      </w:r>
    </w:p>
    <w:p>
      <w:pPr/>
      <w:r>
        <w:rPr>
          <w:b/>
        </w:rPr>
        <w:t>POSSIBLE 2021:</w:t>
      </w:r>
      <w:r>
        <w:t xml:space="preserve"> Penetration rates of new pharmaceutical products in Europe: A comparative study of several classes recently launched in type-2 diabetes — https://doi.org/10.1016/j.ando.2020.12.009</w:t>
      </w:r>
    </w:p>
    <w:p>
      <w:pPr/>
      <w:r>
        <w:rPr>
          <w:b/>
        </w:rPr>
        <w:t>Shared claim-specific concepts:</w:t>
      </w:r>
      <w:r>
        <w:t xml:space="preserve"> penetration, rates, different, between, potential; EU scope visible. This is a provisional connection, not an outcome finding.</w:t>
      </w:r>
    </w:p>
    <w:p>
      <w:pPr>
        <w:pStyle w:val="SourceNote"/>
      </w:pPr>
      <w:r>
        <w:rPr>
          <w:b/>
        </w:rPr>
        <w:t>Available abstract (not full text):</w:t>
      </w:r>
      <w:r>
        <w:t xml:space="preserve"> Different countries have their own systems for evaluating new medicines, and they make decisions as to when and how each new medicine is adopted. To compare the rate of uptake of new diabetes medicines (dipeptidyl peptidase-4 inhibitors [DPP-4Is], glucagon-like peptide-1 receptor agonists [GLP1-RAs], and sodium-glucose co-transporter-2 inhibitors [SGLT2Is]) in the five most populated European countries. The monthly volume of sales of antidiabetic drugs was extracted for each country from the IQVIA™ MIDAS® database for the period 2007 to 2016 and the defined daily doses (DDDs) were calculated. For each new drug, market shares were expressed as a percentage of the total market of non-insulin antidiabetic agents. Sharp differences were observed between the countries. Overall, the highest and fastest rates of uptake were seen for Germany and Spain, compared to lower rates for the UK and Italy. This was especially marked for DPP-4Is, where the market share reached over 30% of non-insulin antidiabetic drugs in Germany and Spain, compared to around 10% in the UK and Italy. In France, there was an initial rapid uptake, which stabilized at around 20% after three years. Rates of uptake were lower for the other drugs, with the GLP1-RAs reaching a market share of 2.5–4.5% in Germany, Spain and France, compared to less than 2.5% in the UK and Italy. The SGLT2Is reached a market share of 5–8</w:t>
      </w:r>
    </w:p>
    <w:p>
      <w:pPr/>
      <w:r>
        <w:rPr>
          <w:b/>
        </w:rPr>
        <w:t>POSSIBLE 2020:</w:t>
      </w:r>
      <w:r>
        <w:t xml:space="preserve"> Electricity demand and carbon emission in power generation under high penetration of electric vehicles. A European Union perspective — https://doi.org/10.1016/j.egyr.2020.09.025</w:t>
      </w:r>
    </w:p>
    <w:p>
      <w:pPr/>
      <w:r>
        <w:rPr>
          <w:b/>
        </w:rPr>
        <w:t>Shared claim-specific concepts:</w:t>
      </w:r>
      <w:r>
        <w:t xml:space="preserve"> penetration, expected, vehicles, identify, transport; EU scope visible. This is a provisional connection, not an outcome finding.</w:t>
      </w:r>
    </w:p>
    <w:p>
      <w:pPr>
        <w:pStyle w:val="SourceNote"/>
      </w:pPr>
      <w:r>
        <w:rPr>
          <w:b/>
        </w:rPr>
        <w:t>Available abstract (not full text):</w:t>
      </w:r>
      <w:r>
        <w:t xml:space="preserve"> The European Union has set targets to reduce the greenhouse gases emissions in total energy consumption as a part of the securing the clean energy initiative and the efforts of carbon emissions reductions of 90%, compared to the 1990 ones, until 2050. The transport sector is particularly exacerbating the above problems. Focusing on their fight, European authorities have invested and continue to invest in electric propulsion. In the European Union, electric mobility has grown tremendously in the last decade. Specifically, more and more automobile industries are turning their interest in electric technology to replace conventional cars which they use internal combustion engine. This study tries to evaluate the impact of the electric vehicle penetration in the electricity demand and related emissions inside the EU, in three steps. First, the penetration of electric vehicles into the Union is evaluated through literature review, then the impact in electricity demand due to the electric vehicles penetration is estimated and finally the emission of carbon dioxide gases allocated to these changes in the electricity demand are calculated based on official data published by EuroStat. The results were calculated using the most common prognostic tools in order to identify the expected trends, and showed that the future electrification in transportation will support the efforts on reducing</w:t>
      </w:r>
    </w:p>
    <w:p>
      <w:pPr/>
      <w:r>
        <w:rPr>
          <w:b/>
        </w:rPr>
        <w:t>POSSIBLE 2019:</w:t>
      </w:r>
      <w:r>
        <w:t xml:space="preserve"> Adoption of Cooperative Intelligent Transport Systems in Flemish passenger cars: a review of European Policy Options — https://doi.org/10.1109/ctte-fitce.2019.8894817</w:t>
      </w:r>
    </w:p>
    <w:p>
      <w:pPr/>
      <w:r>
        <w:rPr>
          <w:b/>
        </w:rPr>
        <w:t>Shared claim-specific concepts:</w:t>
      </w:r>
      <w:r>
        <w:t xml:space="preserve"> penetration, rates, expected, vehicles, traffic, transport; EU scope visible. This is a provisional connection, not an outcome finding.</w:t>
      </w:r>
    </w:p>
    <w:p>
      <w:pPr>
        <w:pStyle w:val="SourceNote"/>
      </w:pPr>
      <w:r>
        <w:rPr>
          <w:b/>
        </w:rPr>
        <w:t>Available abstract (not full text):</w:t>
      </w:r>
      <w:r>
        <w:t xml:space="preserve"> Cooperative Intelligent Transportation Systems (C-ITS) enable vehicles to be aware of objects that are not in line of sight, by interacting directly with each other and the surrounding road infrastructure. C-ITS promise to reduce traffic congestion, lessen the environmental impact of transportation, and most importantly, significantly reduce the number of (lethal) traffic accidents. As C-ITS is subject to strong network effects, adoption of C-ITS is a key driver of its (societal) benefits. Therefore, this paper estimates penetration rates of C-ITS equipped cars in the car park of Flanders, Belgium. Based on the preferred policy option with mandatory adoption, as proposed in the recent new Delegated Regulation of the European Commission, full penetration of C-ITS in the Flemish car park is expected later than twenty years after the mandate enters into force. Determination of C-ITS adoption numbers is valuable for a number of stakeholders, such as national and local governments, road authorities, technology providers and network operators. Additionally, penetration numbers allow Member States to ascertain to what extent C-ITS can contribute to the goal of zero traffic mortalities by 2050, as envisioned by the European Commission.</w:t>
      </w:r>
    </w:p>
    <w:p>
      <w:pPr>
        <w:pStyle w:val="Heading2"/>
      </w:pPr>
      <w:r>
        <w:t>732.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2020:</w:t>
      </w:r>
      <w:r>
        <w:t xml:space="preserve"> European Union Responses to the Covid-19 Pandemic: adaptability in times of Permanent Emergency — https://doi.org/10.1080/07036337.2020.1853120</w:t>
      </w:r>
    </w:p>
    <w:p>
      <w:pPr/>
      <w:r>
        <w:rPr>
          <w:b/>
        </w:rPr>
        <w:t>Shared claim-specific concepts:</w:t>
      </w:r>
      <w:r>
        <w:t xml:space="preserve"> permanent, across; EU scope visible. This is a provisional connection, not an outcome finding.</w:t>
      </w:r>
    </w:p>
    <w:p>
      <w:pPr>
        <w:pStyle w:val="SourceNote"/>
      </w:pPr>
      <w:r>
        <w:rPr>
          <w:b/>
        </w:rPr>
        <w:t>Available abstract (not full text):</w:t>
      </w:r>
      <w:r>
        <w:t xml:space="preserve"> Exploring the challenges of Covid-19 for the European Union (EU) during March-August 2020, this article argues that contrary to prior crises the EU has demonstrated a certain degree of adaptability to a ‘permanent’ emergency mode. This adaptability varies across policy areas under study. Inter-crisis learning has been higher in state aid and economic governance than in the area of Schengen. Discursive shifts co-exist and have been central to the areas of cybercrime, economic governance and climate change. Additionally, and despite the tensions, there are signs of renewed political commitment to the European project and an acceleration of decisions and initiatives that had been decided or discussed before the pandemic. Although de-politicization and politicization trends continue to co-exist, we observe politicization at the top with European elites perceiving the Covid-19 emergency as an existential threat for the EU. Finally, we argue that the EU’s adaptability and acceleration of prior trends do not necessarily involve a race that favor supranational tendencies.</w:t>
      </w:r>
    </w:p>
    <w:p>
      <w:pPr/>
      <w:r>
        <w:rPr>
          <w:b/>
        </w:rPr>
        <w:t>POSSIBLE 2018:</w:t>
      </w:r>
      <w:r>
        <w:t xml:space="preserve"> Projected shift of Köppen–Geiger zones in the central Europe: A first insight into the implications for ecosystems and the society — https://doi.org/10.1002/joc.5520</w:t>
      </w:r>
    </w:p>
    <w:p>
      <w:pPr/>
      <w:r>
        <w:rPr>
          <w:b/>
        </w:rPr>
        <w:t>Shared claim-specific concepts:</w:t>
      </w:r>
      <w:r>
        <w:t xml:space="preserve"> permanent, land; EU scope visible. This is a provisional connection, not an outcome finding.</w:t>
      </w:r>
    </w:p>
    <w:p>
      <w:pPr>
        <w:pStyle w:val="SourceNote"/>
      </w:pPr>
      <w:r>
        <w:rPr>
          <w:b/>
        </w:rPr>
        <w:t>Available abstract (not full text):</w:t>
      </w:r>
      <w:r>
        <w:t xml:space="preserve"> We examined a future change of Köppen–Geiger climate classification zones in central Europe in the 21st century using the high‐resolution (10 km) bias‐corrected simulations of two regional climate models following the IPCC SRES A1B emission scenario. Temperate oceanic climate (Cfb) will remain the dominant climate type in central Europe but it will extent into higher altitudes and replace boreal or colder climate types that will practically vanish by the end of the 21st century. There is a risk of large‐scale expansion of humid subtropical (Cfa) climate in lower altitudes where 20–50% of population lives nowadays. In the end of the century the majority of arable land and permanent crops areas will be in the Cfa zone. A growing occurrence of Cfa‐like or Mediterranean climate‐like (Csa) years will reach up to 50% at some locations where 1.4 million people live today. Almost all agriculturally important areas and two thirds of the current population will be exposed to the occurrence of Cfa‐ and Csa‐like years at least once in 10 years which may result into a lower production of rain‐fed crops as it was the case of of Cfa‐ and Csa‐like years of 2000, 2012 and 2015.</w:t>
      </w:r>
    </w:p>
    <w:p>
      <w:pPr>
        <w:pStyle w:val="Heading2"/>
      </w:pPr>
      <w:r>
        <w:t>733.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2022:</w:t>
      </w:r>
      <w:r>
        <w:t xml:space="preserve"> Life expectancy changes since COVID-19 — https://doi.org/10.1038/s41562-022-01450-3</w:t>
      </w:r>
    </w:p>
    <w:p>
      <w:pPr/>
      <w:r>
        <w:rPr>
          <w:b/>
        </w:rPr>
        <w:t>Shared claim-specific concepts:</w:t>
      </w:r>
      <w:r>
        <w:t xml:space="preserve"> life, expectancy, over, chile; EU scope visible. This is a provisional connection, not an outcome finding.</w:t>
      </w:r>
    </w:p>
    <w:p>
      <w:pPr>
        <w:pStyle w:val="SourceNote"/>
      </w:pPr>
      <w:r>
        <w:rPr>
          <w:b/>
        </w:rPr>
        <w:t>Available abstract (not full text):</w:t>
      </w:r>
      <w:r>
        <w:t xml:space="preserve"> Abstract The COVID-19 pandemic triggered an unprecedented rise in mortality that translated into life expectancy losses around the world, with only a few exceptions. We estimate life expectancy changes in 29 countries since 2020, including most of Europe, the US and Chile, attribute them to mortality changes by age group, and compare them to historic life expectancy shocks. Our results show divergence in mortality impacts of the pandemic in 2021. While countries in Western Europe experienced bounce-backs from life expectancy losses of 2020, Eastern Europe and the US witnessed sustained and substantial life expectancy deficits. Life expectancy deficits among ages 60+ were strongly correlated with measures of vaccination uptake. In contrast to 2020, the age profile of excess mortality in 2021 was younger with those in under-80 age groups contributing more to life expectancy losses. However, even in 2021, registered COVID-19 deaths continued to account for most life expectancy losses. Research in context Evidence before this study The COVID-19 pandemic disrupted mortality trends around the world. Most high-income countries experienced life expectancy declines in 2020, and emerging evidence from low-to-middle income shows substantial losses in life expectancy with large regional variation. These analyses emphasise the impact of COVID-19 deaths and also highlight the effect of exces</w:t>
      </w:r>
    </w:p>
    <w:p>
      <w:pPr/>
      <w:r>
        <w:rPr>
          <w:b/>
        </w:rPr>
        <w:t>POSSIBLE 2021:</w:t>
      </w:r>
      <w:r>
        <w:t xml:space="preserve"> Inequality in life expectancies across Europe and the US — https://doi.org/10.1002/hec.4284</w:t>
      </w:r>
    </w:p>
    <w:p>
      <w:pPr/>
      <w:r>
        <w:rPr>
          <w:b/>
        </w:rPr>
        <w:t>Shared claim-specific concepts:</w:t>
      </w:r>
      <w:r>
        <w:t xml:space="preserve"> life, expectancy, advantage; EU scope visible. This is a provisional connection, not an outcome finding.</w:t>
      </w:r>
    </w:p>
    <w:p>
      <w:pPr>
        <w:pStyle w:val="SourceNote"/>
      </w:pPr>
      <w:r>
        <w:rPr>
          <w:b/>
        </w:rPr>
        <w:t>Available abstract (not full text):</w:t>
      </w:r>
      <w:r>
        <w:t xml:space="preserve"> We use harmonized household panel data from Europe and the US and a three-state survival model to provide comparable measurements of education and gender inequalities in total, healthy, and unhealthy life expectancies at age 50. Common across countries, the education advantage in total life expectancy is larger for males but the education advantage in (fewer) unhealthy years is larger for females. Counterfactual decompositions show that these results arise because the education advantage in conditional survival rates is relatively more important for males, while the education advantage in better health transitions is relatively more important for females. Across countries, the US stands out with the largest education gradient in healthy life expectancy.</w:t>
      </w:r>
    </w:p>
    <w:p>
      <w:pPr/>
      <w:r>
        <w:rPr>
          <w:b/>
        </w:rPr>
        <w:t>POSSIBLE 2021:</w:t>
      </w:r>
      <w:r>
        <w:t xml:space="preserve"> Quantifying impacts of the COVID-19 pandemic through life-expectancy losses: a population-level study of 29 countries — https://doi.org/10.1093/ije/dyab207</w:t>
      </w:r>
    </w:p>
    <w:p>
      <w:pPr/>
      <w:r>
        <w:rPr>
          <w:b/>
        </w:rPr>
        <w:t>Shared claim-specific concepts:</w:t>
      </w:r>
      <w:r>
        <w:t xml:space="preserve"> life, expectancy, chile; EU scope visible. This is a provisional connection, not an outcome finding.</w:t>
      </w:r>
    </w:p>
    <w:p>
      <w:pPr>
        <w:pStyle w:val="SourceNote"/>
      </w:pPr>
      <w:r>
        <w:rPr>
          <w:b/>
        </w:rPr>
        <w:t>Available abstract (not full text):</w:t>
      </w:r>
      <w:r>
        <w:t xml:space="preserve"> BACKGROUND: Variations in the age patterns and magnitudes of excess deaths, as well as differences in population sizes and age structures, make cross-national comparisons of the cumulative mortality impacts of the COVID-19 pandemic challenging. Life expectancy is a widely used indicator that provides a clear and cross-nationally comparable picture of the population-level impacts of the pandemic on mortality. METHODS: Life tables by sex were calculated for 29 countries, including most European countries, Chile and the USA, for 2015-2020. Life expectancy at birth and at age 60 years for 2020 were contextualized against recent trends between 2015 and 2019. Using decomposition techniques, we examined which specific age groups contributed to reductions in life expectancy in 2020 and to what extent reductions were attributable to official COVID-19 deaths. RESULTS: Life expectancy at birth declined from 2019 to 2020 in 27 out of 29 countries. Males in the USA and Lithuania experienced the largest losses in life expectancy at birth during 2020 (2.2 and 1.7 years, respectively), but reductions of more than an entire year were documented in 11 countries for males and 8 among females. Reductions were mostly attributable to increased mortality above age 60 years and to official COVID-19 deaths. CONCLUSIONS: The COVID-19 pandemic triggered significant mortality increases in 2020 of a magnit</w:t>
      </w:r>
    </w:p>
    <w:p>
      <w:pPr/>
      <w:r>
        <w:rPr>
          <w:b/>
        </w:rPr>
        <w:t>POSSIBLE 2020:</w:t>
      </w:r>
      <w:r>
        <w:t xml:space="preserve"> The combined impact of smoking, obesity and alcohol on life-expectancy trends in Europe — https://doi.org/10.1093/ije/dyaa273</w:t>
      </w:r>
    </w:p>
    <w:p>
      <w:pPr/>
      <w:r>
        <w:rPr>
          <w:b/>
        </w:rPr>
        <w:t>Shared claim-specific concepts:</w:t>
      </w:r>
      <w:r>
        <w:t xml:space="preserve"> life, expectancy, over, men, increase, gains; EU scope visible. This is a provisional connection, not an outcome finding.</w:t>
      </w:r>
    </w:p>
    <w:p>
      <w:pPr>
        <w:pStyle w:val="SourceNote"/>
      </w:pPr>
      <w:r>
        <w:rPr>
          <w:b/>
        </w:rPr>
        <w:t>Available abstract (not full text):</w:t>
      </w:r>
      <w:r>
        <w:t xml:space="preserve"> BACKGROUND: Smoking, obesity and alcohol abuse greatly affect mortality and exhibit a distinct time dynamic, with their prevalence and associated mortality rates increasing and (eventually) declining over time. Their combined impact on secular trends in life expectancy is unknown but is relevant for understanding these trends. We therefore estimate the combined impact of smoking, obesity and alcohol on life-expectancy trends in Europe. METHODS: We used estimated national age-specific smoking-, obesity- and alcohol-attributable mortality fractions for 30 European countries by sex, 1990-2014, which we aggregated multiplicatively to obtain lifestyle-attributable mortality. We estimated potential gains in life expectancy by eliminating lifestyle-attributable mortality and compared past trends in life expectancy at birth (e0) with and without lifestyle-attributable mortality. We examined all countries combined, by region and individually. RESULTS: Among men, the combined impact of smoking, obesity and alcohol on e0 declined from 6.6 years in 1990 to 5.8 years in 2014, mainly due to declining smoking-attributable mortality. Among women, the combined impact increased from 1.9 to 2.3 years due to mortality increases in all three lifestyle-related factors. The observed increase in e0 over the 1990-2014 period was 5.0 years for men and 4.0 years for women. After excluding lifestyle-attri</w:t>
      </w:r>
    </w:p>
    <w:p>
      <w:pPr/>
      <w:r>
        <w:rPr>
          <w:b/>
        </w:rPr>
        <w:t>POSSIBLE 2020:</w:t>
      </w:r>
      <w:r>
        <w:t xml:space="preserve"> A comparative, correlate analysis and projection of global and regional life expectancy, healthy life expectancy, and their GAP: 1995-2025 — https://doi.org/10.7189/jogh.10.020407</w:t>
      </w:r>
    </w:p>
    <w:p>
      <w:pPr/>
      <w:r>
        <w:rPr>
          <w:b/>
        </w:rPr>
        <w:t>Shared claim-specific concepts:</w:t>
      </w:r>
      <w:r>
        <w:t xml:space="preserve"> life, expectancy, likely, increase; EU scope visible. This is a provisional connection, not an outcome finding.</w:t>
      </w:r>
    </w:p>
    <w:p>
      <w:pPr>
        <w:pStyle w:val="SourceNote"/>
      </w:pPr>
      <w:r>
        <w:rPr>
          <w:b/>
        </w:rPr>
        <w:t>Available abstract (not full text):</w:t>
      </w:r>
      <w:r>
        <w:t xml:space="preserve"> BACKGROUND: Life expectancy (LE) and healthy life expectancy (HALE) are indicators measuring the national health level. GAP is the difference between them. This study systematically analyzed and projected LE, HALE, and GAP across global regions from 1995 to 2025. METHODS: We obtained the data of 195 countries/regions on their LE, HALE, and influencing factors from 1995 to 2017. We compared the overall changes of LE, HALE, and GAP. Multiple linear regression analysis examined relationships among LE, HALE, GAP, and the associated factors. Using the Autoregressive Integrated Moving Average (ARIMA) model, we projected trends in LE, HALE, and GAP for 2017-2025. RESULTS: During 1995-2017, LE, HALE, and their GAP in 195 countries/regions in the world showed overall increasing trends. Global average LE increased from 66.20 to 72.98 years, HALE from 57.59 to 63.25 years, and GAP from 8.62 to 9.72 years. LE and HALE in North America, Europe, and Australia were generally higher, while Africa had the lowest rates. Females' LE, HALE, and GAP were all higher than males', but females' growth rates of LE and HALE were lower. Different factors were included to project LE, HALE, and GAP, respectively, and prediction results showed that approximately 18% of the 195 countries/regions might achieve improved LE and HALE and lower GAP. CONCLUSIONS: LE, HALE will likely continue to increase in most of</w:t>
      </w:r>
    </w:p>
    <w:p>
      <w:pPr/>
      <w:r>
        <w:rPr>
          <w:b/>
        </w:rPr>
        <w:t>POSSIBLE 2020:</w:t>
      </w:r>
      <w:r>
        <w:t xml:space="preserve"> Live longer, retire later? Developments of healthy life expectancies and working life expectancies between age 50–59 and age 60–69 in Europe — https://doi.org/10.1007/s10433-020-00592-5</w:t>
      </w:r>
    </w:p>
    <w:p>
      <w:pPr/>
      <w:r>
        <w:rPr>
          <w:b/>
        </w:rPr>
        <w:t>Shared claim-specific concepts:</w:t>
      </w:r>
      <w:r>
        <w:t xml:space="preserve"> life, expectancy, over, men, increase, sexes; EU scope visible. This is a provisional connection, not an outcome finding.</w:t>
      </w:r>
    </w:p>
    <w:p>
      <w:pPr>
        <w:pStyle w:val="SourceNote"/>
      </w:pPr>
      <w:r>
        <w:rPr>
          <w:b/>
        </w:rPr>
        <w:t>Available abstract (not full text):</w:t>
      </w:r>
      <w:r>
        <w:t xml:space="preserve"> Europe's population is ageing. Statutory retirement ages are commonly raised to account for continuous increases in life expectancy. In order to estimate the potential to increase statutory and consequently effective retirement ages further, in this study, we investigate the relationship between partial working life expectancy (WLE) and three health expectancies that represent health aspects important for work ability and employability between ages 50 and 59 as well as 60 and 69 for women and men in Europe. We also explore the association between these four indicators and the highest level of educational attainment. We apply Sullivan's method to estimate WLE and three selected measures that capture general, physical, and cognitive health status of older adults for 26 European countries since 2004. Over time, WLEs increased significantly in the younger age group for women and in the older age group for both sexes. The expected number of years in good physical health have continuously been higher than any of the other three indicators, while the expected number of years in good cognitive health have shown a noticeable increase over time. The investigation of the relationship between education and each life expectancy confirms the well-established positive correlation between education and economic activity as well as good health. Our results indicate potential to extend working l</w:t>
      </w:r>
    </w:p>
    <w:p>
      <w:pPr/>
      <w:r>
        <w:rPr>
          <w:b/>
        </w:rPr>
        <w:t>POSSIBLE 2020:</w:t>
      </w:r>
      <w:r>
        <w:t xml:space="preserve"> Dynamics of life expectancy and life span equality — https://doi.org/10.1073/pnas.1915884117</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As people live longer, ages at death are becoming more similar. This dual advance over the last two centuries, a central aim of public health policies, is a major achievement of modern civilization. Some recent exceptions to the joint rise of life expectancy and life span equality, however, make it difficult to determine the underlying causes of this relationship. Here, we develop a unifying framework to study life expectancy and life span equality over time, relying on concepts about the pace and shape of aging. We study the dynamic relationship between life expectancy and life span equality with reliable data from the Human Mortality Database for 49 countries and regions with emphasis on the long time series from Sweden. Our results demonstrate that both changes in life expectancy and life span equality are weighted totals of rates of progress in reducing mortality. This finding holds for three different measures of the variability of life spans. The weights evolve over time and indicate the ages at which reductions in mortality increase life expectancy and life span equality: the more progress at the youngest ages, the tighter the relationship. The link between life expectancy and life span equality is especially strong when life expectancy is less than 70 y. In recent decades, life expectancy and life span equality have occasionally moved in opposite directions due to large</w:t>
      </w:r>
    </w:p>
    <w:p>
      <w:pPr/>
      <w:r>
        <w:rPr>
          <w:b/>
        </w:rPr>
        <w:t>POSSIBLE 2019:</w:t>
      </w:r>
      <w:r>
        <w:t xml:space="preserve"> Fruit and vegetable consumption and its contribution to inequalities in life expectancy and disability-free life expectancy in ten European countries — https://doi.org/10.1007/s00038-019-01253-w</w:t>
      </w:r>
    </w:p>
    <w:p>
      <w:pPr/>
      <w:r>
        <w:rPr>
          <w:b/>
        </w:rPr>
        <w:t>Shared claim-specific concepts:</w:t>
      </w:r>
      <w:r>
        <w:t xml:space="preserve"> life, expectancy, men, country, two; EU scope visible. This is a provisional connection, not an outcome finding.</w:t>
      </w:r>
    </w:p>
    <w:p>
      <w:pPr>
        <w:pStyle w:val="SourceNote"/>
      </w:pPr>
      <w:r>
        <w:rPr>
          <w:b/>
        </w:rPr>
        <w:t>Available abstract (not full text):</w:t>
      </w:r>
      <w:r>
        <w:t xml:space="preserve"> OBJECTIVES: To assess to what extent educational differences in total life expectancy (TLE) and disability-free life expectancy (DFLE) could be reduced by improving fruit and vegetable consumption in ten European countries. METHODS: Data from national census or registries with mortality follow-up, EU-SILC, and ESS were used in two scenarios to calculate the impact: the upward levelling scenario (exposure in low educated equals exposure in high educated) and the elimination scenario (no exposure in both groups). Results are estimated for men and women between ages 35 and 79 years. RESULTS: Varying by country, upward levelling reduced inequalities in DFLE by 0.1-1.1 years (1-10%) in males, and by 0.0-1.3 years (0-18%) in females. Eliminating exposure reduced inequalities in DFLE between 0.6 and 1.7 years for males (6-15%), and between 0.1 years and 1.8 years for females (3-20%). CONCLUSIONS: Upward levelling of fruit and vegetable consumption would have a small, positive effect on both TLE and DFLE, and could potentially reduce inequalities in TLE and DFLE.</w:t>
      </w:r>
    </w:p>
    <w:p>
      <w:pPr>
        <w:pStyle w:val="Heading2"/>
      </w:pPr>
      <w:r>
        <w:t>734.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r>
        <w:rPr>
          <w:b/>
        </w:rPr>
        <w:t>POSSIBLE 2020:</w:t>
      </w:r>
      <w:r>
        <w:t xml:space="preserve"> Information Transparency: Approaches to Evaluation, Key Features, Trends — https://doi.org/10.26794/2408-9303-2019-6-6-6-23</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To increase the level of information transparency of economic entities is one of the most important tasks for the development of the domestic financial market within the framework of the state national programs implementation. The article provides a detailed review of the current methods and practices of reputable international and Russian rating agencies and professional communities for assessing information transparency of economic entities, it also defines and systemizes the basic characteristics disclosed by companies. The article identifies the main patterns and positive trends in the development of information transparency of Russian business over the past ten to fifteen years. The analysis shows that there has been a positive trend in disclosures in Russian business, but the level of transparency is still far from the level of Western companies. The applied methods vary greatly in the choice of indicators and assessment criteria, depending on the target nature and the specifics of the study, so determining the optimal level of information transparency is very subjective. Since transparency measurement largely depends of the branch of industry, the authors propose to develop this concept taking into consideration the special features of different segments such as credit organizations, financial companies, leasing organizations and others.</w:t>
      </w:r>
    </w:p>
    <w:p>
      <w:pPr/>
      <w:r>
        <w:rPr>
          <w:b/>
        </w:rPr>
        <w:t>POSSIBLE 2020:</w:t>
      </w:r>
      <w:r>
        <w:t xml:space="preserve"> EVALUATING PERFORMANCE OF REGULATORY ENFORCEMENT ACTIVITIES BY BUSINESSES: KEY TRENDS — https://doi.org/10.17323/1999-5431-2020-0-2-32-53</w:t>
      </w:r>
    </w:p>
    <w:p>
      <w:pPr/>
      <w:r>
        <w:rPr>
          <w:b/>
        </w:rPr>
        <w:t>Shared claim-specific concepts:</w:t>
      </w:r>
      <w:r>
        <w:t xml:space="preserve"> key, trends, regarding; EU scope not established. This is a provisional connection, not an outcome finding.</w:t>
      </w:r>
    </w:p>
    <w:p>
      <w:pPr>
        <w:pStyle w:val="SourceNote"/>
      </w:pPr>
      <w:r>
        <w:rPr>
          <w:b/>
        </w:rPr>
        <w:t>Available abstract (not full text):</w:t>
      </w:r>
      <w:r>
        <w:t xml:space="preserve"> Improving performance of public regulatory enforcement activity entailing stronger orientation at minimizing risks of harm to public values is proclaimed a key area for business climate transformation in Russia. The article reviews intermediate outcomes of the regulatory enforcement reform from the viewpoint of private businesses. A sociological survey of 1,000 private businesses in 28 Russian regions which were subject to state inspections in 2018–2019 conducted in March 2020 provided empirical data for the paper. The 2020 survey results were compared to the outcomes of the baseline survey conducted in 2017 at the outset of the regulatory enforcement reform with similar methodology applied. Overall, the survey results suggest that the perceptions of businesses regarding the impact of the state regulatory enforcement activities on reducing risks to public values have declined. Only some 27.4 percent of respondents noted that in general state regulatory enforcement have positive impact on their businesses (in 2017, 34.6 percent of respondents shared this opinion). Business perceptions of impact of specific inspections on the level of risk in their operations and product and process safety have also deteriorated. While the survey demonstrates some reduction in business inspections intensity, there is also a growth trend in other types of regulatory enforcement activities which ar</w:t>
      </w:r>
    </w:p>
    <w:p>
      <w:pPr>
        <w:pStyle w:val="Heading2"/>
      </w:pPr>
      <w:r>
        <w:t>735.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r>
        <w:rPr>
          <w:b/>
        </w:rPr>
        <w:t>POSSIBLE 2020:</w:t>
      </w:r>
      <w:r>
        <w:t xml:space="preserve"> Information Transparency: Approaches to Evaluation, Key Features, Trends — https://doi.org/10.26794/2408-9303-2019-6-6-6-23</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To increase the level of information transparency of economic entities is one of the most important tasks for the development of the domestic financial market within the framework of the state national programs implementation. The article provides a detailed review of the current methods and practices of reputable international and Russian rating agencies and professional communities for assessing information transparency of economic entities, it also defines and systemizes the basic characteristics disclosed by companies. The article identifies the main patterns and positive trends in the development of information transparency of Russian business over the past ten to fifteen years. The analysis shows that there has been a positive trend in disclosures in Russian business, but the level of transparency is still far from the level of Western companies. The applied methods vary greatly in the choice of indicators and assessment criteria, depending on the target nature and the specifics of the study, so determining the optimal level of information transparency is very subjective. Since transparency measurement largely depends of the branch of industry, the authors propose to develop this concept taking into consideration the special features of different segments such as credit organizations, financial companies, leasing organizations and others.</w:t>
      </w:r>
    </w:p>
    <w:p>
      <w:pPr/>
      <w:r>
        <w:rPr>
          <w:b/>
        </w:rPr>
        <w:t>POSSIBLE 2020:</w:t>
      </w:r>
      <w:r>
        <w:t xml:space="preserve"> EVALUATING PERFORMANCE OF REGULATORY ENFORCEMENT ACTIVITIES BY BUSINESSES: KEY TRENDS — https://doi.org/10.17323/1999-5431-2020-0-2-32-53</w:t>
      </w:r>
    </w:p>
    <w:p>
      <w:pPr/>
      <w:r>
        <w:rPr>
          <w:b/>
        </w:rPr>
        <w:t>Shared claim-specific concepts:</w:t>
      </w:r>
      <w:r>
        <w:t xml:space="preserve"> key, trends, regarding; EU scope not established. This is a provisional connection, not an outcome finding.</w:t>
      </w:r>
    </w:p>
    <w:p>
      <w:pPr>
        <w:pStyle w:val="SourceNote"/>
      </w:pPr>
      <w:r>
        <w:rPr>
          <w:b/>
        </w:rPr>
        <w:t>Available abstract (not full text):</w:t>
      </w:r>
      <w:r>
        <w:t xml:space="preserve"> Improving performance of public regulatory enforcement activity entailing stronger orientation at minimizing risks of harm to public values is proclaimed a key area for business climate transformation in Russia. The article reviews intermediate outcomes of the regulatory enforcement reform from the viewpoint of private businesses. A sociological survey of 1,000 private businesses in 28 Russian regions which were subject to state inspections in 2018–2019 conducted in March 2020 provided empirical data for the paper. The 2020 survey results were compared to the outcomes of the baseline survey conducted in 2017 at the outset of the regulatory enforcement reform with similar methodology applied. Overall, the survey results suggest that the perceptions of businesses regarding the impact of the state regulatory enforcement activities on reducing risks to public values have declined. Only some 27.4 percent of respondents noted that in general state regulatory enforcement have positive impact on their businesses (in 2017, 34.6 percent of respondents shared this opinion). Business perceptions of impact of specific inspections on the level of risk in their operations and product and process safety have also deteriorated. While the survey demonstrates some reduction in business inspections intensity, there is also a growth trend in other types of regulatory enforcement activities which ar</w:t>
      </w:r>
    </w:p>
    <w:p>
      <w:pPr>
        <w:pStyle w:val="Heading2"/>
      </w:pPr>
      <w:r>
        <w:t>736.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r>
        <w:rPr>
          <w:b/>
        </w:rPr>
        <w:t>POSSIBLE 2021:</w:t>
      </w:r>
      <w:r>
        <w:t xml:space="preserve"> Ordering global governance complexes: The evolution of the governance complex for international civil aviation — https://doi.org/10.1007/s11558-020-09411-z</w:t>
      </w:r>
    </w:p>
    <w:p>
      <w:pPr/>
      <w:r>
        <w:rPr>
          <w:b/>
        </w:rPr>
        <w:t>Shared claim-specific concepts:</w:t>
      </w:r>
      <w:r>
        <w:t xml:space="preserve"> governance, complex, often, conflict; EU scope not established. This is a provisional connection, not an outcome finding.</w:t>
      </w:r>
    </w:p>
    <w:p>
      <w:pPr>
        <w:pStyle w:val="SourceNote"/>
      </w:pPr>
      <w:r>
        <w:rPr>
          <w:b/>
        </w:rPr>
        <w:t>Available abstract (not full text):</w:t>
      </w:r>
      <w:r>
        <w:t xml:space="preserve"> Many observers worry that growing numbers of international institutions with overlapping functions undermine governance effectiveness via duplication, inconsistency and conflict. Such pessimistic assessments may undervalue the mechanisms available to states and other political agents to reduce conflictual overlap and enhance inter-institutional synergy. Drawing on historical data I examine how states can mitigate conflict within Global Governance Complexes (GGCs) by dissolving or merging existing institutions or by re-configuring their mandates. I further explore how "order in complexity" can emerge through bottom-up processes of adaptation in lieu of state-led reform. My analysis supports three theoretical claims: (1) states frequently refashion governance complexes "top-down" in order to reduce conflictual overlap; (2) "top-down" restructuring and "bottom-up" adaptation present alternative mechanisms for ordering relations among component institutions of GGCs; (3) these twin mechanisms ensure that GGCs tend to (re)produce elements of order over time-albeit often temporarily. Rather than evolving towards ever-greater fragmentation and disorder, complex governance systems thus tend to fluctuate between greater or lesser integration and (dis)order.</w:t>
      </w:r>
    </w:p>
    <w:p>
      <w:pPr/>
      <w:r>
        <w:rPr>
          <w:b/>
        </w:rPr>
        <w:t>POSSIBLE 2020:</w:t>
      </w:r>
      <w:r>
        <w:t xml:space="preserve"> The Quality of Governance in Europe: A Guide for the Perplexed — https://openalex.org/W3128833016</w:t>
      </w:r>
    </w:p>
    <w:p>
      <w:pPr/>
      <w:r>
        <w:rPr>
          <w:b/>
        </w:rPr>
        <w:t>Shared claim-specific concepts:</w:t>
      </w:r>
      <w:r>
        <w:t xml:space="preserve"> observe, governance, complex; EU scope visible. This is a provisional connection, not an outcome finding.</w:t>
      </w:r>
    </w:p>
    <w:p>
      <w:pPr>
        <w:pStyle w:val="SourceNote"/>
      </w:pPr>
      <w:r>
        <w:rPr>
          <w:b/>
        </w:rPr>
        <w:t>Available abstract (not full text):</w:t>
      </w:r>
      <w:r>
        <w:t xml:space="preserve"> This paper investigates the quality of governance in the European geographical area for the period 1995–2019 employing the six World Governance Indicators (The World Bank, 2020): control of corruption, government effectiveness, political stability and absence of violence/terrorism, rule of law, regulatory quality, voice and accountability. With regard to EU membership, we partition countries into three blocks: Historical Members, Entrants, and Outsiders. We check systematic differences, static and dynamic, between the three blocks to verify whether EU membership makes a difference. Results highlight a complex scenario: while statically Historical Members outperform Entrants and Entrants outperform Outsiders on all six dimensions, dynamically we find club convergence in growth rates for all variables across the three blocks. Historical Members stand in a high equilibrium club, except for Greece. In a single case, we even observe absolute convergence for a low club of voice and accountability. Several Outsiders stand consistently either in the high or the low club, while Entrants vary widely in their performances. The remote determinants of governance’s quality are very difficult to identify because cultures, institutions and economies interact in complex and unexpected ways; moreover, natural experiments of EU memberships do not exist, so we cannot establish causal effects in th</w:t>
      </w:r>
    </w:p>
    <w:p>
      <w:pPr/>
      <w:r>
        <w:rPr>
          <w:b/>
        </w:rPr>
        <w:t>POSSIBLE 2019:</w:t>
      </w:r>
      <w:r>
        <w:t xml:space="preserve"> European Governance in Adult Education — https://doi.org/10.3384/rela.2000-7426.ojs844</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This article examines the working of complex intergovernmental policies that have brought about new opportunities and structures in European adult education since the 2008 global financial crisis. Drawing on political sociology, it restricts attention on the Renewed European Agenda for Adult Learning (2011), to examine its historical development, and how it bundles together various governance mechanisms, policy instruments, and social actors to govern the adult education policy domain through policy coordination. This points at regulatory politics as a distinctive quality of European governance in adult education. Then, through Social Network Analysis, it explores in depth one of its policy instrument (i.e., coordinated working groups/networks) and the form of network governance it creates. This analysis pinpoints at the comparative advantage of some organizations (i.e., the ministries of Latvia, Finland and Belgium), which partake in this form of network governance. This produces unpredictable contingency in EU policy coordination.</w:t>
      </w:r>
    </w:p>
    <w:p>
      <w:pPr>
        <w:pStyle w:val="Heading2"/>
      </w:pPr>
      <w:r>
        <w:t>737.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three, climate, circulation;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A probabilistic climate change assessment for Europe — https://doi.org/10.1002/joc.7604</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2021:</w:t>
      </w:r>
      <w:r>
        <w:t xml:space="preserve"> Quantification of the carbon intensity of electricity produced and used in Europe — https://doi.org/10.1016/j.apenergy.2021.117901</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The EU has a comprehensive legislation to facilitate the energy transition towards a low carbon energy system and achieve the EU’s Paris Agreement commitments for reducing greenhouse gas emissions. The European Green Deal is an integral part of the EU strategy for a sustainable and climate neutral economy by 2050. The decarbonisation of the power generation is essential to achieve the goal of decarbonising the energy and transport sectors. This paper presents a study conducted to quantify the carbon emissions associated to the production of electricity produced and used in European countries, based on a comprehensive methodology developed for this purpose. A spreadsheet model has been developed that considers the various sources for electricity generation, the type of plants, conversion efficiencies, upstream emissions and emissions from power plant construction, as well as the electricity trade. The results show the greenhouse gas emissions from the production and use of electricity in all European countries, revealing significant variations between countries. The carbon intensity of electricity shows a clear reduction trend since 1990, for most of the European countries. In the European Union, carbon intensity of electricity used at low voltage degreased from 641 gCO2eq/kWh in 1990 to 334 gCO2eq/kWh in 2019, and this trend is expected to continue in the coming years.</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Quantifying the resilience of European farms using FADN — https://doi.org/10.1093/erae/jbab042</w:t>
      </w:r>
    </w:p>
    <w:p>
      <w:pPr/>
      <w:r>
        <w:rPr>
          <w:b/>
        </w:rPr>
        <w:t>Shared claim-specific concepts:</w:t>
      </w:r>
      <w:r>
        <w:t xml:space="preserve"> quantify, general; EU scope visible. This is a provisional connection, not an outcome finding.</w:t>
      </w:r>
    </w:p>
    <w:p>
      <w:pPr>
        <w:pStyle w:val="SourceNote"/>
      </w:pPr>
      <w:r>
        <w:rPr>
          <w:b/>
        </w:rPr>
        <w:t>Available abstract (not full text):</w:t>
      </w:r>
      <w:r>
        <w:t xml:space="preserve"> Abstract Agricultural policymakers call for the operationalisation of farm resilience as a dynamic concept. Therefore, we quantify farm resilience along the dimensions of robustness, adaptation and transformation. Using the rich Farm Accountancy Data Network panel data set, we explore which farm(er) characteristics affect resilience. We employ a control function approach to address the presence of endogeneity in correlated random effects (fractional) probit models. In general, we find that decoupled payments negatively affect robustness, while rural development payments have a positive effect on robustness. Both decoupled and rural development payments have no effect on adaptation and transformation in most European regions.</w:t>
      </w:r>
    </w:p>
    <w:p>
      <w:pPr/>
      <w:r>
        <w:rPr>
          <w:b/>
        </w:rPr>
        <w:t>POSSIBLE 2020:</w:t>
      </w:r>
      <w:r>
        <w:t xml:space="preserve"> Flood trends in Europe: are changes in small and big floods different? — https://doi.org/10.5194/hess-24-1805-2020</w:t>
      </w:r>
    </w:p>
    <w:p>
      <w:pPr/>
      <w:r>
        <w:rPr>
          <w:b/>
        </w:rPr>
        <w:t>Shared claim-specific concepts:</w:t>
      </w:r>
      <w:r>
        <w:t xml:space="preserve"> quantify, three, period;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Black locust (Robinia pseudoacaciaL.) range contraction and expansion in Europe under changing climate — https://doi.org/10.1111/gcb.15486</w:t>
      </w:r>
    </w:p>
    <w:p>
      <w:pPr/>
      <w:r>
        <w:rPr>
          <w:b/>
        </w:rPr>
        <w:t>Shared claim-specific concepts:</w:t>
      </w:r>
      <w:r>
        <w:t xml:space="preserve"> aimed, quantify, forest, tree, species, climate; EU scope visible. This is a provisional connection, not an outcome finding.</w:t>
      </w:r>
    </w:p>
    <w:p>
      <w:pPr>
        <w:pStyle w:val="SourceNote"/>
      </w:pPr>
      <w:r>
        <w:rPr>
          <w:b/>
        </w:rPr>
        <w:t>Available abstract (not full text):</w:t>
      </w:r>
      <w:r>
        <w:t xml:space="preserve"> Robinia pseudoacacia is one of the most frequent non-native species in Europe. It is a fast-growing tree of high economic and cultural importance. On the other hand, it is an invasive species, causing changes in soil chemistry and light regime, and consequently altering the plant communities. Previously published models developed for the potential distribution of R. pseudoacacia concerned 2070, and were based mainly on data from Western and Central Europe; here we extended these findings and included additional data from Eastern Europe. To fill the gap in current knowledge of R. pseudoacacia distribution and improve the reliability of forecasts, we aimed to (i) determine the extent to which the outcome of range modeling will be affected by complementing R. pseudoacacia occurrence data with sites from Central, Southeastern, and Eastern Europe, (ii) identify and quantify the changes in the availability of climate niches for 2050 and 2070, and discuss their impacts on forest management and nature conservation. We showed that the majority of the range changes expected in 2070 will occur as early as 2050. In comparison to previous studies, we demonstrated a greater eastward shift of potential niches of this species and a greater decline of potential niches in Southern Europe. Consequently, future climatic conditions will likely favor the occurrence of R. pseudoacacia in Central and </w:t>
      </w:r>
    </w:p>
    <w:p>
      <w:pPr/>
      <w:r>
        <w:rPr>
          <w:b/>
        </w:rPr>
        <w:t>POSSIBLE 2019:</w:t>
      </w:r>
      <w:r>
        <w:t xml:space="preserve"> Climate change, reforestation/afforestation, and urbanization impacts on evapotranspiration and streamflow in Europe — https://doi.org/10.5194/hess-23-3631-2019</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Abstract. Since the 1950s, Europe has seen large shifts in climate and land cover. Previous assessments of past and future changes in evapotranspiration or streamflow have either focussed on land use/cover or climate contributions, or have focussed on individual catchments under specific climate conditions. Here, we aim to understand how decadal changes in climate (e.g., precipitation, temperature) and land use (e.g., de-/afforestation, urbanization) have impacted the amount and distribution of water resources availability across Europe since the 1950s. To this end, we simulate the distribution of green and blue water fluxes at high-resolution (1 × 1 km) by combining (a) a steady-state Budyko model for water balance partitioning constrained by long-term (lysimeter) observations across different land-use types, (b) a novel decadal high-resolution historical land use reconstruction, and (c) gridded observations of key meteorological variables. The continental-scale patterns in the simulations agree well with coarser-scale observation-based estimates of evapotranspiration, and also with observed changes in streamflow from small basins across Europe. We find that strong shifts in the continental-scale patterns of evapotranspiration and streamflow have occured from 1950 to 2010. In Sweden, for example, increased precipitation dominates effects of large scale re- and afforestation le</w:t>
      </w:r>
    </w:p>
    <w:p>
      <w:pPr/>
      <w:r>
        <w:rPr>
          <w:b/>
        </w:rPr>
        <w:t>POSSIBLE 2019:</w:t>
      </w:r>
      <w:r>
        <w:t xml:space="preserve"> Postglacial change of the floristic diversity gradient in Europe — https://doi.org/10.1038/s41467-019-13233-y</w:t>
      </w:r>
    </w:p>
    <w:p>
      <w:pPr/>
      <w:r>
        <w:rPr>
          <w:b/>
        </w:rPr>
        <w:t>Shared claim-specific concepts:</w:t>
      </w:r>
      <w:r>
        <w:t xml:space="preserve"> species, climate, period; EU scope visible. This is a provisional connection, not an outcome finding.</w:t>
      </w:r>
    </w:p>
    <w:p>
      <w:pPr>
        <w:pStyle w:val="SourceNote"/>
      </w:pPr>
      <w:r>
        <w:rPr>
          <w:b/>
        </w:rPr>
        <w:t>Available abstract (not full text):</w:t>
      </w:r>
      <w:r>
        <w:t xml:space="preserve"> Climate warming is expected to cause a poleward spread of species, resulting in increased richness at mid to high latitudes and weakening the latitudinal diversity gradient. We used pollen data to test if such a change in the latitudinal diversity gradient occurred during the last major poleward shift of plant species in Europe following the end of the last glacial period. In contrast to expectations, the slope of the gradient strengthened during the Holocene. The increase in temperatures around 10 ka ago reduced diversity at mid to high latitude sites due to the gradual closure of forests. Deforestation and the introduction of agriculture during the last 5 ky had a greater impact on richness in central Europe than the earlier climate warming. These results do not support the current view that global warming alone will lead to a loss in biodiversity, and demonstrate that non-climatic human impacts on the latitudinal diversity gradient is of a greater magnitude than climate change.</w:t>
      </w:r>
    </w:p>
    <w:p>
      <w:pPr>
        <w:pStyle w:val="Heading2"/>
      </w:pPr>
      <w:r>
        <w:t>738.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r>
        <w:rPr>
          <w:b/>
        </w:rPr>
        <w:t>POSSIBLE 2024:</w:t>
      </w:r>
      <w:r>
        <w:t xml:space="preserve"> Atmospheric circulation associated with 3D heat wave types in Middle Europe — https://doi.org/10.5194/ems2024-343</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Heat waves are phenomena associated with large negative impacts on society and environment. We evaluate links between atmospheric circulation and three-dimensional (3D) heat wave types in Middle Europe (one of the PRUDENCE regions) over 1979–2022. Heat waves are classified according to their 3D structure of positive temperature anomalies in ERA5 into near-surface (HWG), lower-tropospheric (HWL), higher-tropospheric (HWH), and omnipresent (HWO) types. The Jenkinson–Collison classification is used to identify circulation types (CTs) with increased frequency during the individual heat wave types, and their climatological characteristics (including mean temperature anomaly, precipitation, and Climatic Water Balance index defined as potential evapotranspiration minus precipitation) are studied in station-based E-OBS data. We show that the surface temperature anomalies are largest during HWG (+7.1 °C), while HWL are the driest heat wave type according to mean daily precipitation (0.4 mm). At the same time, HWG types show the driest conditions before HW onset. In all heat wave types there is a large increase in the frequency of southern CTs compared to the June–September climatology, but differences among the heat wave types are found for other CTs. In HWG, the most frequent CT is U (undefined), corresponding to little pronounced pressure pattern over Middle Europe with no clear role </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differences, atmospheric, circulation, different, historical, representative;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differences, atmospheric, circulation, different, concentration, forcing;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Trends in drought across Europe and their links to atmospheric circulation — https://doi.org/10.5194/egusphere-egu23-6124</w:t>
      </w:r>
    </w:p>
    <w:p>
      <w:pPr/>
      <w:r>
        <w:rPr>
          <w:b/>
        </w:rPr>
        <w:t>Shared claim-specific concepts:</w:t>
      </w:r>
      <w:r>
        <w:t xml:space="preserve"> atmospheric, circulation, sea, level, pressure, identified; EU scope visible. This is a provisional connection, not an outcome finding.</w:t>
      </w:r>
    </w:p>
    <w:p>
      <w:pPr>
        <w:pStyle w:val="SourceNote"/>
      </w:pPr>
      <w:r>
        <w:rPr>
          <w:b/>
        </w:rPr>
        <w:t>Available abstract (not full text):</w:t>
      </w:r>
      <w:r>
        <w:t xml:space="preserve"> We study trends in drought across the central latitude strip of Europe (defined as the region 47.5–52.5 °N and 2.5°W–32.5°E) during 1950–2019, and their links to atmospheric circulation. Drought characteristics are based on difference between potential evapotranspiration and precipitation in E–OBS data, and atmospheric circulation is characterized in terms of circulation types classified using daily sea level pressure patterns from the NCEP–NCAR reanalysis. Circulation types supporting drought in vegetation season (April–September) are identified, and we analyse changes in their occurrence since 1950, seasonal changes, and the connection with drought trends in individual European regions. We find that while in the early vegetation season, drought develops mainly in Central Europe, in the late vegetation season the most pronounced trends are shifted towards west. The circulation types supporting drought depend on regions and seasons, especially for directional types. The largest increase of the dry circulation types is observed in both seasons in Central Europe, and contributes to the pronounced drying.</w:t>
      </w:r>
    </w:p>
    <w:p>
      <w:pPr/>
      <w:r>
        <w:rPr>
          <w:b/>
        </w:rPr>
        <w:t>POSSIBLE 2023:</w:t>
      </w:r>
      <w:r>
        <w:t xml:space="preserve"> Links between major heat waves, drought, and atmospheric circulation in Central Europe — https://doi.org/10.5194/ems2023-430</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Heat waves and drought are phenomena associated with large negative impacts on society and the environment. Their common features include increasing frequency and intensity in recent decades in many regions of Europe, as well as the interconnectedness of the factors that contribute to their development. In this study, we compare the long-term changes in the characteristics of major heat waves and severe drought in Central Europe (during the vegetation period (April-September)), examine the temporal and causal relationships between the two phenomena, their spatial and temporal scales, and the connection with atmospheric circulation. Based on E-OBS (daily temperature and precipitation) data since 1950 for the vegetation period (April-September), drought is characterized by the difference between potential evapotranspiration and precipitation, while heat waves are defined as periods of large positive anomalies of daily temperatures from the mean annual cycle affecting a large area. Heat waves occurring in early/late vegetation period are referred as warm spells due to their lower absolute temperatures and possibly different circulation mechanisms. We use the Jenkinson classification of daily sea level pressure fields from the NCEP/NCAR reanalysis to describe the atmospheric circulation. Circulation types with significantly increased frequency during periods of major heat waves/war</w:t>
      </w:r>
    </w:p>
    <w:p>
      <w:pPr/>
      <w:r>
        <w:rPr>
          <w:b/>
        </w:rPr>
        <w:t>POSSIBLE 2023:</w:t>
      </w:r>
      <w:r>
        <w:t xml:space="preserve"> Stratospheric water vapor affecting atmospheric circulation — https://doi.org/10.1038/s41467-023-39559-2</w:t>
      </w:r>
    </w:p>
    <w:p>
      <w:pPr/>
      <w:r>
        <w:rPr>
          <w:b/>
        </w:rPr>
        <w:t>Shared claim-specific concepts:</w:t>
      </w:r>
      <w:r>
        <w:t xml:space="preserve"> atmospheric, circulation; EU scope not established. This is a provisional connection, not an outcome finding.</w:t>
      </w:r>
    </w:p>
    <w:p>
      <w:pPr>
        <w:pStyle w:val="SourceNote"/>
      </w:pPr>
      <w:r>
        <w:rPr>
          <w:b/>
        </w:rPr>
        <w:t>Available abstract (not full text):</w:t>
      </w:r>
      <w:r>
        <w:t xml:space="preserve"> Water vapor plays an important role in many aspects of the climate system, by affecting radiation, cloud formation, atmospheric chemistry and dynamics. Even the low stratospheric water vapor content provides an important climate feedback, but current climate models show a substantial moist bias in the lowermost stratosphere. Here we report crucial sensitivity of the atmospheric circulation in the stratosphere and troposphere to the abundance of water vapor in the lowermost stratosphere. We show from a mechanistic climate model experiment and inter-model variability that lowermost stratospheric water vapor decreases local temperatures, and thereby causes an upward and poleward shift of subtropical jets, a strengthening of the stratospheric circulation, a poleward shift of the tropospheric eddy-driven jet and regional climate impacts. The mechanistic model experiment in combination with atmospheric observations further shows that the prevailing moist bias in current models is likely caused by the transport scheme, and can be alleviated by employing a less diffusive Lagrangian scheme. The related effects on atmospheric circulation are of similar magnitude as climate change effects. Hence, lowermost stratospheric water vapor exerts a first order effect on atmospheric circulation and improving its representation in models offers promising prospects for future research.</w:t>
      </w:r>
    </w:p>
    <w:p>
      <w:pPr/>
      <w:r>
        <w:rPr>
          <w:b/>
        </w:rPr>
        <w:t>POSSIBLE 2023:</w:t>
      </w:r>
      <w:r>
        <w:t xml:space="preserve"> Atmospheric circulation compounds anthropogenic warming and impacts of climate extremes in Europe — https://doi.org/10.1073/pnas.2214525120</w:t>
      </w:r>
    </w:p>
    <w:p>
      <w:pPr/>
      <w:r>
        <w:rPr>
          <w:b/>
        </w:rPr>
        <w:t>Shared claim-specific concepts:</w:t>
      </w:r>
      <w:r>
        <w:t xml:space="preserve"> atmospheric, circulation, statistically, significant, anthropogenic, identified; EU scope visible. This is a provisional connection, not an outcome finding.</w:t>
      </w:r>
    </w:p>
    <w:p>
      <w:pPr>
        <w:pStyle w:val="SourceNote"/>
      </w:pPr>
      <w:r>
        <w:rPr>
          <w:b/>
        </w:rPr>
        <w:t>Available abstract (not full text):</w:t>
      </w:r>
      <w:r>
        <w:t xml:space="preserve"> Diagnosing dynamical changes in the climate system, such as those in atmospheric circulation patterns, remains challenging. Here, we study 1950 to 2021 trends in the frequency of occurrence of atmospheric circulation patterns over the North Atlantic. Roughly 7% of atmospheric circulation patterns display significant occurrence trends, yet they have major impacts on surface climate. Increasingly frequent patterns drive heatwaves across Europe and enhanced wintertime storminess in the northern part of the continent. Over 91% of recent heatwave-related deaths and 33% of high-impact windstorms in Europe were concurrent with increasingly frequent atmospheric circulation patterns. While the trends identified are statistically significant, they are not necessarily anthropogenic. Atmospheric patterns which are becoming rarer correspond instead to wet, cool summer conditions over northern Europe and wet winter conditions over continental Europe. The combined effect of these circulation changes is that of a strong, dynamically driven year-round warming over most of the continent and large regional and seasonal changes in precipitation and surface wind.</w:t>
      </w:r>
    </w:p>
    <w:p>
      <w:pPr/>
      <w:r>
        <w:rPr>
          <w:b/>
        </w:rPr>
        <w:t>POSSIBLE 2022:</w:t>
      </w:r>
      <w:r>
        <w:t xml:space="preserve"> Bistability of the Atmospheric Circulation on TRAPPIST-1e — https://doi.org/10.3847/psj/ac83be</w:t>
      </w:r>
    </w:p>
    <w:p>
      <w:pPr/>
      <w:r>
        <w:rPr>
          <w:b/>
        </w:rPr>
        <w:t>Shared claim-specific concepts:</w:t>
      </w:r>
      <w:r>
        <w:t xml:space="preserve"> differences, atmospheric, circulation, different, level, multimodel; EU scope not established. This is a provisional connection, not an outcome finding.</w:t>
      </w:r>
    </w:p>
    <w:p>
      <w:pPr>
        <w:pStyle w:val="SourceNote"/>
      </w:pPr>
      <w:r>
        <w:rPr>
          <w:b/>
        </w:rPr>
        <w:t>Available abstract (not full text):</w:t>
      </w:r>
      <w:r>
        <w:t xml:space="preserve"> Abstract Using a 3D general circulation model, we demonstrate that a confirmed rocky exoplanet and a primary observational target, TRAPPIST-1e presents an interesting case of climate bistability. We find that the atmospheric circulation on TRAPPIST-1e can exist in two distinct regimes for a 1 bar nitrogen-dominated atmosphere. One is characterized by a single strong equatorial prograde jet and a large day–night temperature difference; the other is characterized by a pair of mid-latitude prograde jets and a relatively small day–night contrast. The circulation regime appears to be highly sensitive to the model setup, including initial and surface boundary conditions, as well as physical parameterizations of convection and cloud radiative effects. We focus on the emergence of the atmospheric circulation during the early stages of simulations and show that the regime bistability is associated with a delicate balance between the zonally asymmetric heating, mean overturning circulation, and mid-latitude baroclinic instability. The relative strength of these processes places the GCM simulations on different branches of the evolution of atmospheric dynamics. The resulting steady states of the two regimes have consistent differences in the amount of water content and clouds, affecting the water absorption bands as well as the continuum level in the transmission spectrum, although they a</w:t>
      </w:r>
    </w:p>
    <w:p>
      <w:pPr/>
      <w:r>
        <w:rPr>
          <w:b/>
        </w:rPr>
        <w:t>POSSIBLE 2021:</w:t>
      </w:r>
      <w:r>
        <w:t xml:space="preserve"> Improved atmospheric circulation over Europe by the new generation of CMIP6 earth system models — https://doi.org/10.1007/s00382-021-05652-9</w:t>
      </w:r>
    </w:p>
    <w:p>
      <w:pPr/>
      <w:r>
        <w:rPr>
          <w:b/>
        </w:rPr>
        <w:t>Shared claim-specific concepts:</w:t>
      </w:r>
      <w:r>
        <w:t xml:space="preserve"> atmospheric, circulation; EU scope visible. This is a provisional connection, not an outcome finding.</w:t>
      </w:r>
    </w:p>
    <w:p>
      <w:pPr>
        <w:pStyle w:val="SourceNote"/>
      </w:pPr>
      <w:r>
        <w:rPr>
          <w:b/>
        </w:rPr>
        <w:t>Available abstract (not full text):</w:t>
      </w:r>
      <w:r>
        <w:t xml:space="preserve"> Unavailable</w:t>
      </w:r>
    </w:p>
    <w:p>
      <w:pPr>
        <w:pStyle w:val="Heading2"/>
      </w:pPr>
      <w:r>
        <w:t>739.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2019:</w:t>
      </w:r>
      <w:r>
        <w:t xml:space="preserve"> The Ability of Preschoolers to Use Ideas About Other’s Knowledge and the Ways of Changing It — https://doi.org/10.17759/cpse.2019080206</w:t>
      </w:r>
    </w:p>
    <w:p>
      <w:pPr/>
      <w:r>
        <w:rPr>
          <w:b/>
        </w:rPr>
        <w:t>Shared claim-specific concepts:</w:t>
      </w:r>
      <w:r>
        <w:t xml:space="preserve"> contrast, changing, ideas, thinking, about; EU scope not established. This is a provisional connection, not an outcome finding.</w:t>
      </w:r>
    </w:p>
    <w:p>
      <w:pPr>
        <w:pStyle w:val="SourceNote"/>
      </w:pPr>
      <w:r>
        <w:rPr>
          <w:b/>
        </w:rPr>
        <w:t>Available abstract (not full text):</w:t>
      </w:r>
      <w:r>
        <w:t xml:space="preserve"> The article deals with the problem of the ability to use ideas about other’s knowledge and the ways of changing it, the ability to de-center thinking in the process of communication in the example of understanding deception in typically developing preschoolers and preschoolers with mental retardation. The recognition of deception is considered as a cognitive function, taking into account the specific techniques of the implementation of the mental model. Empirical sample of research: 72 children of pre-school age from 5 to 6 years. Contrast samples show the specificity of the lack of social interaction tools based on the mental model. Analyzed that in a game with deceit, a child is required to use signs to anticipate events that made it known about the nascent action of another person. In children with mental retardation in a game with deceptive action, shown a situational mode of action without taking into account the model of a mental interaction partner due to the lack of ability to decentration. The data reflects the relationship between the cognitive level of development and the level of the mental model in the process of forming the basis of social cognition and social experience in the early stages of ontogenesis.</w:t>
      </w:r>
    </w:p>
    <w:p>
      <w:pPr/>
      <w:r>
        <w:rPr>
          <w:b/>
        </w:rPr>
        <w:t>POSSIBLE 2019:</w:t>
      </w:r>
      <w:r>
        <w:t xml:space="preserve"> Transformations: Change from Learning to Growth — https://doi.org/10.4324/9780429400803-14</w:t>
      </w:r>
    </w:p>
    <w:p>
      <w:pPr/>
      <w:r>
        <w:rPr>
          <w:b/>
        </w:rPr>
        <w:t>Shared claim-specific concepts:</w:t>
      </w:r>
      <w:r>
        <w:t xml:space="preserve"> contrast, ideas, practice; EU scope not established. This is a provisional connection, not an outcome finding.</w:t>
      </w:r>
    </w:p>
    <w:p>
      <w:pPr>
        <w:pStyle w:val="SourceNote"/>
      </w:pPr>
      <w:r>
        <w:rPr>
          <w:b/>
        </w:rPr>
        <w:t>Available abstract (not full text):</w:t>
      </w:r>
      <w:r>
        <w:t xml:space="preserve"> Wilfred Bion differentiates between different modes of transformation, in particular between “transference” and “transformations in hallucinosis”. There are very different views of Transformations and Wilfred Bion’s later works – very strong views. By contrast, “Transformation in hallucinosis” is evacuative rather than explorative, and rivalrous rather than in “intercourse” with the world. This chapter introduces two concepts: transformation and invariance. The theory of transformations and its development does not relate to the main body of psychoanalytic theory, but to the practice of psychoanalytic observation. Psychoanalytic theories, patient’s or analyst’s statements are representations of an emotional experience. Bion differentiates between the process of transformation and the end product. Although the transference has a “repetitive quality”, it contains a crucial element of enquiry and discovery. Sigmund Freud’s ideas on the superego changed and became increasingly complex in the development of new ideas.</w:t>
      </w:r>
    </w:p>
    <w:p>
      <w:pPr/>
      <w:r>
        <w:rPr>
          <w:b/>
        </w:rPr>
        <w:t>POSSIBLE 2018:</w:t>
      </w:r>
      <w:r>
        <w:t xml:space="preserve"> Arctic and Antarctic Sea Ice Change: Contrasts, Commonalities, and Causes — https://doi.org/10.1146/annurev-marine-010816-060610</w:t>
      </w:r>
    </w:p>
    <w:p>
      <w:pPr/>
      <w:r>
        <w:rPr>
          <w:b/>
        </w:rPr>
        <w:t>Shared claim-specific concepts:</w:t>
      </w:r>
      <w:r>
        <w:t xml:space="preserve"> contrast, largely, processes; EU scope not established. This is a provisional connection, not an outcome finding.</w:t>
      </w:r>
    </w:p>
    <w:p>
      <w:pPr>
        <w:pStyle w:val="SourceNote"/>
      </w:pPr>
      <w:r>
        <w:rPr>
          <w:b/>
        </w:rPr>
        <w:t>Available abstract (not full text):</w:t>
      </w:r>
      <w:r>
        <w:t xml:space="preserve"> Arctic sea ice has declined precipitously in both extent and thickness over the past four decades; by contrast, Antarctic sea ice has shown little overall change, but this masks large regional variability. Climate models have not captured these changes. But these differences do not represent a paradox. The processes governing, and impacts of, natural variability and human-induced changes differ markedly at the poles largely because of the ways in which differences in geography control the properties of and interactions among the atmosphere, ice, and ocean. The impact of natural variability on the ice cover is large at both poles, so modeled ice trends are not entirely inconsistent with contributions from both natural variability and anthropogenic forcing. Despite this concurrence, the coupling of natural climate variability, climate feedbacks, and sea ice is not well understood, and significant biases remain in model representations of the ice cover and the processes that drive it.</w:t>
      </w:r>
    </w:p>
    <w:p>
      <w:pPr>
        <w:pStyle w:val="Heading2"/>
      </w:pPr>
      <w:r>
        <w:t>740.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2022:</w:t>
      </w:r>
      <w:r>
        <w:t xml:space="preserve"> An Improved Spatiotemporal Weighted Mean Temperature Model over Europe Based on the Nonlinear Least Squares Estimation Method — https://doi.org/10.3390/rs14153609</w:t>
      </w:r>
    </w:p>
    <w:p>
      <w:pPr/>
      <w:r>
        <w:rPr>
          <w:b/>
        </w:rPr>
        <w:t>Shared claim-specific concepts:</w:t>
      </w:r>
      <w:r>
        <w:t xml:space="preserve"> weighted, average, based, respectively; EU scope visible. This is a provisional connection, not an outcome finding.</w:t>
      </w:r>
    </w:p>
    <w:p>
      <w:pPr>
        <w:pStyle w:val="SourceNote"/>
      </w:pPr>
      <w:r>
        <w:rPr>
          <w:b/>
        </w:rPr>
        <w:t>Available abstract (not full text):</w:t>
      </w:r>
      <w:r>
        <w:t xml:space="preserve"> Weighted average temperature (Tm) plays a crucial role in global navigation satellite system (GNSS) precipitable water vapor (PWV) retrieval. Aiming at the poor applicability of the existing Tm models in Europe, in the article, we used observations from 48 radiosonde stations over Europe from 2014 to 2020 to establish a weighted average temperature model in Europe (ETm) by the nonlinear least squares estimation method. The ETm model takes into account factors such as ground temperature, water vapor pressure, latitude, and their annual variation, semiannual variation and diurnal variation. Taking the Tm obtained from the radiosonde data by the integration method in 2021 as the reference value, the accuracy of the ETm model was evaluated and compared with the commonly used Bevis model, ETmPoly model, and GPT2w model. The results of the 48 modeled stations showed that the mean bias and root mean square (RMS) values of the ETm model were 0.06 and 2.85 K, respectively, which were 21.7%, 11.5%, and 31.8% higher than the Bevis, ETmPoly, and GPT2w-1 (1° × 1° resolution) models, respectively. In addition, the radiosonde data of 12 non-modeling stations over Europe in 2021 were selected to participate in the model accuracy validation. The mean bias and RMS values of the ETm model were –0.07 and 2.87 K, respectively. Compared with the Bevis, ETmPoly, and GPT2w-1 models, the accuracy (in t</w:t>
      </w:r>
    </w:p>
    <w:p>
      <w:pPr/>
      <w:r>
        <w:rPr>
          <w:b/>
        </w:rPr>
        <w:t>POSSIBLE 2022:</w:t>
      </w:r>
      <w:r>
        <w:t xml:space="preserve"> Political Imaginaries of the Weighted Average Cost of Capital: A Conceptual Analysis — https://doi.org/10.3384/vs.2001-5992.2021.8.2.5-36</w:t>
      </w:r>
    </w:p>
    <w:p>
      <w:pPr/>
      <w:r>
        <w:rPr>
          <w:b/>
        </w:rPr>
        <w:t>Shared claim-specific concepts:</w:t>
      </w:r>
      <w:r>
        <w:t xml:space="preserve"> weighted, average, capital, produced, minimum; EU scope not established. This is a provisional connection, not an outcome finding.</w:t>
      </w:r>
    </w:p>
    <w:p>
      <w:pPr>
        <w:pStyle w:val="SourceNote"/>
      </w:pPr>
      <w:r>
        <w:rPr>
          <w:b/>
        </w:rPr>
        <w:t>Available abstract (not full text):</w:t>
      </w:r>
      <w:r>
        <w:t xml:space="preserve"> This article analyzes the formulation of the “weighted average cost of capital” in the manuals of two of the most influential associations of financial analysts. It focuses on the use of the formula as the discount rate to determine the “fundamental value” of listed companies using the “discounted cash flows” method, a cornerstone of the definition of “shareholder value” used in the finance industry worldwide. It shows that the choice of variables and their mathematical relations in the formula mobilize multiple, partly independent and contradictory epistemologies and ontologies. This multiplicity is assembled along political imaginaries concerning the relation between particular notions of the maximizing investor, the efficient markets and the sovereign state. The figure of the investor is considered the only legitimate agent to claim the “free” cash flows of the company, the efficient markets are considered the source of truthful representation of value, and the state is supposed to guarantee both the fair play between investors and a minimum revenue for money owners, to be extracted from the rest of society through the tax system. The formula thus legitimizes and renders self-evident power relations that sustain the global inequalities produced by the finance industry.</w:t>
      </w:r>
    </w:p>
    <w:p>
      <w:pPr/>
      <w:r>
        <w:rPr>
          <w:b/>
        </w:rPr>
        <w:t>POSSIBLE 2021:</w:t>
      </w:r>
      <w:r>
        <w:t xml:space="preserve"> Does it pay to be environmentally responsible? Investigating the effect on the weighted average cost of capital — https://doi.org/10.1002/csr.2164</w:t>
      </w:r>
    </w:p>
    <w:p>
      <w:pPr/>
      <w:r>
        <w:rPr>
          <w:b/>
        </w:rPr>
        <w:t>Shared claim-specific concepts:</w:t>
      </w:r>
      <w:r>
        <w:t xml:space="preserve"> show, weighted, average, capital, wacc; EU scope visible. This is a provisional connection, not an outcome finding.</w:t>
      </w:r>
    </w:p>
    <w:p>
      <w:pPr>
        <w:pStyle w:val="SourceNote"/>
      </w:pPr>
      <w:r>
        <w:rPr>
          <w:b/>
        </w:rPr>
        <w:t>Available abstract (not full text):</w:t>
      </w:r>
      <w:r>
        <w:t xml:space="preserve"> Abstract This research aims at investigating the effect of firms' environmental policies on the weighted average cost of capital (WACC) in order to catch capital markets' reaction towards corporate environmental commitment and effectiveness in reducing carbon emissions. We refer to the European market and analysed a sample of companies listed on the Stoxx Europe 600 Index during the timeframe 2014–2018. Our results show that capital markets have become particularly sensitive to environmental issues and therefore reward environmentally virtuous firms with a lower after tax WACC. We also argue that this effect is prominent for both high emitting and low emitting industries.</w:t>
      </w:r>
    </w:p>
    <w:p>
      <w:pPr/>
      <w:r>
        <w:rPr>
          <w:b/>
        </w:rPr>
        <w:t>POSSIBLE 2020:</w:t>
      </w:r>
      <w:r>
        <w:t xml:space="preserve"> Reliability Ensemble Averaging (REA) of the European regional climate change — https://doi.org/10.5194/egusphere-egu2020-10048</w:t>
      </w:r>
    </w:p>
    <w:p>
      <w:pPr/>
      <w:r>
        <w:rPr>
          <w:b/>
        </w:rPr>
        <w:t>Shared claim-specific concepts:</w:t>
      </w:r>
      <w:r>
        <w:t xml:space="preserve"> show, weighted, average; EU scope visible. This is a provisional connection, not an outcome finding.</w:t>
      </w:r>
    </w:p>
    <w:p>
      <w:pPr>
        <w:pStyle w:val="SourceNote"/>
      </w:pPr>
      <w:r>
        <w:rPr>
          <w:b/>
        </w:rPr>
        <w:t>Available abstract (not full text):</w:t>
      </w:r>
      <w:r>
        <w:t xml:space="preserve"> The Reliability Ensemble Averaging (REA) method calculates average, uncertainty range and a measure of reliability of simulated regional climate changes from ensembles of different model simulations. The REA method is applied to mean seasonal temperature and precipitation changes in three different European spatial regimes in the period 2041-2060 and 2081-2100 relative to the reference period 1995-2014. Regional ensemble results of 55 scenario simulations for the RCP8.5 and RCP2.6 at 0.11 degree resolution over the common EURO-CORDEX domain, using 8 GCMs and 11 RCMs, are compared with the driving CMIP5 global models. For each region we show the median and the 25th-75th and 5th-95th percentile spreads of the weighted temperature and precipitation change. The spread of the changes (both 25th-75th and 5th-95th percentiles) are strongly reduced by the weightening as expected, while the best estimate changes (median) of the projection ranges varies according to the region and the season. The method is also applied to evaluate the reliability of the extreme precipitation simulations.</w:t>
      </w:r>
    </w:p>
    <w:p>
      <w:pPr/>
      <w:r>
        <w:rPr>
          <w:b/>
        </w:rPr>
        <w:t>POSSIBLE 2019:</w:t>
      </w:r>
      <w:r>
        <w:t xml:space="preserve"> Impact of weighted average cost of capital, capital expenditure, and other parameters on future utility‐scale PV levelised cost of electricity — https://doi.org/10.1002/pip.3189</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Abstract Solar photovoltaics (PV) is already the cheapest form of electricity generation in many countries and market segments. Market prices of PV modules and systems have developed so fast that it is difficult to find reliable up to date public data on real PV capital (CAPEX) and operational expenditures (OPEX) on which to base the levelised cost of electricity (LCOE) calculations. This paper projects the future utility‐scale PV LCOE until 2050 in several European countries. It uses the most recent and best available public input data for the PV LCOE calculations and future projections. Utility‐scale PV LCOE in 2019 in Europe with 7% nominal weighted average cost of capital (WACC) ranges from 24 €/MWh in Malaga to 42 €/MWh in Helsinki. This is remarkable since the average electricity day‐ahead market price in Finland was 47 €/MWh and in Spain 57 €/MWh in 2018. This means that PV is already cheaper than average spot market electricity all over Europe. By 2030, PV LCOE will range from 14 €/MWh in Malaga to 24 €/MWh in Helsinki with 7% nominal WACC. This range will be 9 to 15 €/MWh by 2050, making PV clearly the cheapest form of electricity generation everywhere. Sensitivity analysis shows that apart from location, WACC is the most important input parameter in the calculation of PV LCOE. Increasing nominal WACC from 2 to 10% will double the LCOE. Changes in PV CAPEX and OPEX, le</w:t>
      </w:r>
    </w:p>
    <w:p>
      <w:pPr/>
      <w:r>
        <w:rPr>
          <w:b/>
        </w:rPr>
        <w:t>POSSIBLE 2018:</w:t>
      </w:r>
      <w:r>
        <w:t xml:space="preserve"> Monitoring compositional data using multivariate exponentially weighted moving average scheme — https://doi.org/10.1002/qre.2260</w:t>
      </w:r>
    </w:p>
    <w:p>
      <w:pPr/>
      <w:r>
        <w:rPr>
          <w:b/>
        </w:rPr>
        <w:t>Shared claim-specific concepts:</w:t>
      </w:r>
      <w:r>
        <w:t xml:space="preserve"> show, weighted, average, based; EU scope visible. This is a provisional connection, not an outcome finding.</w:t>
      </w:r>
    </w:p>
    <w:p>
      <w:pPr>
        <w:pStyle w:val="SourceNote"/>
      </w:pPr>
      <w:r>
        <w:rPr>
          <w:b/>
        </w:rPr>
        <w:t>Available abstract (not full text):</w:t>
      </w:r>
      <w:r>
        <w:t xml:space="preserve"> Abstract Recently, the monitoring of compositional data by means of control charts has been investigated in the statistical process control literature. In this article, we develop a Phase II multivariate exponentially weighted moving average control chart, for the continuous surveillance of compositional data based on a transformation into coordinate representation. We use a Markov chain approximation to determine the performance of the proposed multivariate control chart. The optimal multivariate exponentially weighted moving average smoothing constants, control limits, and out‐of‐control average run lengths have been computed for different combinations of the in‐control average run lengths and the number of variables. Several tables are presented and enumerated to show the statistical performance of the proposed control chart. An example illustrates the use of this chart on an industrial problem from a plant in Europe.</w:t>
      </w:r>
    </w:p>
    <w:p>
      <w:pPr>
        <w:pStyle w:val="Heading2"/>
      </w:pPr>
      <w:r>
        <w:t>741.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Environmental Investments and Climate Change: How Environmental Protection Expenditure and Gross Domestic Product Affect Emissions in the European Union — https://doi.org/10.13044/j.sdewes.d12.0528</w:t>
      </w:r>
    </w:p>
    <w:p>
      <w:pPr/>
      <w:r>
        <w:rPr>
          <w:b/>
        </w:rPr>
        <w:t>Shared claim-specific concepts:</w:t>
      </w:r>
      <w:r>
        <w:t xml:space="preserve"> climate, affect, many, increased; EU scope visible. This is a provisional connection, not an outcome finding.</w:t>
      </w:r>
    </w:p>
    <w:p>
      <w:pPr>
        <w:pStyle w:val="SourceNote"/>
      </w:pPr>
      <w:r>
        <w:rPr>
          <w:b/>
        </w:rPr>
        <w:t>Available abstract (not full text):</w:t>
      </w:r>
      <w:r>
        <w:t xml:space="preserve"> This study analyses the relationships between economic development, environmental investments, and greenhouse gas emissions in the European Union for the period 2008-2022. Using correlation and regression analysis of data from Eurostat, the study assesses the impact of environmental protection expenditure and gross domestic product on greenhouse gas emissions. The results reveal a stable upward trend in environmental protection expenditure, especially in recent years, reflecting the European Union's growing commitment to sustainable development. At the same time, greenhouse gas emissions show an overall downward trend, with the sharpest decline between 2019 and 2020, likely due to the impact of the coronavirus disease pandemic. The correlation analysis confirms a significant inverse relationship between environmental investments and emissions, demonstrating the positive effect of "green" spending on reducing the carbon footprint. An important observation is that in many years, environmental expenditure grows at a faster rate than the European Union's gross domestic product, emphasizing the increased commitment to environmental issues even in conditions of economic growth. The regression analysis shows a strong relationship between the predictors (gross domestic product and environmental expenditure) and greenhouse gas emissions. Despite the expectation that economic growth woul</w:t>
      </w:r>
    </w:p>
    <w:p>
      <w:pPr/>
      <w:r>
        <w:rPr>
          <w:b/>
        </w:rPr>
        <w:t>POSSIBLE 2023:</w:t>
      </w:r>
      <w:r>
        <w:t xml:space="preserve"> Will Climate Change Affect the Disease Progression of Septoria Tritici Blotch in Northern Europe? — https://doi.org/10.3390/agronomy13041005</w:t>
      </w:r>
    </w:p>
    <w:p>
      <w:pPr/>
      <w:r>
        <w:rPr>
          <w:b/>
        </w:rPr>
        <w:t>Shared claim-specific concepts:</w:t>
      </w:r>
      <w:r>
        <w:t xml:space="preserve"> climate, affect, distribution, increased, single; EU scope visible. This is a provisional connection, not an outcome finding.</w:t>
      </w:r>
    </w:p>
    <w:p>
      <w:pPr>
        <w:pStyle w:val="SourceNote"/>
      </w:pPr>
      <w:r>
        <w:rPr>
          <w:b/>
        </w:rPr>
        <w:t>Available abstract (not full text):</w:t>
      </w:r>
      <w:r>
        <w:t xml:space="preserve"> Septoria tritici blotch (STB), caused by the fungus Zymoseptoria tritici Desm., is the most important disease affecting wheat in Northern Europe. There is a strong correlation between STB and weather variables; therefore, research on climate change and epidemiology is essential. In a long-term survey across 25 years, we evaluated the epidemiological development of STB at a representative location under maritime climatic conditions. The surveys conducted between 1996 and 2021 showed an increase in disease severity of STB with respect to time. At the survey location, the plants were also evaluated for other diseases, but other foliar diseases were only observed with negligible severities. However, a continuous increase in the severity of STB was observed throughout the survey. During the survey period, there was no significant relationship between disease severity and single weather parameters (e.g., temperature and precipitation). However, seasonal changes in the progression of conducive STB conditions within the season were observed during the survey. Therefore, STB infections occurred at increased temperatures due to infections later during the growth season. In general, the distribution of conducive weather conditions, which supports an infection, determines the epidemiological behaviour of STB during the growing season. Due to these enhanced STB epidemics, a decline in wheat</w:t>
      </w:r>
    </w:p>
    <w:p>
      <w:pPr/>
      <w:r>
        <w:rPr>
          <w:b/>
        </w:rPr>
        <w:t>POSSIBLE 2023:</w:t>
      </w:r>
      <w:r>
        <w:t xml:space="preserve"> Climate-induced changes in ocean productivity and food-web functioning are projected to markedly affect European fisheries catch — https://doi.org/10.3354/meps14328</w:t>
      </w:r>
    </w:p>
    <w:p>
      <w:pPr/>
      <w:r>
        <w:rPr>
          <w:b/>
        </w:rPr>
        <w:t>Shared claim-specific concepts:</w:t>
      </w:r>
      <w:r>
        <w:t xml:space="preserve"> climate, affect, species, higher; EU scope visible. This is a provisional connection, not an outcome finding.</w:t>
      </w:r>
    </w:p>
    <w:p>
      <w:pPr>
        <w:pStyle w:val="SourceNote"/>
      </w:pPr>
      <w:r>
        <w:rPr>
          <w:b/>
        </w:rPr>
        <w:t>Available abstract (not full text):</w:t>
      </w:r>
      <w:r>
        <w:t xml:space="preserve"> In European waters, climate-induced changes in ocean conditions will alter marine ecosystems, leading to potential repercussions for the European fisheries and the status of exploited species. Here, we used a new version of the EcoTroph model, forced by a regional high-resolution coupled hydrodynamic-ecosystem model, to investigate the effects of climate change on biomass and catch in 15 areas (ICES divisions) of the European Atlantic shelf ecosystems. Based on the projected changes in temperature, zooplankton and benthic secondary producers, we modeled the changes in biomass and catch at each trophic level by the end of the 21st century. We projected that total biomass and catch for the whole Atlantic European seas would decrease by 11.5 and 10.0%, respectively, by 2090-2099 relative to 2013-2017 under a ‘no mitigation’ greenhouse gases emissions scenario (RCP8.5). The projected decrease in catch is 310000 or 240000 t by 2090-2099 under a high (RCP8.5) or a moderate (RCP4.5) emissions scenario, respectively. Some areas, such as the Celtic Sea, would be more affected than others, while the climate impact on the bentho-demersal biomass and catches would be more pronounced, especially toward the higher trophic levels. Our study suggests that climate change may strongly impact European fisheries, with ecological consequences and potential socio-economic repercussions. Future studi</w:t>
      </w:r>
    </w:p>
    <w:p>
      <w:pPr/>
      <w:r>
        <w:rPr>
          <w:b/>
        </w:rPr>
        <w:t>POSSIBLE 2022:</w:t>
      </w:r>
      <w:r>
        <w:t xml:space="preserve"> Climate Change on Extreme Winds Already Affects Wind Energy Availability in Europe — https://doi.org/10.5194/egusphere-egu22-9634</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Climate change is one of the most urgent challenges that humankind confronts nowadays. In order to mitigate its effects, the European Union aims to be climate-neutral, i.e. set the Greenhouse Gas (GHG) emissions to zero, by 2050. In this context, renewable energies (REs) play a key role: on the one hand their development and extensive usage can help to reduce the GHG emissions, on the other hand substantial local changes in atmospheric conditions could modify, for better or for worse, their efficiency. Extreme atmospheric events, in particular, can badly affect the efficiency of the RE infrastructures, preventing them from working or even damaging them. In this work, we focus on wind energy off shore, on the European panorama, with the purpose of estimate the behavior of extreme high winds, over the period 1950-2020, and their impact on wind energy availability. Indeed, the potential wind power production, according to the working regimes of a wind turbine, depends only on the wind speed and, over a certain wind speed threshold, called cut-off speed (25 m s-1), the turbine stops working. By using 6-hourly ERA5 reanalysis data-set and convection permitting simulations, covering the European domain and a period from 1950 to 2020 and from 2000 to 2009 respectively, we analysed the 100 m wind speed over the cut-off threshold and its relation with the geopotential height at 500 hPa,</w:t>
      </w:r>
    </w:p>
    <w:p>
      <w:pPr/>
      <w:r>
        <w:rPr>
          <w:b/>
        </w:rPr>
        <w:t>POSSIBLE 2022:</w:t>
      </w:r>
      <w:r>
        <w:t xml:space="preserve"> Agricultural management, bedrock, and vulnerability of sexual reproduction to climate change affect the occurrence of a European near-endemic moss — https://doi.org/10.11646/bde.45.1.11</w:t>
      </w:r>
    </w:p>
    <w:p>
      <w:pPr/>
      <w:r>
        <w:rPr>
          <w:b/>
        </w:rPr>
        <w:t>Shared claim-specific concepts:</w:t>
      </w:r>
      <w:r>
        <w:t xml:space="preserve"> climate, affect, distribution, species; EU scope visible. This is a provisional connection, not an outcome finding.</w:t>
      </w:r>
    </w:p>
    <w:p>
      <w:pPr>
        <w:pStyle w:val="SourceNote"/>
      </w:pPr>
      <w:r>
        <w:rPr>
          <w:b/>
        </w:rPr>
        <w:t>Available abstract (not full text):</w:t>
      </w:r>
      <w:r>
        <w:t xml:space="preserve"> We investigated whether the European near-endemic moss Drepanocladus lycopodioides has declined in its core distribution area in the southern Baltic Sea region and explored potential explanations for this. First, we re-visited sites with documented records from 1854 to 1957 in the Stockholm archipelago and nearby mainland in southern Sweden. Second, we compared the numbers and distributions of Swedish occurrences, their habitats, and substrates up to 1950 (289 herbarium records), and from 1951 onwards (347) using different map layers. Third, we explored whether inter-annual variation in reproductive performance was related to moisture conditions at five sites on an island in the Stockholm archipelago during nine years. We estimated moisture conditions based on precipitation data and dry days during the time when fertilization occurs in the year prior to sporophyte maturation. Drepanocladus lycopodioides has strongly decreased in intensively managed agricultural landscapes but remains frequent in natural or semi-natural habitats on limestone. Sporophyte development varied between years and depended on the weather condition during the fertilization period. Climate forecasts for the study area predict longer dry spells during late spring to late summer, which coincides with the timing of sexual branch initiation and fertilization in the species. We expect that sporophyte productio</w:t>
      </w:r>
    </w:p>
    <w:p>
      <w:pPr>
        <w:pStyle w:val="Heading2"/>
      </w:pPr>
      <w:r>
        <w:t>742.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2022:</w:t>
      </w:r>
      <w:r>
        <w:t xml:space="preserve"> The Determinants of Internet User Skills in Europe — https://doi.org/10.20944/preprints202205.0263.v1</w:t>
      </w:r>
    </w:p>
    <w:p>
      <w:pPr/>
      <w:r>
        <w:rPr>
          <w:b/>
        </w:rPr>
        <w:t>Shared claim-specific concepts:</w:t>
      </w:r>
      <w:r>
        <w:t xml:space="preserve"> best, obtained, data; EU scope visible. This is a provisional connection, not an outcome finding.</w:t>
      </w:r>
    </w:p>
    <w:p>
      <w:pPr>
        <w:pStyle w:val="SourceNote"/>
      </w:pPr>
      <w:r>
        <w:rPr>
          <w:b/>
        </w:rPr>
        <w:t>Available abstract (not full text):</w:t>
      </w:r>
      <w:r>
        <w:t xml:space="preserve"> The following article indicates the determinants of “Internet User Skills” among European countries based on the application of the database deriving from the DESI-Index. The data were analyzed using the following econometric models, namely: Panel Data with Fixed Effects, Panel Data with Random Effects, Pooled OLS, WLS, WLS corrected for heteroskedasticity. The Elbow method and the Silouette coefficient method were compared for the optimization of the number of clusters obtained by the k-Means algorithm. The result shows the presence of 5 clusters. A network analysis was carried out using the Euclidean distance with the result of identifying two network structures between some analyzed countries. subsequently a comparison was made between six different machine learning algorithms for the prediction of the future value of the variable of interest. The result shows that the best predictor algorithm is Gradient Boosted Tree Regression with an expected value of the predicted variable increasing by a value of 1.75%. Later a further comparison was made by comparing 6 algorithms with the increased data. The result shows that the best predictor is Simple Regression Tree. The interest variable is predicted to decrease by an amount equal to -6.099%. Statistical errors improve on average by 32.43% in the transition between the original data and the increased data.</w:t>
      </w:r>
    </w:p>
    <w:p>
      <w:pPr/>
      <w:r>
        <w:rPr>
          <w:b/>
        </w:rPr>
        <w:t>POSSIBLE 2021:</w:t>
      </w:r>
      <w:r>
        <w:t xml:space="preserve"> Sensitivity of Skill Score Metric to Validate Lagrangian Simulations in Coastal Areas: Recommendations for Search and Rescue Applications — https://doi.org/10.3389/fmars.2021.630388</w:t>
      </w:r>
    </w:p>
    <w:p>
      <w:pPr/>
      <w:r>
        <w:rPr>
          <w:b/>
        </w:rPr>
        <w:t>Shared claim-specific concepts:</w:t>
      </w:r>
      <w:r>
        <w:t xml:space="preserve"> best, skill, obtained, used, observations; EU scope not established. This is a provisional connection, not an outcome finding.</w:t>
      </w:r>
    </w:p>
    <w:p>
      <w:pPr>
        <w:pStyle w:val="SourceNote"/>
      </w:pPr>
      <w:r>
        <w:rPr>
          <w:b/>
        </w:rPr>
        <w:t>Available abstract (not full text):</w:t>
      </w:r>
      <w:r>
        <w:t xml:space="preserve"> Search and rescue (SAR) modeling applications, mostly based on Lagrangian tracking particle algorithms, rely on the accuracy of met-ocean forecast models. Skill assessment methods are therefore required to evaluate the performance of ocean models in predicting particle trajectories. The Skill Score (SS), based on the Normalized Cumulative Lagrangian Separation (NCLS) distance between simulated and satellite-tracked drifter trajectories, is a commonly used metric. However, its applicability in coastal areas, where most of the SAR incidents occur, is difficult and sometimes unfeasible, because of the high variability that characterizes the coastal dynamics and the lack of drifter observations. In this study, we assess the performance of four models available in the Ibiza Channel (Western Mediterranean Sea) and evaluate the applicability of the SS in such coastal risk-prone regions seeking for a functional implementation in the context of SAR operations. We analyze the SS sensitivity to different forecast horizons and examine the best way to quantify the average model performance, to avoid biased conclusions. Our results show that the SS increases with forecast time in most cases. At short forecast times (i.e., 6 h), the SS exhibits a much higher variability due to the short trajectory lengths observed compared to the separation distance obtained at timescales not properly resolve</w:t>
      </w:r>
    </w:p>
    <w:p>
      <w:pPr/>
      <w:r>
        <w:rPr>
          <w:b/>
        </w:rPr>
        <w:t>POSSIBLE 2020:</w:t>
      </w:r>
      <w:r>
        <w:t xml:space="preserve"> Best practice for the nuclear medicine technologist in CT-based attenuation correction and calcium score for nuclear cardiology — https://doi.org/10.1186/s41824-020-00080-0</w:t>
      </w:r>
    </w:p>
    <w:p>
      <w:pPr/>
      <w:r>
        <w:rPr>
          <w:b/>
        </w:rPr>
        <w:t>Shared claim-specific concepts:</w:t>
      </w:r>
      <w:r>
        <w:t xml:space="preserve"> best, identify, throughout; EU scope visible. This is a provisional connection, not an outcome finding.</w:t>
      </w:r>
    </w:p>
    <w:p>
      <w:pPr>
        <w:pStyle w:val="SourceNote"/>
      </w:pPr>
      <w:r>
        <w:rPr>
          <w:b/>
        </w:rPr>
        <w:t>Available abstract (not full text):</w:t>
      </w:r>
      <w:r>
        <w:t xml:space="preserve"> The use of hybrid systems is increasingly growing in Europe and this is progressively important for the final result of diagnostic tests. As an integral part of the hybrid imaging system, computed tomography (CT) plays a crucial role in myocardial perfusion imaging diagnostics. Throughout Europe, a variety of equipment is available and also different university curricula of the nuclear medicine technologist are observed. Hence, the Technologist Committee of the European Association of Nuclear Medicine proposes to identify, through a bibliographic review, the recommendations for best practice in computed tomography applied to attenuation correction and calcium score in myocardial perfusion imaging, which courses in the set of knowledge, skills, and competencies for nuclear medicine technologists. This document aims at providing recommendations for CT acquisition protocols and CT image optimization in nuclear cardiology.</w:t>
      </w:r>
    </w:p>
    <w:p>
      <w:pPr/>
      <w:r>
        <w:rPr>
          <w:b/>
        </w:rPr>
        <w:t>POSSIBLE 2020:</w:t>
      </w:r>
      <w:r>
        <w:t xml:space="preserve"> Extratropical Prediction Skill of the Subseasonal‐to‐Seasonal (S2S) Prediction Models — https://doi.org/10.1029/2019jd031273</w:t>
      </w:r>
    </w:p>
    <w:p>
      <w:pPr/>
      <w:r>
        <w:rPr>
          <w:b/>
        </w:rPr>
        <w:t>Shared claim-specific concepts:</w:t>
      </w:r>
      <w:r>
        <w:t xml:space="preserve"> best, skill, forecasts, days; EU scope visible. This is a provisional connection, not an outcome finding.</w:t>
      </w:r>
    </w:p>
    <w:p>
      <w:pPr>
        <w:pStyle w:val="SourceNote"/>
      </w:pPr>
      <w:r>
        <w:rPr>
          <w:b/>
        </w:rPr>
        <w:t>Available abstract (not full text):</w:t>
      </w:r>
      <w:r>
        <w:t xml:space="preserve"> Abstract The deterministic prediction skill of the 10 operational models participating in the subseasonal‐to‐seasonal (S2S) prediction project is assessed for both the extratropical stratosphere and troposphere. Based on the mean squared skill score of 50‐ and 500‐hPa geopotential height forecasts, the overall prediction skill is on average 16 days in the stratosphere and 9 days in the troposphere. The high‐top models with a fully resolved stratosphere typically have a higher prediction skill than the low‐top models. Among them, the European Centre for Medium‐Range Weather Forecasts model shows the best performance in both hemispheres. The decomposition of model errors reveals that eddy errors are more important than zonal‐mean errors in both the stratosphere and troposphere. While the errors in the stratosphere are dominated by planetary‐scale eddies, those in the troposphere are equally influenced by planetary‐ and synoptic‐scale eddies. This result indicates that subseasonal‐to‐seasonal prediction could be improved by better representing planetary‐scale wave activities in the model.</w:t>
      </w:r>
    </w:p>
    <w:p>
      <w:pPr/>
      <w:r>
        <w:rPr>
          <w:b/>
        </w:rPr>
        <w:t>POSSIBLE 2019:</w:t>
      </w:r>
      <w:r>
        <w:t xml:space="preserve"> Seasonal streamflow forecasts for Europe – Part 2: Sources of skill — https://doi.org/10.5194/hess-23-371-2019</w:t>
      </w:r>
    </w:p>
    <w:p>
      <w:pPr/>
      <w:r>
        <w:rPr>
          <w:b/>
        </w:rPr>
        <w:t>Shared claim-specific concepts:</w:t>
      </w:r>
      <w:r>
        <w:t xml:space="preserve"> skill, forecasts;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2018:</w:t>
      </w:r>
      <w:r>
        <w:t xml:space="preserve"> Skill of Subseasonal Forecasts in Europe: Effect of Bias Correction and Downscaling Using Surface Observations — https://doi.org/10.1029/2017jd027923</w:t>
      </w:r>
    </w:p>
    <w:p>
      <w:pPr/>
      <w:r>
        <w:rPr>
          <w:b/>
        </w:rPr>
        <w:t>Shared claim-specific concepts:</w:t>
      </w:r>
      <w:r>
        <w:t xml:space="preserve"> skill, scores, used, observations, forecasts, period; EU scope visible. This is a provisional connection, not an outcome finding.</w:t>
      </w:r>
    </w:p>
    <w:p>
      <w:pPr>
        <w:pStyle w:val="SourceNote"/>
      </w:pPr>
      <w:r>
        <w:rPr>
          <w:b/>
        </w:rPr>
        <w:t>Available abstract (not full text):</w:t>
      </w:r>
      <w:r>
        <w:t xml:space="preserve"> Abstract Subseasonal predictions bridge the gap between medium‐range weather forecasts and seasonal climate predictions. This time horizon is of crucial importance for many planning purposes, including energy production and agriculture. The verification of such predictions is normally done for areal averages of upper‐air parameters. Only few studies exist that verify the forecasts for surface parameters with observational stations, although this is crucial for real‐world applications, which often require such predictions at specific surface locations. With this study we provide an extensive station‐based verification of subseasonal forecasts against 1,637 ground based observational time series across Europe. Twenty years of temperature and precipitation reforecasts of the European Centre for Medium‐Range Weather Forecasts Integrated Forecasting System are used to analyze the period of April 1995 to March 2014. A lead time and seasonally dependent bias correction is performed to correct the daily temperature and precipitation forecasts at all stations individually. Two bias correction techniques are compared, a mean debiasing method and a quantile mapping approach. Commonly used skill scores characterizing different aspects of forecast quality are computed for weekly aggregated forecasts with lead times of 5–32 days. Overall, promising skill is found for temperature in all seaso</w:t>
      </w:r>
    </w:p>
    <w:p>
      <w:pPr>
        <w:pStyle w:val="Heading2"/>
      </w:pPr>
      <w:r>
        <w:t>743.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r>
        <w:rPr>
          <w:b/>
        </w:rPr>
        <w:t>POSSIBLE 2024:</w:t>
      </w:r>
      <w:r>
        <w:t xml:space="preserve"> Sea Level Rise in Europe: Knowledge gaps identified through a participatory approach — https://doi.org/10.5194/sp-3-slre1-3-2024</w:t>
      </w:r>
    </w:p>
    <w:p>
      <w:pPr/>
      <w:r>
        <w:rPr>
          <w:b/>
        </w:rPr>
        <w:t>Shared claim-specific concepts:</w:t>
      </w:r>
      <w:r>
        <w:t xml:space="preserve"> participatory, approach, four, regional, users, understanding; EU scope visible. This is a provisional connection, not an outcome finding.</w:t>
      </w:r>
    </w:p>
    <w:p>
      <w:pPr>
        <w:pStyle w:val="SourceNote"/>
      </w:pPr>
      <w:r>
        <w:rPr>
          <w:b/>
        </w:rPr>
        <w:t>Available abstract (not full text):</w:t>
      </w:r>
      <w:r>
        <w:t xml:space="preserve"> Abstract. The Intergovernmental Panel on Climate Change (IPCC) plays a pivotal role in delivering information and knowledge on sea level rise (SLR), a global threat impacting coastlines worldwide. However, considerable disparities still persist in Europe in understanding and applying sea level science, evaluating its repercussions, and devising effective adaptation strategies. These are influenced by local factors such as diverse environments, socioeconomic conditions, policy contexts, and diversity in stakeholder involvement, producing in turn varying knowledge gaps and information needs across European sea basins. In this context, this paper presents the findings of a comprehensive scoping process carried out by the European Knowledge Hub on Sea Level Rise (KH-SLR) to define the outline of the first KH-SLR Assessment Report. It consists of the analysis of stakeholder responses to an online survey and insights shared during four regional workshops, aiming to pinpoint critical gaps in available information on SLR and its potential consequences in European basins, both from a scientific and policy perspective. The analysis was divided into three categories: i) SLR science and information, ii) SLR impacts, and iii) SLR adaptation policies and decision-making. Regarding SLR science and information, many respondents found that significant gaps exist in regional SLR projections and </w:t>
      </w:r>
    </w:p>
    <w:p>
      <w:pPr/>
      <w:r>
        <w:rPr>
          <w:b/>
        </w:rPr>
        <w:t>POSSIBLE 2021:</w:t>
      </w:r>
      <w:r>
        <w:t xml:space="preserve"> A participatory data-centric approach to AI Ethics by Design — https://doi.org/10.1080/08839514.2021.2009222</w:t>
      </w:r>
    </w:p>
    <w:p>
      <w:pPr/>
      <w:r>
        <w:rPr>
          <w:b/>
        </w:rPr>
        <w:t>Shared claim-specific concepts:</w:t>
      </w:r>
      <w:r>
        <w:t xml:space="preserve"> participatory, approach, understanding; EU scope not established. This is a provisional connection, not an outcome finding.</w:t>
      </w:r>
    </w:p>
    <w:p>
      <w:pPr>
        <w:pStyle w:val="SourceNote"/>
      </w:pPr>
      <w:r>
        <w:rPr>
          <w:b/>
        </w:rPr>
        <w:t>Available abstract (not full text):</w:t>
      </w:r>
      <w:r>
        <w:t xml:space="preserve"> Data-driven artificial intelligence (AI) based on machine learning techniques (ML) has increasingly become an enabler in critical societal domains. However, the introduction of ML systems is often accompanied by unjustified, biased, and discriminated outcomes with severe consequences for the individuals affected. Consequently, in recent years value-based design methods have sought to anticipate and mitigate moral wrongdoing by drawing attention to ethical and epistemic challenges related to the design of AI systems. This article presents a participatory data-centric approach to AI Ethics by Design by promoting and refining insights from contributions within the family of value-sensitive design methods. The approach provides a practicable outlook on addressing epistemic and ethical issues related to data activities in early ML development project stages. Hence, the article seeks to enhance opportunities for ethically informed AI design by stressing the need for bridge building to cultivate a shared understanding among system developers and domain experts about a given data domain and its relatedness to a specific practice.</w:t>
      </w:r>
    </w:p>
    <w:p>
      <w:pPr/>
      <w:r>
        <w:rPr>
          <w:b/>
        </w:rPr>
        <w:t>POSSIBLE 2021:</w:t>
      </w:r>
      <w:r>
        <w:t xml:space="preserve"> Participatory approaches in the development of health interventions for migrants: a systematic review — https://doi.org/10.1136/bmjopen-2021-053678</w:t>
      </w:r>
    </w:p>
    <w:p>
      <w:pPr/>
      <w:r>
        <w:rPr>
          <w:b/>
        </w:rPr>
        <w:t>Shared claim-specific concepts:</w:t>
      </w:r>
      <w:r>
        <w:t xml:space="preserve"> participatory, approach, stakeholders; EU scope not established. This is a provisional connection, not an outcome finding.</w:t>
      </w:r>
    </w:p>
    <w:p>
      <w:pPr>
        <w:pStyle w:val="SourceNote"/>
      </w:pPr>
      <w:r>
        <w:rPr>
          <w:b/>
        </w:rPr>
        <w:t>Available abstract (not full text):</w:t>
      </w:r>
      <w:r>
        <w:t xml:space="preserve"> Abstract Objective To analyse the use of participatory approaches in research of health interventions for migrants, and how utilised approaches embody core participatory principles of democracy and power-distribution. Design A systematic review of original articles. Electronic searchers were carried out in the databases MEDLINE, Embase, Global Health and PsychINFO (from inception – Nov 2020). Eligibility criteria for study selection The analysis included original peer-reviewed research which reported on attempts to develop and implement a health intervention for migrants using participatory approaches. We defined migrants as foreign-born individuals; studies using definitions demonstrably outside of this were excluded. Only articles reporting the full research cycle (inception, design, implementation, analysis, evaluation, dissemination) were included. Data extraction Information related to who was involved in research (migrants or other non-academic stakeholders), the research stage at which they were involved (inception, design, implementation, analysis, evaluation, dissemination), and how this involvement aligned with the core principles of participatory research – categorising studies as exhibiting active, pseudo, or indirect participation of migrants. Results 1793 publication were screened of which 28 were included in our analysis. We found substantial variation in the app</w:t>
      </w:r>
    </w:p>
    <w:p>
      <w:pPr/>
      <w:r>
        <w:rPr>
          <w:b/>
        </w:rPr>
        <w:t>POSSIBLE 2020:</w:t>
      </w:r>
      <w:r>
        <w:t xml:space="preserve"> A participatory approach: Shifting accountability in microenterprise development — https://doi.org/10.1111/faam.12252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Abstract Although non‐government organisations (NGOs) play an important role in poverty alleviation, their accountability to beneficiaries (the poor) for sustainable poverty alleviation is often criticised. In the literature, a participatory approach to strengthening NGO downward accountability has been widely discussed and various mechanisms for participation are identified; however, it is unclear how a participatory approach is implemented in practice to enhance NGO accountability to beneficiaries. Using accountability concepts, this study examines a participatory approach within the practices of NGOs engaging in microenterprise development in Bangladesh and Indonesia. Findings show that an effective participatory approach needs to address three questions: who participates, what to participate in, and how to participate. Within this approach, participation for beneficiary empowerment involves three stages: consulting, partnership, and delegated control. These stages are not linear, but rather a recurring, iterative process, providing a graduated, progressive approach to empowering beneficiaries. These stages recognise mutual accountability between the poor, as well as the public and private sectors, providing a basis for enhanced NGO accountability to beneficiaries at a strategic level – and enhanced sustainable outcomes for poverty alleviation.</w:t>
      </w:r>
    </w:p>
    <w:p>
      <w:pPr/>
      <w:r>
        <w:rPr>
          <w:b/>
        </w:rPr>
        <w:t>POSSIBLE 2018:</w:t>
      </w:r>
      <w:r>
        <w:t xml:space="preserve"> Sketching sustainable land use in Europe by 2040: a multi-stakeholder participatory approach to elicit cross-sectoral visions — https://doi.org/10.1007/s10113-018-1297-7</w:t>
      </w:r>
    </w:p>
    <w:p>
      <w:pPr/>
      <w:r>
        <w:rPr>
          <w:b/>
        </w:rPr>
        <w:t>Shared claim-specific concepts:</w:t>
      </w:r>
      <w:r>
        <w:t xml:space="preserve"> participatory, iterative, approach, involving, regional, stakeholders; EU scope visible. This is a provisional connection, not an outcome finding.</w:t>
      </w:r>
    </w:p>
    <w:p>
      <w:pPr>
        <w:pStyle w:val="SourceNote"/>
      </w:pPr>
      <w:r>
        <w:rPr>
          <w:b/>
        </w:rPr>
        <w:t>Available abstract (not full text):</w:t>
      </w:r>
      <w:r>
        <w:t xml:space="preserve"> The continuously growing global demands on a finite land resource will require better strategic policies and management of trade-offs to avoid conflicts between different land-use sectors. Visions of the future can support strategic planning by stimulating dialogue, building a consensus on shared priorities and providing long-term targets. We present a novel approach to elicit stakeholder visions of future desired land use, which was applied with a broad range of experts to develop cross-sectoral visions in Europe. The approach is based on (i) combination of software tools and facilitation techniques to stimulate engagement and creativity; (ii) methodical selection of stakeholders; (iii) use of land attributes to deconstruct the multifaceted sectoral visions into land-use changes that can be clustered into few cross-sectoral visions, and (iv) a rigorous iterative process. Three cross-sectoral visions of sustainable land use in Europe in 2040 emerged from applying the approach in participatory workshops involving experts in nature conservation, recreation, agriculture, forestry, settlements, energy, and water. The three visions— Best Land in Europe , Regional Connected and Local Multifunctional —shared a wish to achieve a land use that is sustainable through multifunctionality, resource use efficiency, controlled urban growth, rural renewal and widespread nature. However, they d</w:t>
      </w:r>
    </w:p>
    <w:p>
      <w:pPr>
        <w:pStyle w:val="Heading2"/>
      </w:pPr>
      <w:r>
        <w:t>744.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2022:</w:t>
      </w:r>
      <w:r>
        <w:t xml:space="preserve"> Occupational Therapists and COVID-19 Pandemic: An Observational Survey in Europe — https://doi.org/10.15453/2168-6408.1923</w:t>
      </w:r>
    </w:p>
    <w:p>
      <w:pPr/>
      <w:r>
        <w:rPr>
          <w:b/>
        </w:rPr>
        <w:t>Shared claim-specific concepts:</w:t>
      </w:r>
      <w:r>
        <w:t xml:space="preserve"> main, occupational, professionals, well, health; EU scope visible. This is a provisional connection, not an outcome finding.</w:t>
      </w:r>
    </w:p>
    <w:p>
      <w:pPr>
        <w:pStyle w:val="SourceNote"/>
      </w:pPr>
      <w:r>
        <w:rPr>
          <w:b/>
        </w:rPr>
        <w:t>Available abstract (not full text):</w:t>
      </w:r>
      <w:r>
        <w:t xml:space="preserve"> Background: The COVID-19 pandemic has resulted in a health care emergency in Europe since the first wave in 2020. Several challenges have arisen for occupational therapists, as well as all the health care professionals. The aim of this study was to determine what occupational therapists have changed to adapt their therapeutic processes for this catastrophic situation. Method: An online survey was developed and sent in conjunction with the Council of Occupational Therapy for European Countries (COTEC) to European national associations of occupational therapists. Results: The study was based on a sample of 65 occupational therapists who worked with people with COVID-19. More than half of the occupational therapists (54.8%) had changed departments. The main needs patients expressed (n = 136) during hospitalization were to have social contacts (30.9%), and the main clinical complaints (n = 144) were motor impairment and fatigue (35.4%) and depression (25.7%). The most frequently reported goal (n = 141) was recovery of physical performance and fatigue management (32.6%). Among the emotions mentioned by occupational therapists, negative emotions (76%) were the most common. Conclusion: European occupational therapists demonstrated flexibility and resilience to deal with clinical and organizational challenges during the COVID-19 emergency.</w:t>
      </w:r>
    </w:p>
    <w:p>
      <w:pPr/>
      <w:r>
        <w:rPr>
          <w:b/>
        </w:rPr>
        <w:t>POSSIBLE 2022:</w:t>
      </w:r>
      <w:r>
        <w:t xml:space="preserve"> Occupational COPD —The most under‐recognized occupational lung disease? — https://doi.org/10.1111/resp.14272</w:t>
      </w:r>
    </w:p>
    <w:p>
      <w:pPr/>
      <w:r>
        <w:rPr>
          <w:b/>
        </w:rPr>
        <w:t>Shared claim-specific concepts:</w:t>
      </w:r>
      <w:r>
        <w:t xml:space="preserve"> main, occupational, health, providing; EU scope not established. This is a provisional connection, not an outcome finding.</w:t>
      </w:r>
    </w:p>
    <w:p>
      <w:pPr>
        <w:pStyle w:val="SourceNote"/>
      </w:pPr>
      <w:r>
        <w:rPr>
          <w:b/>
        </w:rPr>
        <w:t>Available abstract (not full text):</w:t>
      </w:r>
      <w:r>
        <w:t xml:space="preserve"> Chronic obstructive pulmonary disease (COPD) is caused by exposure to noxious particles and gases. Smoking is the main risk factor, but other factors are also associated with COPD. Occupational exposure to vapours, gases, dusts and fumes contributes to the development and progression of COPD, accounting for a population attributable fraction of 14%. Workplace pollutants, in particular inorganic dust, can initiate airway damage and inflammation, which are the hallmarks of COPD pathogenesis. Occupational COPD is still underdiagnosed, mainly due to the challenges of assessing the occupational component of the disease in clinical settings, especially if other risk factors are present. There is a need for specific education and training for clinicians, and research with a focus on evaluating the role of occupational exposure in causing COPD. Early diagnosis and identification of occupational causes is very important to prevent further decline in lung function and to reduce the health and socio-economic burden of COPD. Establishing details of the occupational history by general practitioners or respiratory physicians could help to define the occupational burden of COPD for individual patients, providing the first useful interventions (smoking cessation, best therapeutic management, etc.). Once patients are diagnosed with occupational COPD, there is a wide international variation in a</w:t>
      </w:r>
    </w:p>
    <w:p>
      <w:pPr/>
      <w:r>
        <w:rPr>
          <w:b/>
        </w:rPr>
        <w:t>POSSIBLE 2021:</w:t>
      </w:r>
      <w:r>
        <w:t xml:space="preserve"> Occupational Exposure to Diisocyanates in the European Union — https://doi.org/10.1093/annweh/wxab021</w:t>
      </w:r>
    </w:p>
    <w:p>
      <w:pPr/>
      <w:r>
        <w:rPr>
          <w:b/>
        </w:rPr>
        <w:t>Shared claim-specific concepts:</w:t>
      </w:r>
      <w:r>
        <w:t xml:space="preserve"> main, occupational, health; EU scope visible. This is a provisional connection, not an outcome finding.</w:t>
      </w:r>
    </w:p>
    <w:p>
      <w:pPr>
        <w:pStyle w:val="SourceNote"/>
      </w:pPr>
      <w:r>
        <w:rPr>
          <w:b/>
        </w:rPr>
        <w:t>Available abstract (not full text):</w:t>
      </w:r>
      <w:r>
        <w:t xml:space="preserve"> OBJECTIVES: Diisocyanates are a chemical group that are widely used at workplaces in many sectors. They are also potent skin- and respiratory sensitizers. Exposure to diisocyanates is a main cause of occupational asthma in the European Union. To reduce occupational exposure to diisocyanates and consequently the cases of diisocyanate-induced asthma, a restriction on diisocyanates was recently adopted under the REACH Regulation in the European Union. METHODS: A comprehensive evaluation of the data on occupational exposure to the most important diisocyanates at workplaces was made and is reported here. The diisocyanates considered are methylene diphenyl diisocyanate (MDI), toluene diisocyanate (TDI), and hexamethylene diisocyanate (HDI), accounting for more than 95% of the market volume in the EU. The exposure assessment is based on data from Chemical Safety Reports (CSRs) of REACH Registration Dossiers, workplace air monitoring data from Germany, from the UK Health and Safety Executive (HSE), and literature data relevant for the EU, and the USA. RESULTS: Occupational exposure to diisocyanates is particularly relevant in: (i) C.A.S.E. applications (Coatings, Adhesives, Sealants, Elastomers), (ii) production of polyurethanes (PUs) (e.g. slab-stock foam), (iii) handling of partly uncured PU products (e.g. cutting, demoulding, spray application of foam), and (iv) when diisocyanates/P</w:t>
      </w:r>
    </w:p>
    <w:p>
      <w:pPr/>
      <w:r>
        <w:rPr>
          <w:b/>
        </w:rPr>
        <w:t>POSSIBLE 2021:</w:t>
      </w:r>
      <w:r>
        <w:t xml:space="preserve"> Occupational Exposure to Electromagnetic Fields and Health Surveillance according to the European Directive 2013/35/EU — https://doi.org/10.3390/ijerph18041730</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In the European Union, health surveillance (HS) of electromagnetic fields (EMF)-exposed workers is mandatory according to the Directive 2013/35/EU, aimed at the prevention of known direct biophysical effects and indirect EMF’s effects. Long-term effects are not addressed in the Directive as the evidence of a causal relationship is considered inadequate. Objectives of HS are the prevention or early detection of EMF adverse effects, but scant evidence is hitherto available on the specific procedures. A first issue is that no specific laboratory tests or medical investigations have been demonstrated as useful for exposure monitoring and/or prevention of the effects. Another problem is the existence of workers at particular risk (WPR), i.e., subjects with specific conditions inducing an increased susceptibility to the EMF-related risk (e.g., workers with active medical devices or other conditions); exposures within the occupational exposure limit values (ELVs) are usually adequately protective against EMF’s effects, but lower exposures can possibly induce a health risk in WPR. Consequently, the HS of EMF-exposed workers according to the EU Directive should be aimed at the early detection and monitoring of the recognized adverse effects, as well as an early identification of WPR for the adoption of adequate preventive measures.</w:t>
      </w:r>
    </w:p>
    <w:p>
      <w:pPr/>
      <w:r>
        <w:rPr>
          <w:b/>
        </w:rPr>
        <w:t>POSSIBLE 2020:</w:t>
      </w:r>
      <w:r>
        <w:t xml:space="preserve"> Occupational Exposure to Non-Ionizing radiation. Main effects and criteria for health surveillance of workers according to the European Directives — https://doi.org/10.1109/eeeic/icpseurope49358.2020.9160831</w:t>
      </w:r>
    </w:p>
    <w:p>
      <w:pPr/>
      <w:r>
        <w:rPr>
          <w:b/>
        </w:rPr>
        <w:t>Shared claim-specific concepts:</w:t>
      </w:r>
      <w:r>
        <w:t xml:space="preserve"> main, occupational, health, significant; EU scope visible. This is a provisional connection, not an outcome finding.</w:t>
      </w:r>
    </w:p>
    <w:p>
      <w:pPr>
        <w:pStyle w:val="SourceNote"/>
      </w:pPr>
      <w:r>
        <w:rPr>
          <w:b/>
        </w:rPr>
        <w:t>Available abstract (not full text):</w:t>
      </w:r>
      <w:r>
        <w:t xml:space="preserve"> Occupational exposure to Non-Ionizing radiation (NIR), including Electromagnetic fields (EMF) and Optical radiation (OR), is almost ubiquitous. EMF may induce various effects: in the case of direct short term effects, static and low-frequency fields interact with the biological tissues through the induction of currents, while high frequency fields through thermal mechanisms. EMF can also induce indirect effects, as interference, causing a specific risk e.g. in workers with active medical devices as pacemakers. The induction of various long term effects has also been proposed, but up now data supporting a causal effect are considered insufficient by almost all authoritative international agencies. Moving to OR, sources can be artificial (incoherent or coherent in the case of LASER) or natural; the main source of occupational OR exposure is natural: the Sun, exposing millions of outdoor workers worldwide. The main targets of OR effects are the skin and the eye. Among OR bands, the ultraviolet component is of particular relevance, inducing photochemical alterations in human cells that can cause both acute and long term effects as burns and skin cancers or cataract. For all workers NIR risk should be evaluated and, in case of significant risk, an adequate health surveillance (HS) should be implemented, also considering the possible presence of workers with conditions inducing a hig</w:t>
      </w:r>
    </w:p>
    <w:p>
      <w:pPr/>
      <w:r>
        <w:rPr>
          <w:b/>
        </w:rPr>
        <w:t>POSSIBLE 2019:</w:t>
      </w:r>
      <w:r>
        <w:t xml:space="preserve"> Development of Occupational Competence of Employees — https://doi.org/10.31649/2524-1079-2019-4-2-141-159</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The article deals with the main problems that exist in the field of labor protection in Ukraine, including: insufficient financing of measures and means of labor protection, lack of management system in executive branches, improper working conditions, etc. Statistical data demonstrates the state of safety of labor, where most of the main productive assets are physically worn out, morally outdated, and new domestic machines, in absolute majority do not meet safety requirements. It is noted that much attention is paid to occupational safety and health at work in the countries of the European Union, in its structure there are several bodies specially dealing with the problems of working life. Among the topics that are especially studied in the EU, the stress of the workplace has been noted. The modern directions of development of this sphere are analyzed, aimed at updating the state policy of labor protection, introduction of the latest technologies and software, paying special attention to the individual experience of workers and their psychological state. The directions of activity that are dominant in the modern system of labor protection in Ukraine and in the world and ways of using modern technologies to improve the safety of workers in the workplace, namely, the introduction of the concept of digital jobs. The main directions of international cooperation of Ukraine in the fi</w:t>
      </w:r>
    </w:p>
    <w:p>
      <w:pPr/>
      <w:r>
        <w:rPr>
          <w:b/>
        </w:rPr>
        <w:t>POSSIBLE 2018:</w:t>
      </w:r>
      <w:r>
        <w:t xml:space="preserve"> Occupational risk factors for idiopathic pulmonary fibrosis in Southern Europe: a case-control study — https://doi.org/10.1186/s12890-018-0644-2</w:t>
      </w:r>
    </w:p>
    <w:p>
      <w:pPr/>
      <w:r>
        <w:rPr>
          <w:b/>
        </w:rPr>
        <w:t>Shared claim-specific concepts:</w:t>
      </w:r>
      <w:r>
        <w:t xml:space="preserve"> occupational, increasing, occupations; EU scope visible. This is a provisional connection, not an outcome finding.</w:t>
      </w:r>
    </w:p>
    <w:p>
      <w:pPr>
        <w:pStyle w:val="SourceNote"/>
      </w:pPr>
      <w:r>
        <w:rPr>
          <w:b/>
        </w:rPr>
        <w:t>Available abstract (not full text):</w:t>
      </w:r>
      <w:r>
        <w:t xml:space="preserve"> BACKGROUND: Idiopathic pulmonary fibrosis (IPF) is a chronic, progressive fibrosing interstitial pneumonia of unknown cause associated with the histopathologic and/or radiologic pattern of usual interstitial pneumonia (UIP). Occupational risk factors have been proposed to be associated with UIP. The aim of this case-control study is to evaluate the relationship between UIP pattern and occupational exposure in Southern Europe. METHODS: Sixty nine cases with a UIP radiological pattern at CT-scan were selected from a clinical database of the University Hospital of Perugia, Umbria, between January 2010 and December 2013. Controls (n = 277) not reporting doctor diagnosed pulmonary fibrosis, were ascertained casually among general population from the same catching area of cases. Data were collected by a questionnaire used previously in a similar study. Logistic regression models, adjusted for gender, age and smoking, were performed to evaluate the association between UIP and occupational exposure. RESULTS: Farmers, veterinarians and gardeners (OR = 2.73, 95%CI = 1.47-5.10), metallurgical and steel industry workers (OR = 4.80, 95%CI = 1.50-15.33) were occupations associated with UIP. Metal dust and fumes and organic dust were risk factors for UIP. Increasing the length of occupational exposure in jobs at risk of pulmonary fibrosis, increased the risk of having UIP. CONCLUSIONS: This c</w:t>
      </w:r>
    </w:p>
    <w:p>
      <w:pPr>
        <w:pStyle w:val="Heading2"/>
      </w:pPr>
      <w:r>
        <w:t>745.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2023:</w:t>
      </w:r>
      <w:r>
        <w:t xml:space="preserve"> “The impact of energy efficiency and decarbonisation policies on the European road transport sector” — https://doi.org/10.1016/j.tra.2023.103623</w:t>
      </w:r>
    </w:p>
    <w:p>
      <w:pPr/>
      <w:r>
        <w:rPr>
          <w:b/>
        </w:rPr>
        <w:t>Shared claim-specific concepts:</w:t>
      </w:r>
      <w:r>
        <w:t xml:space="preserve"> analyses, decarbonisation, passenger, fleet, vehicles; EU scope visible. This is a provisional connection, not an outcome finding.</w:t>
      </w:r>
    </w:p>
    <w:p>
      <w:pPr>
        <w:pStyle w:val="SourceNote"/>
      </w:pPr>
      <w:r>
        <w:rPr>
          <w:b/>
        </w:rPr>
        <w:t>Available abstract (not full text):</w:t>
      </w:r>
      <w:r>
        <w:t xml:space="preserve"> This paper analyses historical energy consumption trends of the EU road transport sector and examines the role of key determinants, such as economic and population growth, fuel prices, passenger and tonne-kilometres and vehicle fleet characteristics. In light of the EU 2030 and 2050 energy and climate targets, the paper assesses the energy efficiency and decarbonisation progress from 2000 to 2018. A detailed analysis is carried out using a balanced panel dataset from 1995 to 2018 and a test for causality between energy consumption and the selected explanatory variables. The results suggest that the declining trend of the normalised energy consumption of cars, trucks and light vehicles, which both dropped significantly in 2018 compared to 2000, can be related to energy efficiency and decarbonisation policies adopted by the EU and its Member States over the studied period. Decomposition analysis based on the Logarithmic Mean Divisia Index technique confirms the role of energy efficiency gains in curbing energy consumption of road transport, even with the strong upward force exerted by motorisation and population effects, especially in passenger transport. It also suggests that during the recession years (2008–2013), road transport consumption fell due to a sharp drop in the mileage but not in the motorisation effect, which continued to drive up consumption even in this period. De</w:t>
      </w:r>
    </w:p>
    <w:p>
      <w:pPr/>
      <w:r>
        <w:rPr>
          <w:b/>
        </w:rPr>
        <w:t>POSSIBLE 2023:</w:t>
      </w:r>
      <w:r>
        <w:t xml:space="preserve"> Rapid decarbonisation of Paris, Lyon and Marseille's power, transport and building sectors by coupling rooftop solar PV and electric vehicles — https://doi.org/10.1016/j.esd.2023.04.002</w:t>
      </w:r>
    </w:p>
    <w:p>
      <w:pPr/>
      <w:r>
        <w:rPr>
          <w:b/>
        </w:rPr>
        <w:t>Shared claim-specific concepts:</w:t>
      </w:r>
      <w:r>
        <w:t xml:space="preserve"> decarbonisation, electric, vehicles;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Decarbonisation of passenger light-duty vehicles using spatially resolved TIMES-Ireland Model — https://doi.org/10.1016/j.apenergy.2022.119078</w:t>
      </w:r>
    </w:p>
    <w:p>
      <w:pPr/>
      <w:r>
        <w:rPr>
          <w:b/>
        </w:rPr>
        <w:t>Shared claim-specific concepts:</w:t>
      </w:r>
      <w:r>
        <w:t xml:space="preserve"> decarbonisation, passenger, car, fleet, mobility, electric; EU scope visible. This is a provisional connection, not an outcome finding.</w:t>
      </w:r>
    </w:p>
    <w:p>
      <w:pPr>
        <w:pStyle w:val="SourceNote"/>
      </w:pPr>
      <w:r>
        <w:rPr>
          <w:b/>
        </w:rPr>
        <w:t>Available abstract (not full text):</w:t>
      </w:r>
      <w:r>
        <w:t xml:space="preserve"> Higher spatial resolution is becoming a key component of energy system analysis. Existing multi-regional national scale energy systems optimisation models (ESOMs) facilitate an improved understanding of spatial dynamics. Yet, region-specific characteristics of transport technologies and infrastructures along with consumer heterogeneity have remained under-investigated. The current paper addresses this gap by developing a multi-regional transport sector within the system-wide TIMES-Ireland Model (TIM). The transport sector is divided into 26 sub-regions, and each region is characterised by the existing vehicle fleet, public transport availability, scrappage rate, annual mileage, vehicle fuel economy and the corresponding passenger and freight mobility demand. The consumers (car buyers) are disaggregated based on their income level to incorporate a more realistic representation of their behaviour in vehicle purchasing decisions. While TIM ensures carbon neutrality across the whole energy system by mid-century, this study mainly explores the decarbonisation of passenger Light-Duty Vehicles (LDVs). It shows to what extent different measures (i.e, LDV improvements, monetary incentives, modal shift, biofuel obligation, carbon tax and occupancy rate) can contribute to meeting ambitious mitigation targets by 2030. Spatially resolved analysis as the main novelty of this research present</w:t>
      </w:r>
    </w:p>
    <w:p>
      <w:pPr/>
      <w:r>
        <w:rPr>
          <w:b/>
        </w:rPr>
        <w:t>POSSIBLE 2022:</w:t>
      </w:r>
      <w:r>
        <w:t xml:space="preserve"> Electrifying passenger road transport in India requires near-term electricity grid decarbonisation — https://doi.org/10.1038/s41467-022-29620-x</w:t>
      </w:r>
    </w:p>
    <w:p>
      <w:pPr/>
      <w:r>
        <w:rPr>
          <w:b/>
        </w:rPr>
        <w:t>Shared claim-specific concepts:</w:t>
      </w:r>
      <w:r>
        <w:t xml:space="preserve"> decarbonisation, passenger, mobility, increase, battery, electric; EU scope not established. This is a provisional connection, not an outcome finding.</w:t>
      </w:r>
    </w:p>
    <w:p>
      <w:pPr>
        <w:pStyle w:val="SourceNote"/>
      </w:pPr>
      <w:r>
        <w:rPr>
          <w:b/>
        </w:rPr>
        <w:t>Available abstract (not full text):</w:t>
      </w:r>
      <w:r>
        <w:t xml:space="preserve"> Battery-electric vehicles (BEV) have emerged as a favoured technology solution to mitigate transport greenhouse gas (GHG) emissions in many non-Annex 1 countries, including India. GHG mitigation potentials of electric 4-wheelers in India depend critically on when and where they are charged: 40% reduction in the north-eastern states and more than 15% increase in the eastern/western regions today, with higher overall GHGs emitted when charged overnight and in the summer. Self-charging gasoline-electric hybrids can lead to 33% GHG reductions, though they haven't been fully considered a mitigation option in India. Electric 2-wheelers can already enable a 20% reduction in GHG emissions given their small battery size and superior efficiency. India's electrification plan demands up to 125GWh of annual battery capacities by 2030, nearly 10% of projected worldwide productions. India requires a phased electrification with a near-term focus on 2-wheelers and a clear trajectory to phase-out coal-power for an organised mobility transition.</w:t>
      </w:r>
    </w:p>
    <w:p>
      <w:pPr/>
      <w:r>
        <w:rPr>
          <w:b/>
        </w:rPr>
        <w:t>POSSIBLE 2022:</w:t>
      </w:r>
      <w:r>
        <w:t xml:space="preserve"> Just Transition: A whole-systems approach to decarbonisation — https://doi.org/10.1080/14693062.2022.2108365</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Transition to a post-carbon economy implies changes that are both far-reaching and unprecedented. The notion that a decarbonization transition must encompass multiple forms of justice is gaining ground. In response, the concept of Just Transition has become ever more popular – and confusion about its meaning ever greater. We argue in this paper that the term Just Transition needs a rigorous updating to develop its full conceptual power for the analysis and evaluation of the rapid and extensive energy transitions already underway. After reviewing the different uses of Just Transition in practice and scholarship, we propose that the term be used as an analytical concept for an ongoing process of transition. The Just Transition concept can provide an integrated, whole-system perspective on justice (procedural, distributive, recognition, and restorative) that can help in identifying systemic solutions to address environmental and socio-economic concerns. This would differ from reductionist approaches that derive from legacy silo-sectoral or technologically driven approaches; these too often overlook negative side-effects and wider justice implications of reorganizing economic practice. An examination of COVID-19 pandemic responses illustrates our operationalization of the Just Transition concept, highlighting the importance of designing whole-system policies that are equitable, as </w:t>
      </w:r>
    </w:p>
    <w:p>
      <w:pPr/>
      <w:r>
        <w:rPr>
          <w:b/>
        </w:rPr>
        <w:t>POSSIBLE 2022:</w:t>
      </w:r>
      <w:r>
        <w:t xml:space="preserve"> Decarbonisation Pathways for Transport — https://doi.org/10.1007/978-3-030-99177-7_8</w:t>
      </w:r>
    </w:p>
    <w:p>
      <w:pPr/>
      <w:r>
        <w:rPr>
          <w:b/>
        </w:rPr>
        <w:t>Shared claim-specific concepts:</w:t>
      </w:r>
      <w:r>
        <w:t xml:space="preserve"> decarbonisation, passenger; EU scope not established. This is a provisional connection, not an outcome finding.</w:t>
      </w:r>
    </w:p>
    <w:p>
      <w:pPr>
        <w:pStyle w:val="SourceNote"/>
      </w:pPr>
      <w:r>
        <w:rPr>
          <w:b/>
        </w:rPr>
        <w:t>Available abstract (not full text):</w:t>
      </w:r>
      <w:r>
        <w:t xml:space="preserve"> Abstract An overview of the main drivers of the transport energy demand and the assumed socio-economic development (population and GDP) until 2050 for ten world regions are given. The countries in each world region are tabulated. Detailed documentation of projected shifts in transport modes for all world regions, including technological assumptions and energy intensities, by vehicle type is presented. This section contains the OECM 1.5 °C transport scenarios for aviation, shipping, road, and rail, each broken down into passenger and freight transport. The calculated energy demands and energy-related carbon emissions for all transport modes are provided.</w:t>
      </w:r>
    </w:p>
    <w:p>
      <w:pPr/>
      <w:r>
        <w:rPr>
          <w:b/>
        </w:rPr>
        <w:t>POSSIBLE 2022:</w:t>
      </w:r>
      <w:r>
        <w:t xml:space="preserve"> Decarbonisation of Transport – A Challenge for Inland Navigation — https://doi.org/10.35808/ersj/2984</w:t>
      </w:r>
    </w:p>
    <w:p>
      <w:pPr/>
      <w:r>
        <w:rPr>
          <w:b/>
        </w:rPr>
        <w:t>Shared claim-specific concepts:</w:t>
      </w:r>
      <w:r>
        <w:t xml:space="preserve"> decarbonisation, showed, increase; EU scope visible. This is a provisional connection, not an outcome finding.</w:t>
      </w:r>
    </w:p>
    <w:p>
      <w:pPr>
        <w:pStyle w:val="SourceNote"/>
      </w:pPr>
      <w:r>
        <w:rPr>
          <w:b/>
        </w:rPr>
        <w:t>Available abstract (not full text):</w:t>
      </w:r>
      <w:r>
        <w:t xml:space="preserve"> Purpose: The purpose of the article is to identify the directions of activities conducive to the development of low-carbon inland navigation in the EU with a particular focus on Poland.This goal is being pursued taking into account existing regulations at the EU and national levels. Design/Methodology/Approach: The article compares selected research results from the fields of inland navigation and low-carbon economy.A method of analysing found data, a comparative analysis using statistical data, and an analysis of the compatibility of regulations at the EU and national levels were used.Findings: Inland navigation in many countries is undervalued, forgotten and underutilized as an efficient, environmentally friendly means of transportation.The article outlines the formation of transportation policy, the original goal of which was to increase the efficiency of river transportation, stimulate the economy and have a positive impact on the labour market.As the EU's goals have evolved, priorities in the area of transport policy have also changed.There is a growing need to increase eco-efficiency, build intermodal transportation networks, connect systems, or modernize transportation infra-and infostructures.The possibility of integrating Poland's rivers into the TEN-T network is both a challenge and an opportunity for Poland to develop modern, zero-emission inland navigation.Practical</w:t>
      </w:r>
    </w:p>
    <w:p>
      <w:pPr>
        <w:pStyle w:val="Heading2"/>
      </w:pPr>
      <w:r>
        <w:t>746.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2023:</w:t>
      </w:r>
      <w:r>
        <w:t xml:space="preserve"> Agents and Impacts of Interorganizational Transfers between the Council of Europe and the European Union in the Area of Cultural Policy — https://doi.org/10.4000/bssg.3433</w:t>
      </w:r>
    </w:p>
    <w:p>
      <w:pPr/>
      <w:r>
        <w:rPr>
          <w:b/>
        </w:rPr>
        <w:t>Shared claim-specific concepts:</w:t>
      </w:r>
      <w:r>
        <w:t xml:space="preserve"> transfer, other; EU scope visible. This is a provisional connection, not an outcome finding.</w:t>
      </w:r>
    </w:p>
    <w:p>
      <w:pPr>
        <w:pStyle w:val="SourceNote"/>
      </w:pPr>
      <w:r>
        <w:rPr>
          <w:b/>
        </w:rPr>
        <w:t>Available abstract (not full text):</w:t>
      </w:r>
      <w:r>
        <w:t xml:space="preserve"> This article analyses the transfer dynamics between the Council of Europe and the European Community/Union in the domain of cultural policy. The analysis is based on two case studies. One centres on audiovisual policy (1980s), and the other on the development of cultural programmes within the European Union in the wake of the Maastricht Treaty (1990s-2000s). In the 1980s, when relations between the Council of Europe and the European Community were only very weakly institutionalized, the circulation of norms between the two institutions was facilitated by informal exchanges on the margins of negotiations between senior officials mandated by their governments. In the 1990s and 2000s, although the circulation of norms and practices had been institutionalized through agreements, it was nevertheless the multipositioning of government delegates and the mobility of some high-level officials between the two organizations and between the institutional and cultural management spheres that opened up key channels for the transfer of norms and practices between the Council of Europe and the European Union.</w:t>
      </w:r>
    </w:p>
    <w:p>
      <w:pPr/>
      <w:r>
        <w:rPr>
          <w:b/>
        </w:rPr>
        <w:t>POSSIBLE 2022:</w:t>
      </w:r>
      <w:r>
        <w:t xml:space="preserve"> Dual vocational education and training and policy transfer in the European Union policy: the case of work-based learning and apprenticeships — https://doi.org/10.1080/2331186x.2022.2154496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 the search for solutions to national skill formation challenges, the central and northern Europeans models of good practices in dual vocational education and training (VET) permeated the imaginary of the southern countries. Particularly, the German dual VET system has been predominant in the discourse of policy-makers. This research analyses the role played by the European Union (EU) in the promotion of this model as the reference for the reforming Member States during the policy transfer stage of cross-national attraction. This paper develops a reflexive Thematic Analysis among the fundamental documentation related to VET resulting from the EU Governance Triangle. Its aim is to interpret the EU proposal for the reform of VET, with a focus on the characteristics which shape the way in which the training is developed. This Thematic Analysis reveals that the EU promotes a VET training model based in work-based learning as a pillar, preferably articulated in the form of apprenticeships. This, along with the general principles for the regulation of apprenticeships promoted by the EU, proves the agency role exercised by the EU in the dissemination of dual VET as a model of good practice.</w:t>
      </w:r>
    </w:p>
    <w:p>
      <w:pPr/>
      <w:r>
        <w:rPr>
          <w:b/>
        </w:rPr>
        <w:t>POSSIBLE 2021:</w:t>
      </w:r>
      <w:r>
        <w:t xml:space="preserve"> Policy transfer within the European Union and beyond: Europeanization in times of stability and crises — https://doi.org/10.4337/9781789905601.00026</w:t>
      </w:r>
    </w:p>
    <w:p>
      <w:pPr/>
      <w:r>
        <w:rPr>
          <w:b/>
        </w:rPr>
        <w:t>Shared claim-specific concepts:</w:t>
      </w:r>
      <w:r>
        <w:t xml:space="preserve"> then, transfer, member, states, policies; EU scope visible. This is a provisional connection, not an outcome finding.</w:t>
      </w:r>
    </w:p>
    <w:p>
      <w:pPr>
        <w:pStyle w:val="SourceNote"/>
      </w:pPr>
      <w:r>
        <w:rPr>
          <w:b/>
        </w:rPr>
        <w:t>Available abstract (not full text):</w:t>
      </w:r>
      <w:r>
        <w:t xml:space="preserve"> The European Union is a sui generis polity in which policy transfer shapes the relationship between supra-national institutions and domestic actors across different contexts. Scholars have defined this specific type of policy transfer as Europeanization. This chapter explores how this concept has been used to understand the effects of EU integration on the polity, policies and politics of EU member states, and how EU integration has extended to the field of foreign policy, then outside the EU, through enlargement and neighbourhood policies, to scrutinize the relations of the EU with the rest of the world. The chapter is organised as follows: the first section traces the origins of this concept, its definition and research designs. Empirical illustrations show that since the early 1990s, fast-forward integration has given rise to uneven forms of Europeanization within the EU and beyond. The chapter also examines how Europeanization has been challenged by resistance to integration and how recent crises have shaped not only EU integration, but also Europeanization processes.</w:t>
      </w:r>
    </w:p>
    <w:p>
      <w:pPr/>
      <w:r>
        <w:rPr>
          <w:b/>
        </w:rPr>
        <w:t>POSSIBLE 2021:</w:t>
      </w:r>
      <w:r>
        <w:t xml:space="preserve"> Community Sponsorship in Europe: Taking Stock, Policy Transfer and What the Future Might Hold — https://doi.org/10.3389/fhumd.2021.564084</w:t>
      </w:r>
    </w:p>
    <w:p>
      <w:pPr/>
      <w:r>
        <w:rPr>
          <w:b/>
        </w:rPr>
        <w:t>Shared claim-specific concepts:</w:t>
      </w:r>
      <w:r>
        <w:t xml:space="preserve"> transfer, states; EU scope visible. This is a provisional connection, not an outcome finding.</w:t>
      </w:r>
    </w:p>
    <w:p>
      <w:pPr>
        <w:pStyle w:val="SourceNote"/>
      </w:pPr>
      <w:r>
        <w:rPr>
          <w:b/>
        </w:rPr>
        <w:t>Available abstract (not full text):</w:t>
      </w:r>
      <w:r>
        <w:t xml:space="preserve"> This article explores the recent emergence of community sponsorship of refugees in Europe, an approach which shares responsibility between civil society and the state for the admission and/or integration of refugees. Originally a Canadian model developed to support the resettlement of Indochinese refugees, the model has gained momentum in Europe, with a number of states piloting or establishing community sponsorship schemes. This proliferation, while generally seen as positive for international protection of refugees, has led to conceptual confusion and a significant range of approaches under the “umbrella” concept of community sponsorship. As a result, community sponsorship today may be understood both as a form of resettlement and a complementary pathway to protection. While interest and momentum around community sponsorship is high, little work currently exists mapping and analysing how jurisdictions adopt the community sponsorship model. With reference to existing work on policy transfer, this contribution takes stock of community sponsorship models in Europe; analyses how community sponsorship may become a viable policy option in European states as a form of transnational policy transfer; and sets out a number of challenges for the future development of community sponsorship in Europe.</w:t>
      </w:r>
    </w:p>
    <w:p>
      <w:pPr/>
      <w:r>
        <w:rPr>
          <w:b/>
        </w:rPr>
        <w:t>POSSIBLE 2021:</w:t>
      </w:r>
      <w:r>
        <w:t xml:space="preserve"> Audiovisual policy transfer between Mercosur and the European Union has gone offtrack — https://doi.org/10.1177/17480485211052169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This article analyses the Audiovisual Mercosur Program as a case of policy transfer between Mercosur and the European Union. A qualitative document analysis, expert interviews and the use of policy transfer theory and its constraints made possible the critical evaluation of the program and its impacts. By focusing on the constraints that led to an incomplete and uninformed transfer, we were able to identify an alignment between the underlying ideas of audiovisual policies in Mercosur and the European Union, but also inadequate governance within Mercosur, unbalanced interests between the two trade blocks, and a lack of policy learning. As a result, the transfer of European Union policies reproduced well-documented failures of the European Union's internal market policies relating to the audiovisual sector.</w:t>
      </w:r>
    </w:p>
    <w:p>
      <w:pPr/>
      <w:r>
        <w:rPr>
          <w:b/>
        </w:rPr>
        <w:t>POSSIBLE 2021:</w:t>
      </w:r>
      <w:r>
        <w:t xml:space="preserve"> Technology Transfer to Eastern Europe: Paradoxes, Policies, Prospects — https://doi.org/10.4324/9780429033162-4</w:t>
      </w:r>
    </w:p>
    <w:p>
      <w:pPr/>
      <w:r>
        <w:rPr>
          <w:b/>
        </w:rPr>
        <w:t>Shared claim-specific concepts:</w:t>
      </w:r>
      <w:r>
        <w:t xml:space="preserve"> transfer, states, policies; EU scope visible. This is a provisional connection, not an outcome finding.</w:t>
      </w:r>
    </w:p>
    <w:p>
      <w:pPr>
        <w:pStyle w:val="SourceNote"/>
      </w:pPr>
      <w:r>
        <w:rPr>
          <w:b/>
        </w:rPr>
        <w:t>Available abstract (not full text):</w:t>
      </w:r>
      <w:r>
        <w:t xml:space="preserve"> The United States is concerned about its technological prowess compared to that of Japan; and Western Europe realizes that it is technologically behind the United States in some microelectronic fields. The West wants to maintain its technological lead over the East, although there is disagreement within the North Atlantic Treaty Organization about how great that lead is and should be. The allied disputes highlight the problems in postwar Western policy toward Eastern Europe that go beyond economics. The Federal Republic of Germany is the only Western country that has consistently pursued an active policy toward one Eastern European country in the postwar era, the German Democratic Republic. The United States and Western Europe would have a variety of technologies to offer Eastern Europe if there were no restrictions on technology exports; but a range of export controls limits the nature of the East-West technological exchange.</w:t>
      </w:r>
    </w:p>
    <w:p>
      <w:pPr/>
      <w:r>
        <w:rPr>
          <w:b/>
        </w:rPr>
        <w:t>POSSIBLE 2020:</w:t>
      </w:r>
      <w:r>
        <w:t xml:space="preserve"> Variegated Europeanization and urban policy: Dynamics of policy transfer in France, Italy, Spain and the UK — https://doi.org/10.1177/0969776419898508</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This paper explores the dynamics of urban policy transfer in the European Union (EU), critically examining the process of Europeanization in relation to urban issues. The paper takes a comparative approach, analysing the evolution of urban policy and Europeanization in four member states: France, Italy, Spain and the UK from the 1990s up to the current Cohesion Policy period (2014–2020). Using an analytical framework based on three dimensions of Europeanization (direction, object and impact), we examine the extent to which urban policies are moving towards an integrated approach to sustainable urban development, as supported by the EU. The paper highlights the contradictions between processes of convergence through Europeanization, and path-dependent systems and trajectories that forge alternative paths. In doing so, it advances wider debates on the impact of Europeanization in a neo-liberal context by arguing that member states more likely to be affected by Europeanization are those most impacted by national austerity measures. A process of ‘variegated Europeanization’ is proposed to capture the differential practices taking place within the EU with regard to the circulation of the EU’s approach to urban policy.</w:t>
      </w:r>
    </w:p>
    <w:p>
      <w:pPr/>
      <w:r>
        <w:rPr>
          <w:b/>
        </w:rPr>
        <w:t>POSSIBLE 2019:</w:t>
      </w:r>
      <w:r>
        <w:t xml:space="preserve"> University patenting and the quest for technology transfer policy models in Europe — https://doi.org/10.4337/9781784715717.00015</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European universities have gradually taken a more aggressive stance towards IP appropriation. The policies behind these changes have been largely inspired in a linear model of university knowledge transfer and emulations of the US Bayh Dole Act. Our aim in this chapter is to highlight the heterogeneity of university technology transfer across European countries and the differences with respect to US universities, and describe the impact of policy changes, such as the abolition of the professor’s privilege, in the light of new data and evidence. We challenge the linear model of university technology transfer and show how complex the relations between the actors involved can be, as well as the role that patents play in those relations.</w:t>
      </w:r>
    </w:p>
    <w:p>
      <w:pPr/>
      <w:r>
        <w:rPr>
          <w:b/>
        </w:rPr>
        <w:t>POSSIBLE 2019:</w:t>
      </w:r>
      <w:r>
        <w:t xml:space="preserve"> Policy transfer: the case of European Union–China cooperation in public administration reform — https://doi.org/10.1177/0020852319841427</w:t>
      </w:r>
    </w:p>
    <w:p>
      <w:pPr/>
      <w:r>
        <w:rPr>
          <w:b/>
        </w:rPr>
        <w:t>Shared claim-specific concepts:</w:t>
      </w:r>
      <w:r>
        <w:t xml:space="preserve"> transfer, states, policies; EU scope visible. This is a provisional connection, not an outcome finding.</w:t>
      </w:r>
    </w:p>
    <w:p>
      <w:pPr>
        <w:pStyle w:val="SourceNote"/>
      </w:pPr>
      <w:r>
        <w:rPr>
          <w:b/>
        </w:rPr>
        <w:t>Available abstract (not full text):</w:t>
      </w:r>
      <w:r>
        <w:t xml:space="preserve"> This article addresses the Chinese government’s accelerated process of administrative reform and focuses on the decade-long effort by China to develop transfer policies with selected European nations. Providing more efficient public services and building a broad policy capacity in the face of growing internal and external challenges have prompted the Chinese government’s active engagement in this policy-oriented learning and capacity transfer. New systems of governance through international cooperation programs have been explored, and new initiatives have been adopted. This article presents a case study of the China–Europe Public Administration program, which has served as a rich source of information for government department reform in China. The China–Europe Public Administration program is a policy hub that provides various examples of policy transfer regarding public management from the European Union to China. This article expands the voluntary policy transfer network model as a heuristic approach for understanding the administration reform process, especially regarding personnel sector development in China, and suggests that policy transfer is a rational analytical framework for studying progressive administrative reform in transitional states. In addition, it is observed that policy hubs, like the China–Europe Public Administration program, have become key tools for the </w:t>
      </w:r>
    </w:p>
    <w:p>
      <w:pPr>
        <w:pStyle w:val="Heading2"/>
      </w:pPr>
      <w:r>
        <w:t>747.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2023:</w:t>
      </w:r>
      <w:r>
        <w:t xml:space="preserve"> Climate policy must account for community-specific socio-economic, health, and biophysical conditions—evidence from coastal Alaska — https://doi.org/10.1007/s10113-023-02080-9</w:t>
      </w:r>
    </w:p>
    <w:p>
      <w:pPr/>
      <w:r>
        <w:rPr>
          <w:b/>
        </w:rPr>
        <w:t>Shared claim-specific concepts:</w:t>
      </w:r>
      <w:r>
        <w:t xml:space="preserve"> socio-economic, biophysical, management, factors, moderate; EU scope not established. This is a provisional connection, not an outcome finding.</w:t>
      </w:r>
    </w:p>
    <w:p>
      <w:pPr>
        <w:pStyle w:val="SourceNote"/>
      </w:pPr>
      <w:r>
        <w:rPr>
          <w:b/>
        </w:rPr>
        <w:t>Available abstract (not full text):</w:t>
      </w:r>
      <w:r>
        <w:t xml:space="preserve"> Abstract Climate warming, sea level rise, and extreme weather events are creating intensifying and more frequent hazards for human populations inhabiting the coast. In Alaska’s remote coastal communities, flooding and erosion are rapidly increasing due to the combined effect of sea level rise, more frequent storm surges, and increasingly powerful wave action from lack of sea ice. This paper presents survey results documenting socio-economic and psychological livelihood impacts and relocation preferences as reported by residents of a remote coastal Indigenous community. We quantified direct costs of lost or damaged private property, affected community infrastructure, and interruption of public services and found that the resulting financial hardship adds to existing economic challenges and climate stressors. Findings underline a community-level preoccupation with coastal climate threats that manifests primarily in intrusive and distressing thoughts of consequences from storms and other destructive climatic events. We highlight the need to monitor more broadly livelihood impacts to inform the design of innovative risk management tools to moderate financial hardship and strengthen community-driven action. We conclude that new policy responding to the needs of remote Indigenous communities affected by repetitive environmental disasters needs to account for a complex array of commun</w:t>
      </w:r>
    </w:p>
    <w:p>
      <w:pPr/>
      <w:r>
        <w:rPr>
          <w:b/>
        </w:rPr>
        <w:t>POSSIBLE 2023:</w:t>
      </w:r>
      <w:r>
        <w:t xml:space="preserve"> Integration matters: Combining socio-cultural and biophysical methods for mapping ecosystem service bundles — https://doi.org/10.1007/s13280-023-01830-7</w:t>
      </w:r>
    </w:p>
    <w:p>
      <w:pPr/>
      <w:r>
        <w:rPr>
          <w:b/>
        </w:rPr>
        <w:t>Shared claim-specific concepts:</w:t>
      </w:r>
      <w:r>
        <w:t xml:space="preserve"> biophysical, two, management, sustainable; EU scope visible. This is a provisional connection, not an outcome finding.</w:t>
      </w:r>
    </w:p>
    <w:p>
      <w:pPr>
        <w:pStyle w:val="SourceNote"/>
      </w:pPr>
      <w:r>
        <w:rPr>
          <w:b/>
        </w:rPr>
        <w:t>Available abstract (not full text):</w:t>
      </w:r>
      <w:r>
        <w:t xml:space="preserve"> Ecosystem services (ESs) play an important role in sustainable landscape management. People value ESs in diverse ways encompassing social and ecological domains and we need to bring these different values together. We used social-cultural and biophysical methods to map a diverse set of ESs at two spatial scales in a UNESCO Biosphere Reserve in Norway. The ESs bundled into three distinct social-ecological system archetypes which were similar in their distribution and relative ES values at both spatial scales. The bundles were also well matched to relative ESs values of the Biosphere Reserve zones (core, buffer, and transition) indicating that the bundles capture the social-ecological systems of the zones. We argue that it is important to consider the social-ecological context of the zones to provide sufficient knowledge to inform management. Our work has the capacity to contribute to sustainable land management that takes biocultural values into consideration.</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management, same, practices, sustainable;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2021:</w:t>
      </w:r>
      <w:r>
        <w:t xml:space="preserve"> Analyzing Wildfires and their Socio-economic Factors in Sardinia — https://doi.org/10.21203/rs.3.rs-1131301/v1</w:t>
      </w:r>
    </w:p>
    <w:p>
      <w:pPr/>
      <w:r>
        <w:rPr>
          <w:b/>
        </w:rPr>
        <w:t>Shared claim-specific concepts:</w:t>
      </w:r>
      <w:r>
        <w:t xml:space="preserve"> socio-economic, less, factors; EU scope not established. This is a provisional connection, not an outcome finding.</w:t>
      </w:r>
    </w:p>
    <w:p>
      <w:pPr>
        <w:pStyle w:val="SourceNote"/>
      </w:pPr>
      <w:r>
        <w:rPr>
          <w:b/>
        </w:rPr>
        <w:t>Available abstract (not full text):</w:t>
      </w:r>
      <w:r>
        <w:t xml:space="preserve"> Abstract In the last decades, wildfire hazards have increased to dangerous levels, becoming the focus of debate among policymakers both at the local and national levels. This paper proposes a Spatio-temporal approach to study the determinants of fire size distributions taking Sardinia as a case study in the time span 1998-2009. Special attention is devoted to socioeconomic factors of local communities where wildfires occurred. The main finding of this study is that the proportion of public lands in a given municipality tends to mitigate the extent of the burned area. In addition, communities with a higher percentage of people employed in the primary sector are less likely to experience large burned extents.</w:t>
      </w:r>
    </w:p>
    <w:p>
      <w:pPr/>
      <w:r>
        <w:rPr>
          <w:b/>
        </w:rPr>
        <w:t>POSSIBLE 2021:</w:t>
      </w:r>
      <w:r>
        <w:t xml:space="preserve"> Contrasting biophysical and societal impacts of hydro-meteorological extremes — https://doi.org/10.1088/1748-9326/ac4139</w:t>
      </w:r>
    </w:p>
    <w:p>
      <w:pPr/>
      <w:r>
        <w:rPr>
          <w:b/>
        </w:rPr>
        <w:t>Shared claim-specific concepts:</w:t>
      </w:r>
      <w:r>
        <w:t xml:space="preserve"> biophysical, types, management; EU scope visible. This is a provisional connection, not an outcome finding.</w:t>
      </w:r>
    </w:p>
    <w:p>
      <w:pPr>
        <w:pStyle w:val="SourceNote"/>
      </w:pPr>
      <w:r>
        <w:rPr>
          <w:b/>
        </w:rPr>
        <w:t>Available abstract (not full text):</w:t>
      </w:r>
      <w:r>
        <w:t xml:space="preserve"> Abstract Extreme hydrological and meteorological conditions can severely affect ecosystems, parts of the economy, and consequently society. These impacts are expected to be aggravated by climate change. Here we analyze and compare the impacts of multiple types of extreme events across several domains in Europe, to reveal corresponding impact signatures. We characterize the distinct impacts of droughts, floods, heat waves, frosts and storms on a variety of biophysical and social variables at national level and half-monthly time scale. We find strong biophysical impacts of droughts, floods, heat waves and frosts, while public attention and property damage are more affected by storms and floods. We show unexpected impact patterns such as reduced human mortality during floods and storms. Comparing public attention anomalies with impacts across all other considered domains we find that attention on droughts is comparatively low despite the significant overall impacts. Resolving these impact patterns highlights large-scale vulnerability and supports regional extreme event management to consequently reduce disaster risks.</w:t>
      </w:r>
    </w:p>
    <w:p>
      <w:pPr/>
      <w:r>
        <w:rPr>
          <w:b/>
        </w:rPr>
        <w:t>POSSIBLE 2020:</w:t>
      </w:r>
      <w:r>
        <w:t xml:space="preserve"> Sustainability as an Economic Issue: A BioPhysical Economic Perspective — https://doi.org/10.3390/su12010364</w:t>
      </w:r>
    </w:p>
    <w:p>
      <w:pPr/>
      <w:r>
        <w:rPr>
          <w:b/>
        </w:rPr>
        <w:t>Shared claim-specific concepts:</w:t>
      </w:r>
      <w:r>
        <w:t xml:space="preserve"> biophysical, part, behavioral, sustainable; EU scope not established. This is a provisional connection, not an outcome finding.</w:t>
      </w:r>
    </w:p>
    <w:p>
      <w:pPr>
        <w:pStyle w:val="SourceNote"/>
      </w:pPr>
      <w:r>
        <w:rPr>
          <w:b/>
        </w:rPr>
        <w:t>Available abstract (not full text):</w:t>
      </w:r>
      <w:r>
        <w:t xml:space="preserve"> This essay focuses upon how questions of sustainability are integrated into the teaching of introductory economics. While economics is insufficient by itself to understand the efforts we must take in order to live within nature’s limits, an understanding of economic theory is a vital part of a larger interdisciplinary whole. Yet sustainability is not well integrated into economic theory, especially mainstream, neoclassical, economics. Allocative efficiency and the rate of economic growth are the fundamental metrics while sustainability questions such as the stability of earth systems and the quality of energy resources are relegated to secondary status, if addressed at all. However, in order to address questions such as the earth’s continuing ability to support life, economists need to consider a variety of theoretical perspectives. In the late 1970s, Robert Carson published Economic Issues Today. It presents various economic topics from liberal, radical, and conservative viewpoints, and looking at crucial issues such as sustainability from various ideological perspectives could be an important teaching tool in this era of polarization. This article contends that environmental concerns today are no longer simply microeconomic but biophysical. Biophysical economics sees a sustainable economic theory as one that is grounded in the unity of social and natural sciences. The economy</w:t>
      </w:r>
    </w:p>
    <w:p>
      <w:pPr/>
      <w:r>
        <w:rPr>
          <w:b/>
        </w:rPr>
        <w:t>POSSIBLE 2020:</w:t>
      </w:r>
      <w:r>
        <w:t xml:space="preserve"> Environmental pressure of the European agricultural system: Anticipating the biophysical consequences of internalization — https://doi.org/10.1016/j.ecoser.2020.101195</w:t>
      </w:r>
    </w:p>
    <w:p>
      <w:pPr/>
      <w:r>
        <w:rPr>
          <w:b/>
        </w:rPr>
        <w:t>Shared claim-specific concepts:</w:t>
      </w:r>
      <w:r>
        <w:t xml:space="preserve"> biophysical, quantitative, practices; EU scope visible. This is a provisional connection, not an outcome finding.</w:t>
      </w:r>
    </w:p>
    <w:p>
      <w:pPr>
        <w:pStyle w:val="SourceNote"/>
      </w:pPr>
      <w:r>
        <w:rPr>
          <w:b/>
        </w:rPr>
        <w:t>Available abstract (not full text):</w:t>
      </w:r>
      <w:r>
        <w:t xml:space="preserve"> In the European Union, national-scope efforts to protect local ecosystem services are greatly helped by the externalization of agricultural production. Domestic environmental pressures such as pesticide residue, fertilizer leakage and waterbody overdraft would all significantly increase if European agricultural production were to be re-localized. Those increases would add additional stress on local habitats, soils and freshwater reserves. This work addresses such concerns by anticipating pressure increases associated with a near-complete re-internalization of agricultural production in the European Union. Our results could prove relevant in the event of an end of the era of cheap food imports, or when considering the plausibility of economic circularization efforts (such as suggested by the European Green Deal). Rather than produce quantitative results determined by a given set of supposedly uncontested pre-analytical assumptions, this work presents an innovative approach to scientific representation capable of accommodating several possible results driven by contradictory yet equally legitimate insights. According to our characterization of the option space, which builds on current trade profiles and assumes business as usual change in technical coefficients, a near-complete re-internalization of agricultural production by European Union member states is not environmentally fe</w:t>
      </w:r>
    </w:p>
    <w:p>
      <w:pPr/>
      <w:r>
        <w:rPr>
          <w:b/>
        </w:rPr>
        <w:t>POSSIBLE 2019:</w:t>
      </w:r>
      <w:r>
        <w:t xml:space="preserve"> Climate change induced socio-economic tipping points: review and stakeholder consultation for policy relevant research — https://doi.org/10.1088/1748-9326/ab6395</w:t>
      </w:r>
    </w:p>
    <w:p>
      <w:pPr/>
      <w:r>
        <w:rPr>
          <w:b/>
        </w:rPr>
        <w:t>Shared claim-specific concepts:</w:t>
      </w:r>
      <w:r>
        <w:t xml:space="preserve"> socio-economic, biophysical, drivers, less, factors; EU scope visible. This is a provisional connection, not an outcome finding.</w:t>
      </w:r>
    </w:p>
    <w:p>
      <w:pPr>
        <w:pStyle w:val="SourceNote"/>
      </w:pPr>
      <w:r>
        <w:rPr>
          <w:b/>
        </w:rPr>
        <w:t>Available abstract (not full text):</w:t>
      </w:r>
      <w:r>
        <w:t xml:space="preserve"> Abstract Tipping points have become a key concept in research on climate change, indicating points of abrupt transition in biophysical systems as well as transformative changes in adaptation and mitigation strategies. However, the potential existence of tipping points in socio-economic systems has remained underexplored, whereas they might be highly policy relevant. This paper describes characteristics of climate change induced socio-economic tipping points (SETPs) to guide future research on SETPS to inform climate policy. We review existing literature to create a tipping point typology and to derive the following SETP definition: a climate change induced, abrupt change of a socio-economic system, into a new, fundamentally different state. Through stakeholder consultation, we identify 22 candidate SETP examples with policy relevance for Europe. Three of these are described in higher detail to identify their tipping point characteristics (stable states, mechanisms and abrupt change): the collapse of winter sports tourism, farmland abandonment and sea-level rise-induced migration. We find that stakeholder perceptions play an important role in describing SETPs. The role of climate drivers is difficult to isolate from other drivers because of complex interplays with socio-economic factors. In some cases, the rate of change rather than the magnitude of change causes a tipping point</w:t>
      </w:r>
    </w:p>
    <w:p>
      <w:pPr/>
      <w:r>
        <w:rPr>
          <w:b/>
        </w:rPr>
        <w:t>POSSIBLE 2019:</w:t>
      </w:r>
      <w:r>
        <w:t xml:space="preserve"> Multi-Temporal Analysis of Forest Fire Probability Using Socio-Economic and Environmental Variables — https://doi.org/10.3390/rs11010086</w:t>
      </w:r>
    </w:p>
    <w:p>
      <w:pPr/>
      <w:r>
        <w:rPr>
          <w:b/>
        </w:rPr>
        <w:t>Shared claim-specific concepts:</w:t>
      </w:r>
      <w:r>
        <w:t xml:space="preserve"> socio-economic, factors; EU scope not established. This is a provisional connection, not an outcome finding.</w:t>
      </w:r>
    </w:p>
    <w:p>
      <w:pPr>
        <w:pStyle w:val="SourceNote"/>
      </w:pPr>
      <w:r>
        <w:rPr>
          <w:b/>
        </w:rPr>
        <w:t>Available abstract (not full text):</w:t>
      </w:r>
      <w:r>
        <w:t xml:space="preserve"> As most of the forest fires in South Korea are related to human activity, socio-economic factors are critical in estimating their probability. To estimate and analyze how human activity is influencing forest fire probability, this study considered not only environmental factors such as precipitation, elevation, topographic wetness index, and forest type, but also socio-economic factors such as population density and distance from urban area. The machine learning Maximum Entropy (Maxent) and Random Forest models were used to predict and analyze the spatial distribution of forest fire probability in South Korea. The model performance was evaluated using the receiver operating characteristic (ROC) curve method, and models’ outputs were compared based on the area under the ROC curve (AUC). In addition, a multi-temporal analysis was conducted to determine the relationships between forest fire probability and socio-economic or environmental changes from the 1980s to the 2000s. The analysis revealed that the spatial distribution was concentrated in or around cities, and the probability had a strong correlation with variables related to human activity and accessibility over the decades. The AUC values for validation were higher in the Random Forest result compared to the Maxent result throughout the decades. Our findings can be useful for developing preventive measures for forest fire </w:t>
      </w:r>
    </w:p>
    <w:p>
      <w:pPr>
        <w:pStyle w:val="Heading2"/>
      </w:pPr>
      <w:r>
        <w:t>748.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2022:</w:t>
      </w:r>
      <w:r>
        <w:t xml:space="preserve"> The Role of the North Atlantic Oscillation for Projections of Winter Mean Precipitation in Europe — https://doi.org/10.1029/2022gl099083</w:t>
      </w:r>
    </w:p>
    <w:p>
      <w:pPr/>
      <w:r>
        <w:rPr>
          <w:b/>
        </w:rPr>
        <w:t>Shared claim-specific concepts:</w:t>
      </w:r>
      <w:r>
        <w:t xml:space="preserve"> abstract, projections, precipitation, extremes, multimodel, ensemble; EU scope visible. This is a provisional connection, not an outcome finding.</w:t>
      </w:r>
    </w:p>
    <w:p>
      <w:pPr>
        <w:pStyle w:val="SourceNote"/>
      </w:pPr>
      <w:r>
        <w:rPr>
          <w:b/>
        </w:rPr>
        <w:t>Available abstract (not full text):</w:t>
      </w:r>
      <w:r>
        <w:t xml:space="preserve"> Abstract Climate models generally project an increase in the winter North Atlantic Oscillation (NAO) index under a future high‐emissions scenario, alongside an increase in winter precipitation in northern Europe and a decrease in southern Europe. The extent to which future forced NAO trends are important for European winter precipitation trends and their uncertainty remains unclear. We show using the Multimodel Large Ensemble Archive that the NAO plays a small role in northern European mean winter precipitation projections for 2080–2099. Conversely, half of the model uncertainty in southern European mean winter precipitation projections is potentially reducible through improved understanding of the NAO projections. Extreme positive NAO winters increase in frequency in most models as a consequence of mean NAO changes. These extremes also have more severe future precipitation impacts, largely because of mean precipitation changes. This has implications for future resilience to extreme positive NAO winters, which frequently have severe societal impacts.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Can we trust CMIP5/6 future projections of European winter precipitation? — https://doi.org/10.1088/1748-9326/abf28a</w:t>
      </w:r>
    </w:p>
    <w:p>
      <w:pPr/>
      <w:r>
        <w:rPr>
          <w:b/>
        </w:rPr>
        <w:t>Shared claim-specific concepts:</w:t>
      </w:r>
      <w:r>
        <w:t xml:space="preserve"> abstract, projections, precipitation, over, resolution, regional; EU scope visible. This is a provisional connection, not an outcome finding.</w:t>
      </w:r>
    </w:p>
    <w:p>
      <w:pPr>
        <w:pStyle w:val="SourceNote"/>
      </w:pPr>
      <w:r>
        <w:rPr>
          <w:b/>
        </w:rPr>
        <w:t>Available abstract (not full text):</w:t>
      </w:r>
      <w:r>
        <w:t xml:space="preserve">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pPr/>
      <w:r>
        <w:rPr>
          <w:b/>
        </w:rPr>
        <w:t>POSSIBLE 2021:</w:t>
      </w:r>
      <w:r>
        <w:t xml:space="preserve"> Future projections of temperature and precipitation for Antarctica — https://doi.org/10.1088/1748-9326/ac43e2</w:t>
      </w:r>
    </w:p>
    <w:p>
      <w:pPr/>
      <w:r>
        <w:rPr>
          <w:b/>
        </w:rPr>
        <w:t>Shared claim-specific concepts:</w:t>
      </w:r>
      <w:r>
        <w:t xml:space="preserve"> abstract, projections, precipitation, climate; EU scope not established. This is a provisional connection, not an outcome finding.</w:t>
      </w:r>
    </w:p>
    <w:p>
      <w:pPr>
        <w:pStyle w:val="SourceNote"/>
      </w:pPr>
      <w:r>
        <w:rPr>
          <w:b/>
        </w:rPr>
        <w:t>Available abstract (not full text):</w:t>
      </w:r>
      <w:r>
        <w:t xml:space="preserve"> Abstract Antarctica directly impacts the lives of more than half of the world’s population living in the coastal regions. Therefore it is highly desirable to project its climate for the future. But it is a region where the climate models have large inter-modal variability and hence it raises questions about the robustness of the projections available. Therefore, we have examined 87 global models from three modelling consortia (Coupled Model Intercomparison Project Phase 5 (CMIP5), Coupled Model Intercomparison Project Phase 6 (CMIP6), and NASA Earth Exchange Global Daily Downscaled Projections (NEX-GDDP)), characterized their fidelity, selected a set of ten models (MM10) performing satisfactorily, and used them to make the future projection of precipitation and temperature, and assessed the contribution of precipitation towards sea-levels. For the historical period, the multi-model mean (MMM) of CMIP5 performed slightly better than CMIP6 and was worse for NEX-GDDP, with negligible surface temperature bias of approximately 0.5 °C and a 17.5% and 19% biases in the mean precipitation noted in both CMIP consortia. These biases considerably reduced in MM10, with 21st century projections showing surface warming of approximately 5.1 °C–5.3 °C and precipitation increase approximately 44%–50% against ERA-5 under high-emission scenarios in both CMIP consortia. This projected precipitatio</w:t>
      </w:r>
    </w:p>
    <w:p>
      <w:pPr/>
      <w:r>
        <w:rPr>
          <w:b/>
        </w:rPr>
        <w:t>POSSIBLE 2021:</w:t>
      </w:r>
      <w:r>
        <w:t xml:space="preserve"> How does the CMIP6 ensemble change the picture for European climate projections? — https://doi.org/10.1088/1748-9326/ac1ed9</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We compare Coupled Model Intercomparison Project (CMIP) ensemble (CMIP6) projections for seasonal mean temperature and precipitation to CMIP5 for northern Europe, central Europe and the Mediterranean. The CMIP6 ensemble shows increased projected summer warming compared to CMIP5, which was found to be statistically significant in central Europe and the Mediterranean. Precipitation projections for Central Europe in CMIP6 were found to have a stronger drying trend in the summer months, there was also a substantially narrower projection range. Spatial comparisons indicate that this stronger drying trend also extends into a large part northern Europe. We show that warmer projected summer temperatures in northern Europe and the Mediterranean are largely driven by the higher global climate sensitivities in CMIP6 models, while regional changes are broadly similar. In central Europe a significant difference in the regional responses was found and in these cases the picture can be said to have changed. We find the difference in regional sensitivity is important in central Europe where it accounts for roughly 40 % of the differences between ensembles in projected regional temperature.</w:t>
      </w:r>
    </w:p>
    <w:p>
      <w:pPr>
        <w:pStyle w:val="Heading2"/>
      </w:pPr>
      <w:r>
        <w:t>749.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r>
        <w:rPr>
          <w:b/>
        </w:rPr>
        <w:t>POSSIBLE 2022:</w:t>
      </w:r>
      <w:r>
        <w:t xml:space="preserve"> The United Kingdom — https://doi.org/10.1093/oso/9780192855534.003.0006</w:t>
      </w:r>
    </w:p>
    <w:p>
      <w:pPr/>
      <w:r>
        <w:rPr>
          <w:b/>
        </w:rPr>
        <w:t>Shared claim-specific concepts:</w:t>
      </w:r>
      <w:r>
        <w:t xml:space="preserve"> united, kingdom, itself, provided, within; EU scope visible. This is a provisional connection, not an outcome finding.</w:t>
      </w:r>
    </w:p>
    <w:p>
      <w:pPr>
        <w:pStyle w:val="SourceNote"/>
      </w:pPr>
      <w:r>
        <w:rPr>
          <w:b/>
        </w:rPr>
        <w:t>Available abstract (not full text):</w:t>
      </w:r>
      <w:r>
        <w:t xml:space="preserve"> Abstract This chapter examines the British policy towards the North Atlantic Alliance. The United Kingdom has always been unambiguous in its position on NATO. London helped to establish the Alliance in 1949 and ever since has striven to be its most important European ally. In consequence, the United Kingdom has provided a significant material contribution to NATO missions and command and sees itself as at the forefront of debates on NATO strategy and purpose. With rare exception (the case of Scottish nationalism), NATO membership is beyond question in domestic politics—and the Alliance has never obtained the same controversial status as the European Union. UK foreign and defence policies retain pretensions towards global influence, evidenced in the 2021 Integrated Review of Security, Defence, Development and Foreign Policy. High standing within NATO is one means by which that influence is to be exercised. The United Kingdom has also traditionally seen NATO as an essential bridge in its relationship with the United States, and this is even more so after Brexit. For London, transatlanticism is key to the Alliance, but this has, at times, created tensions with Paris and occasionally with Berlin. Overall, the chapter portrays the United Kingdom as being amongst NATO’s most stalwart and reliable allies and predicts that this is likely to remain so for the foreseeable future.</w:t>
      </w:r>
    </w:p>
    <w:p>
      <w:pPr/>
      <w:r>
        <w:rPr>
          <w:b/>
        </w:rPr>
        <w:t>POSSIBLE 2021:</w:t>
      </w:r>
      <w:r>
        <w:t xml:space="preserve"> The Growth of the Anti-Transgender Movement in the United Kingdom. The Silent Radicalization of the British Electorate — https://doi.org/10.1080/00207659.2021.1939946</w:t>
      </w:r>
    </w:p>
    <w:p>
      <w:pPr/>
      <w:r>
        <w:rPr>
          <w:b/>
        </w:rPr>
        <w:t>Shared claim-specific concepts:</w:t>
      </w:r>
      <w:r>
        <w:t xml:space="preserve"> united, kingdom, placed, against, within; EU scope not established. This is a provisional connection, not an outcome finding.</w:t>
      </w:r>
    </w:p>
    <w:p>
      <w:pPr>
        <w:pStyle w:val="SourceNote"/>
      </w:pPr>
      <w:r>
        <w:rPr>
          <w:b/>
        </w:rPr>
        <w:t>Available abstract (not full text):</w:t>
      </w:r>
      <w:r>
        <w:t xml:space="preserve"> This article examines the development of anti-transgender debates within the United Kingdom, which have gained traction due to proposed amendments to the country’s Gender Recognition Act (GRA). A group of determined lobby groups, taking their lead from like-minded organizations in the United States, has protested vigorously against the proposed changes to the GRA, especially with respect to “single-sex spaces”. As a result of this furor, the lives of transgender people have become the subject of open debate. Trans people now see their legitimacy questioned, and their ability to access services increasingly being placed under the microscope. This article argues that the literature on radicalization – developed in response to domestic terrorism – can explain these developments. UK lobby groups are successfully pushing a radical agenda to deny the basic rights of trans people, and are doing so under the cover of “free speech” – a sacrosanct element of life in Anglo-Saxon countries.</w:t>
      </w:r>
    </w:p>
    <w:p>
      <w:pPr/>
      <w:r>
        <w:rPr>
          <w:b/>
        </w:rPr>
        <w:t>POSSIBLE 2020:</w:t>
      </w:r>
      <w:r>
        <w:t xml:space="preserve"> Homebirthing in the United Kingdom during COVID-19 — https://doi.org/10.1177/0968533220955224</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COVID-19 has significantly impacted all aspects of maternity services in the United Kingdom, exacerbating the fact that choice is insufficiently centred within the maternity regime. In this article, we focus on the restrictions placed on homebirthing services by some National Health Service Trusts in response to the virus. In March 2020, around a third of Trusts implemented blanket policies suspending their entire homebirth service. We argue that the failure to protect choice about place of birth during the pandemic may not only be harmful to birthing people’s physical and mental health, but also that it is legally problematic as it may, in some instances, breach human rights obligations. We also voice concerns about the possibility that in the absence of available homebirthing services people might choose to freebirth. While freebirthing (birthing absent any medical or midwifery support) is not innately problematic, it is concerning that people may feel forced to opt for this.</w:t>
      </w:r>
    </w:p>
    <w:p>
      <w:pPr/>
      <w:r>
        <w:rPr>
          <w:b/>
        </w:rPr>
        <w:t>POSSIBLE 2020:</w:t>
      </w:r>
      <w:r>
        <w:t xml:space="preserve"> Telehealth in the Context of COVID-19: Changing Perspectives in Australia, the United Kingdom, and the United States — https://doi.org/10.2196/19264</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BACKGROUND: On March 12, 2020, the World Health Organization declared the coronavirus disease (COVID-19) outbreak a pandemic. On that date, there were 134,576 reported cases and 4981 deaths worldwide. By March 26, 2020, just 2 weeks later, reported cases had increased four-fold to 531,865, and deaths increased five-fold to 24,073. Older people are both major users of telehealth services and are more likely to die as a result of COVID-19. OBJECTIVE: This paper examines the extent that Australia, the United Kingdom, and the United States, during the 2 weeks following the pandemic announcement, sought to promote telehealth as a tool that could help identify COVID-19 among older people who may live alone, be frail, or be self-isolating, and give support to or facilitate the treatment of people who are or may be infected. METHODS: This paper reports, for the 2-week period previously mentioned and immediately prior, on activities and initiatives in the three countries taken by governments or their agencies (at national or state levels) together with publications or guidance issued by professional, trade, and charitable bodies. Different sources of information are drawn upon that point to the perceived likely benefits of telehealth in fighting the pandemic. It is not the purpose of this paper to draw together or analyze information that reflects growing knowledge about COVID-19, excep</w:t>
      </w:r>
    </w:p>
    <w:p>
      <w:pPr/>
      <w:r>
        <w:rPr>
          <w:b/>
        </w:rPr>
        <w:t>POSSIBLE 2019:</w:t>
      </w:r>
      <w:r>
        <w:t xml:space="preserve"> United Kingdom — https://doi.org/10.4324/9781351066341-12</w:t>
      </w:r>
    </w:p>
    <w:p>
      <w:pPr/>
      <w:r>
        <w:rPr>
          <w:b/>
        </w:rPr>
        <w:t>Shared claim-specific concepts:</w:t>
      </w:r>
      <w:r>
        <w:t xml:space="preserve"> united, kingdom, placed, systems; EU scope visible. This is a provisional connection, not an outcome finding.</w:t>
      </w:r>
    </w:p>
    <w:p>
      <w:pPr>
        <w:pStyle w:val="SourceNote"/>
      </w:pPr>
      <w:r>
        <w:rPr>
          <w:b/>
        </w:rPr>
        <w:t>Available abstract (not full text):</w:t>
      </w:r>
      <w:r>
        <w:t xml:space="preserve"> Are parents across the four nations of the United Kingdom (UK) expected to participate in education systems where all but the most privileged are disempowered and pathologised? This chapter argues that this is the case. This worrying contemporary positioning of parents as they engage with schools and education is foregrounded in legislative and political history, research trends and new research directions that are specific to the UK. The chapter charts the divergence between England and the devolved nations of Wales, Scotland and Northern Ireland in policies concerning parental engagement and involvement in education. It also reveals commonalities between the nations in contemporary political educational agendas and, therein, the expectations placed upon parents in respect of their involvement with their children’s learning. The differences and similarities are scrutinised in the context of educational and sociological research, which reveals that the enactment of policy through practice and the lived experiences of parents suggest a worrying culture of exclusion and inequality in which many are both disadvantaged and marginalised.</w:t>
      </w:r>
    </w:p>
    <w:p>
      <w:pPr>
        <w:pStyle w:val="Heading2"/>
      </w:pPr>
      <w:r>
        <w:t>750. Regulating the Use of Bisphenol A in Baby and Children's Products in the European Union: Current Developments and Scenarios for the Regulatory Future</w:t>
      </w:r>
    </w:p>
    <w:p>
      <w:pPr>
        <w:pStyle w:val="SourceNote"/>
      </w:pPr>
      <w:r>
        <w:rPr>
          <w:b/>
        </w:rPr>
        <w:t>Original source (2017):</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Enhancing the use of exposure science across EU chemical policies as part of the European Exposure Science Strategy 2020–2030 — https://doi.org/10.1038/s41370-021-00388-4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BACKGROUND: A scientific framework on exposure science will boost the multiuse of exposure knowledge across EU chemicals-related policies and improve risk assessment, risk management and communication across EU safety, security and sustainability domains. OBJECTIVE: To stimulate public and private actors to align and strengthen the cross-policy adoption of exposure assessment data, methods and tools across EU legislation. METHODS: By mapping and analysing the EU regulatory landscape making use of exposure information, policy and research challenges and key areas of action are identified and translated into opportunities enhancing policy and scientific efficiency. RESULTS: Identified key areas of actions are to develop a common scientific exposure assessment framework, supported by baseline acceptance criteria and a shared knowledge base enhancing exchangeability and acceptability of exposure knowledge within and across EU chemicals-related policies. Furthermore, such framework will improve communication and management across EU chemical safety, security and sustainability policies comprising sourcing, manufacturing and global trade of goods and waste management. In support of building such a common framework and its effective use in policy and industry, exposure science innovation needs to be better embedded along the whole policymaking cycle, and be integrated into companies' </w:t>
      </w:r>
    </w:p>
    <w:p>
      <w:pPr/>
      <w:r>
        <w:rPr>
          <w:b/>
        </w:rPr>
        <w:t>POSSIBLE 2019:</w:t>
      </w:r>
      <w:r>
        <w:t xml:space="preserve"> Intricacies in the Approval of Radiopharmaceuticals – Regulatory Perspectives and the Way Forward — https://doi.org/10.18520/cs/v116/i1/47-55</w:t>
      </w:r>
    </w:p>
    <w:p>
      <w:pPr/>
      <w:r>
        <w:rPr>
          <w:b/>
        </w:rPr>
        <w:t>Shared claim-specific concepts:</w:t>
      </w:r>
      <w:r>
        <w:t xml:space="preserve"> regulatory, not, use, however; EU scope visible. This is a provisional connection, not an outcome finding.</w:t>
      </w:r>
    </w:p>
    <w:p>
      <w:pPr>
        <w:pStyle w:val="SourceNote"/>
      </w:pPr>
      <w:r>
        <w:rPr>
          <w:b/>
        </w:rPr>
        <w:t>Available abstract (not full text):</w:t>
      </w:r>
      <w:r>
        <w:t xml:space="preserve"> Extensive research by the global scientific fraternity has led to the production of many radiopharmaceuticals of immense clinical importance.However, this increasing availability has not been matched by adequate regulatory action to back up the legal foundation for their commercial use.It is imperative for a radiopharmaceutical to have a seal of regulatory authority approval to qualify for human use.The present article highlights various regulatory requirements for approval of radiopharmaceuticals in USA, Europe, and particularly India, which does not have guidelines for their approval, and intensifies the concern for a harmonized regulatory platform of global acceptance.</w:t>
      </w:r>
    </w:p>
    <w:p>
      <w:pPr/>
      <w:r>
        <w:rPr>
          <w:b/>
        </w:rPr>
        <w:t>POSSIBLE 2019:</w:t>
      </w:r>
      <w:r>
        <w:t xml:space="preserve"> Traditional and Digital Biomarkers: Two Worlds Apart? — https://doi.org/10.1159/000502000</w:t>
      </w:r>
    </w:p>
    <w:p>
      <w:pPr/>
      <w:r>
        <w:rPr>
          <w:b/>
        </w:rPr>
        <w:t>Shared claim-specific concepts:</w:t>
      </w:r>
      <w:r>
        <w:t xml:space="preserve"> apart, regulatory, however; EU scope not established. This is a provisional connection, not an outcome finding.</w:t>
      </w:r>
    </w:p>
    <w:p>
      <w:pPr>
        <w:pStyle w:val="SourceNote"/>
      </w:pPr>
      <w:r>
        <w:rPr>
          <w:b/>
        </w:rPr>
        <w:t>Available abstract (not full text):</w:t>
      </w:r>
      <w:r>
        <w:t xml:space="preserve"> The identification and application of biomarkers in the clinical and medical fields has an enormous impact on society. The increase of digital devices and the rise in popularity of health-related mobile apps has produced a new trove of biomarkers in large, diverse, and complex data. However, the unclear definition of digital biomarkers, population groups, and their intersection with traditional biomarkers hinders their discovery and validation. We have identified current issues in the field of digital biomarkers and put forth suggestions to address them during the DayOne Workshop with participants from academia and industry. We have found similarities and differences between traditional and digital biomarkers in order to synchronize semantics, define unique features, review current regulatory procedures, and describe novel applications that enable precision medicine.</w:t>
      </w:r>
    </w:p>
    <w:p>
      <w:pPr>
        <w:pStyle w:val="Heading2"/>
      </w:pPr>
      <w:r>
        <w:t>751.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2022:</w:t>
      </w:r>
      <w:r>
        <w:t xml:space="preserve"> Reticular Chemistry for Highly Porous Metal–Organic Frameworks: The Chemistry and Applications — https://doi.org/10.1021/acs.accounts.1c00707</w:t>
      </w:r>
    </w:p>
    <w:p>
      <w:pPr/>
      <w:r>
        <w:rPr>
          <w:b/>
        </w:rPr>
        <w:t>Shared claim-specific concepts:</w:t>
      </w:r>
      <w:r>
        <w:t xml:space="preserve"> four, chemistry, developed, design, two, account; EU scope not established. This is a provisional connection, not an outcome finding.</w:t>
      </w:r>
    </w:p>
    <w:p>
      <w:pPr>
        <w:pStyle w:val="SourceNote"/>
      </w:pPr>
      <w:r>
        <w:rPr>
          <w:b/>
        </w:rPr>
        <w:t>Available abstract (not full text):</w:t>
      </w:r>
      <w:r>
        <w:t xml:space="preserve"> Conspectus Current global crises related to clean energy and the environment entail the development of materials that are capable of addressing these challenges. Metal–organic frameworks (MOFs), a class of functional materials assembled from metal-containing nodes and organic ligands via coordination bonds, have been successfully developed for various applications, including catalysis, toxic chemical removal, and gas storage and separation, as a result of their highly tailorable nature and precisely engineered pore structures. In particular, the exceptionally high surface areas and porosities of MOFs are two of their most attractive characteristics and place them among the best porous materials for the storage of clean energy gases, such as hydrogen and methane. Reticular chemistry stands out as a prominent approach to the design of MOFs as this strategy allows for the rational top-down design of frameworks guided by topological nets to afford extended framework structures with precise architectural arrangements at the molecular level. Bridging the gap between reticular chemistry design strategies and highly porous MOFs can facilitate the development of next-generation high-performance materials through state-of-the-art chemical design. In this Account, we summarize our group’s efforts over the past few years toward the synthesis and applications of highly porous MOFs inspired </w:t>
      </w:r>
    </w:p>
    <w:p>
      <w:pPr/>
      <w:r>
        <w:rPr>
          <w:b/>
        </w:rPr>
        <w:t>POSSIBLE 2018:</w:t>
      </w:r>
      <w:r>
        <w:t xml:space="preserve"> A Framework for Learning in the Chemistry Laboratory — https://doi.org/10.1002/ijch.201800093</w:t>
      </w:r>
    </w:p>
    <w:p>
      <w:pPr/>
      <w:r>
        <w:rPr>
          <w:b/>
        </w:rPr>
        <w:t>Shared claim-specific concepts:</w:t>
      </w:r>
      <w:r>
        <w:t xml:space="preserve"> four, regarding, chemistry, practice, two, taken; EU scope not established. This is a provisional connection, not an outcome finding.</w:t>
      </w:r>
    </w:p>
    <w:p>
      <w:pPr>
        <w:pStyle w:val="SourceNote"/>
      </w:pPr>
      <w:r>
        <w:rPr>
          <w:b/>
        </w:rPr>
        <w:t>Available abstract (not full text):</w:t>
      </w:r>
      <w:r>
        <w:t xml:space="preserve"> Abstract Designing laboratory activities is a real challenge for those working in higher education. There is often an acknowledged frustration with the status quo, but a lack of clear guidance on what strategies might be useful in considering a redesign. This article aims to address the question: what considerations should be taken into account when designing a laboratory activity? To address it, we first describe an overarching framework for laboratory learning, describing it as a complex learning environment. The reason for this is that two clear overarching guidelines emerge – the first is that the laboratory curriculum should be structured so that each new challenge for student is adequately supported by their prior learning so that they can draw on their knowledge to address the new learning situation, and the second is that guidelines for the kinds of preparation for laboratory learning emerge. Based on this framework, we advocate four core principles for laboratory learning that should be considered when designing a laboratory activity regarding the overall purpose, the role of preparation, the teaching of technique, and the consideration of affective dimensions of learning. We illustrate this framework in practice with examples from our own practice, with suggestions on using the literature on laboratory education as a source for curriculum reform within an institution.</w:t>
      </w:r>
    </w:p>
    <w:p>
      <w:pPr>
        <w:pStyle w:val="Heading2"/>
      </w:pPr>
      <w:r>
        <w:t>752.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2021:</w:t>
      </w:r>
      <w:r>
        <w:t xml:space="preserve"> The relationship between cultural tightness–looseness and COVID-19 cases and deaths: a global analysis — https://doi.org/10.1016/s2542-5196(20)30301-6</w:t>
      </w:r>
    </w:p>
    <w:p>
      <w:pPr/>
      <w:r>
        <w:rPr>
          <w:b/>
        </w:rPr>
        <w:t>Shared claim-specific concepts:</w:t>
      </w:r>
      <w:r>
        <w:t xml:space="preserve"> tight, countries, million, help; EU scope not established. This is a provisional connection, not an outcome finding.</w:t>
      </w:r>
    </w:p>
    <w:p>
      <w:pPr>
        <w:pStyle w:val="SourceNote"/>
      </w:pPr>
      <w:r>
        <w:rPr>
          <w:b/>
        </w:rPr>
        <w:t>Available abstract (not full text):</w:t>
      </w:r>
      <w:r>
        <w:t xml:space="preserve"> BACKGROUND: The COVID-19 pandemic is a global health crisis, yet certain countries have had far more success in limiting COVID-19 cases and deaths. We suggest that collective threats require a tremendous amount of coordination, and that strict adherence to social norms is a key mechanism that enables groups to do so. Here we examine how the strength of social norms-or cultural tightness-looseness-was associated with countries' success in limiting cases and deaths by October, 2020. We expected that tight cultures, which have strict norms and punishments for deviance, would have fewer cases and deaths per million as compared with loose cultures, which have weaker norms and are more permissive. METHODS: We estimated the relationship between cultural tightness-looseness and COVID-19 case and mortality rates as of Oct 16, 2020, using ordinary least squares regression. We fit a series of stepwise models to capture whether cultural tightness-looseness explained variation in case and death rates controlling for under-reporting, demographics, geopolitical factors, other cultural dimensions, and climate. FINDINGS: The results indicated that, compared with nations with high levels of cultural tightness, nations with high levels of cultural looseness are estimated to have had 4·99 times the number of cases (7132 per million vs 1428 per million, respectively) and 8·71 times the number of de</w:t>
      </w:r>
    </w:p>
    <w:p>
      <w:pPr/>
      <w:r>
        <w:rPr>
          <w:b/>
        </w:rPr>
        <w:t>POSSIBLE 2020:</w:t>
      </w:r>
      <w:r>
        <w:t xml:space="preserve"> Interdependence and cooperation in daily life. — https://doi.org/10.1037/pspi0000253</w:t>
      </w:r>
    </w:p>
    <w:p>
      <w:pPr/>
      <w:r>
        <w:rPr>
          <w:b/>
        </w:rPr>
        <w:t>Shared claim-specific concepts:</w:t>
      </w:r>
      <w:r>
        <w:t xml:space="preserve"> cooperation, affected, over; EU scope not established. This is a provisional connection, not an outcome finding.</w:t>
      </w:r>
    </w:p>
    <w:p>
      <w:pPr>
        <w:pStyle w:val="SourceNote"/>
      </w:pPr>
      <w:r>
        <w:rPr>
          <w:b/>
        </w:rPr>
        <w:t>Available abstract (not full text):</w:t>
      </w:r>
      <w:r>
        <w:t xml:space="preserve"> Philosophers and scientists have long debated the nature of human social interactions and the prevalence of mutual dependence, conflict of interests, and power asymmetry in social situations. Yet, there is surprisingly little empirical work documenting the patterns of interdependence that people experience in daily life. We use experience sampling to study how people think about three dimensions of interdependence in daily life and how these dimensions relate to cooperation. In Study 1, 139 romantic couples (n = 278) reported on situations experienced with their partner (k = 6,766); in Study 2, individuals (n = 284) reported on situations experienced with any other person (k = 7,248), over the course of one week. Across both samples, we found that most social interactions were perceived as containing moderate mutual dependence, equal power, and corresponding interests. When couples reported on the same situation (Study 1), they largely agreed on their experienced interdependence and cooperation, suggesting that their reports reflect an underlying shared reality. In daily interactions across both samples, higher mutual dependence and lower conflict of interests were associated with more cooperation, whereas relative power was not directly related to cooperation. These associations replicated in laboratory experiments (Study 2). In daily life, high mutual dependence and high rela</w:t>
      </w:r>
    </w:p>
    <w:p>
      <w:pPr/>
      <w:r>
        <w:rPr>
          <w:b/>
        </w:rPr>
        <w:t>POSSIBLE 2019:</w:t>
      </w:r>
      <w:r>
        <w:t xml:space="preserve"> Legal Problems and Decisions in the Cooperation between National Ombudsmen in South – East Europe — https://openalex.org/W7131993177</w:t>
      </w:r>
    </w:p>
    <w:p>
      <w:pPr/>
      <w:r>
        <w:rPr>
          <w:b/>
        </w:rPr>
        <w:t>Shared claim-specific concepts:</w:t>
      </w:r>
      <w:r>
        <w:t xml:space="preserve"> need, tight, cooperation, countries, urgent; EU scope visible. This is a provisional connection, not an outcome finding.</w:t>
      </w:r>
    </w:p>
    <w:p>
      <w:pPr>
        <w:pStyle w:val="SourceNote"/>
      </w:pPr>
      <w:r>
        <w:rPr>
          <w:b/>
        </w:rPr>
        <w:t>Available abstract (not full text):</w:t>
      </w:r>
      <w:r>
        <w:t xml:space="preserve"> Abstract: The ombudsman institution is traditionally linked to the concept of human rights protection. In addition to this general notion, for the countries from South–Eastern Europe the ombudsman is a body related to the process of transition to rule of law and democratic values. In these countries the ombudsman has also the specific task of maintaining the social and ethnic peace and security. The ombudsman institutions in this region have also a beneficial effect on the process of accession to the EU and adherence to the principles of the Council of Europe as the human rights protection is in the heart of these organisations. The cooperation among ombudsmen in South–Eastern Europe is of crucial importance for the successful achievement of their tasks, especially in the context of challenging human rights issues with trans-border connotations. However the lack of a common model for the ombudsmen institutions, the difference in the mandate and functions and even the diverse title of these bodies, proves to be a serious hindrance to efficient collaboration and hence to the efficient protection of human rights at regional level. This is why the existence of international and European standards for the ombudsmen institutions from South-Eastern Europe is important in view of the need to bring them closer to each other but also closer to the successful model of a human rights prote</w:t>
      </w:r>
    </w:p>
    <w:p>
      <w:pPr/>
      <w:r>
        <w:rPr>
          <w:b/>
        </w:rPr>
        <w:t>POSSIBLE 2019:</w:t>
      </w:r>
      <w:r>
        <w:t xml:space="preserve"> A comparative approach to affect and cooperation — https://doi.org/10.1016/j.neubiorev.2019.09.027</w:t>
      </w:r>
    </w:p>
    <w:p>
      <w:pPr/>
      <w:r>
        <w:rPr>
          <w:b/>
        </w:rPr>
        <w:t>Shared claim-specific concepts:</w:t>
      </w:r>
      <w:r>
        <w:t xml:space="preserve"> cooperation, develop, help; EU scope not established. This is a provisional connection, not an outcome finding.</w:t>
      </w:r>
    </w:p>
    <w:p>
      <w:pPr>
        <w:pStyle w:val="SourceNote"/>
      </w:pPr>
      <w:r>
        <w:rPr>
          <w:b/>
        </w:rPr>
        <w:t>Available abstract (not full text):</w:t>
      </w:r>
      <w:r>
        <w:t xml:space="preserve"> A central premise of the science of comparative affect is that we can best learn about the causes and consequences of affect by comparing affective phenomena across a variety of species, including humans. We take as a given that affect is widely shared across animals, but a key challenge is to accurately represent each species' affective experience. A common approach in the comparative study of behavior and cognition is to develop standardized experimental paradigms that can be used across species, with the assumption that if the same task is being used, we can directly compare behavioral responses. This experimental approach rests on two underlying assumptions: first, that different species' perception of and affective response to these paradigms are the same; and second, that behavioral and physiological (including endocrine and neural) responses to these paradigms are homologous; if either of these assumptions is not true, then the comparison becomes much less straightforward. Our goal in the present paper is to summarize the dominant paradigms that have been used for such comparative research, with a particular focus on paradigms common in the cooperation literature, and to critically discuss dominant assumptions about what affective states these tasks can or should measure. We then consider the advantages and drawbacks of this experimental method, and consider alternatives</w:t>
      </w:r>
    </w:p>
    <w:p>
      <w:pPr/>
      <w:r>
        <w:rPr>
          <w:b/>
        </w:rPr>
        <w:t>POSSIBLE 2019:</w:t>
      </w:r>
      <w:r>
        <w:t xml:space="preserve"> Botswana's Ownership over the Development Cooperation with the European Union: Technical and Vocational Education and Training and the Cooperation of Stakeholders — https://openalex.org/W2975717296</w:t>
      </w:r>
    </w:p>
    <w:p>
      <w:pPr/>
      <w:r>
        <w:rPr>
          <w:b/>
        </w:rPr>
        <w:t>Shared claim-specific concepts:</w:t>
      </w:r>
      <w:r>
        <w:t xml:space="preserve"> cooperation, support, over, solutions; EU scope visible. This is a provisional connection, not an outcome finding.</w:t>
      </w:r>
    </w:p>
    <w:p>
      <w:pPr>
        <w:pStyle w:val="SourceNote"/>
      </w:pPr>
      <w:r>
        <w:rPr>
          <w:b/>
        </w:rPr>
        <w:t>Available abstract (not full text):</w:t>
      </w:r>
      <w:r>
        <w:t xml:space="preserve"> The development research has stressed the importance of technical and vocational education and training for systemic progress in a society. However, proscribed donor-centred solutions often fail to deliver the expected result. As such enabling the local stakeholders and supporting their ideas rather than enforcing the donors' own visions is seen as a promising way to engage in development policy. By conceptualising ownership and examining the cooperation between the EU and key ministries in Botswana this study finds that there are regular exchanges between the EU and stakeholder ministries, which go beyond the usual diplomatic channels. While financial budget support limits the decision making possibilities of the Ministry of Finance and Development Planning the subject orientated cooperation with the government ministries in Botswana relies more on local expertise and is less prone to European influence where such external expertise is not deemed necessary.</w:t>
      </w:r>
    </w:p>
    <w:p>
      <w:pPr/>
      <w:r>
        <w:rPr>
          <w:b/>
        </w:rPr>
        <w:t>POSSIBLE 2018:</w:t>
      </w:r>
      <w:r>
        <w:t xml:space="preserve"> Nuances in the Interplay of Competition and Cooperation: Towards a Theory of Coopetition — https://doi.org/10.1177/0149206318788945</w:t>
      </w:r>
    </w:p>
    <w:p>
      <w:pPr/>
      <w:r>
        <w:rPr>
          <w:b/>
        </w:rPr>
        <w:t>Shared claim-specific concepts:</w:t>
      </w:r>
      <w:r>
        <w:t xml:space="preserve"> cooperation, lead, mechanisms, help; EU scope not established. This is a provisional connection, not an outcome finding.</w:t>
      </w:r>
    </w:p>
    <w:p>
      <w:pPr>
        <w:pStyle w:val="SourceNote"/>
      </w:pPr>
      <w:r>
        <w:rPr>
          <w:b/>
        </w:rPr>
        <w:t>Available abstract (not full text):</w:t>
      </w:r>
      <w:r>
        <w:t xml:space="preserve"> Progress in coopetition research is impeded by two problems in the literature: (a) superficial conceptualization of simultaneity and outcomes and (b) lack of theorizing about core properties of coopetition and how they influence outcomes. This paper addresses these interrelated problems and charts a path towards a theory of coopetition. We systematically analyze competition and cooperation and illuminate how the interplay between specific aspects of competition and cooperation manifests through unique coopetition mechanisms. We explicate a range of possible outcomes from coopetition—joint value creation for all firms, value creation for individual firms, and value destruction—and suggest that coopetition mechanisms help explain how and why coopetition may lead to varying outcomes. Furthermore, we explain how effective navigation of simultaneity and value creation intent, two fundamental elements of coopetition, may be instrumental in deriving beneficial outcomes. Navigating simultaneity involves balancing competition and cooperation and maintaining both at moderately strong levels, and navigating value creation consists of managing the trade-off between joint value creation and firm value creation without compromising overall value creation. By explaining how coopetition manifests, what its unique underlying properties are, and how such properties influence outcomes, our paper </w:t>
      </w:r>
    </w:p>
    <w:p>
      <w:pPr>
        <w:pStyle w:val="Heading2"/>
      </w:pPr>
      <w:r>
        <w:t>753.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2023:</w:t>
      </w:r>
      <w:r>
        <w:t xml:space="preserve"> Democracy and Nuclear Power in the Czech Republic — https://doi.org/10.4324/9781003421368-17</w:t>
      </w:r>
    </w:p>
    <w:p>
      <w:pPr/>
      <w:r>
        <w:rPr>
          <w:b/>
        </w:rPr>
        <w:t>Shared claim-specific concepts:</w:t>
      </w:r>
      <w:r>
        <w:t xml:space="preserve"> nuclear, power, experience; EU scope visible. This is a provisional connection, not an outcome finding.</w:t>
      </w:r>
    </w:p>
    <w:p>
      <w:pPr>
        <w:pStyle w:val="SourceNote"/>
      </w:pPr>
      <w:r>
        <w:rPr>
          <w:b/>
        </w:rPr>
        <w:t>Available abstract (not full text):</w:t>
      </w:r>
      <w:r>
        <w:t xml:space="preserve"> This chapter explores the construction of the one-thousand megawatt Temelin nuclear power plant in the Czech Republic. The Czech Republic is in the first group of candidates in central and eastern Europe to join both the European Union and the North Atlantic Treaty Organization. The Czech experience with nuclear power is a test case that will affect the viability and future marketability of nuclear power in central and eastern Europe. Nuclear power advocates saw the opportunity and accepted the challenge. The former Soviet Union, with compliance or agreement from the states of central and eastern Europe, had planned dozens of nuclear power plants for the region. The most widely used definition of sustainable development is “development that meets the needs of the present without compromising the ability of future generations to meet their own needs”. Under communism, environmentalists were labeled right wing because they were accused of trying to destroy socialist dreams by imposing costly demands on the government.</w:t>
      </w:r>
    </w:p>
    <w:p>
      <w:pPr/>
      <w:r>
        <w:rPr>
          <w:b/>
        </w:rPr>
        <w:t>POSSIBLE 2023:</w:t>
      </w:r>
      <w:r>
        <w:t xml:space="preserve"> Historical diffusion of nuclear, wind and solar power in different national contexts: implications for climate mitigation pathways — https://doi.org/10.1088/1748-9326/acf47a</w:t>
      </w:r>
    </w:p>
    <w:p>
      <w:pPr/>
      <w:r>
        <w:rPr>
          <w:b/>
        </w:rPr>
        <w:t>Shared claim-specific concepts:</w:t>
      </w:r>
      <w:r>
        <w:t xml:space="preserve"> nuclear, power, climate, electricity; EU scope visible. This is a provisional connection, not an outcome finding.</w:t>
      </w:r>
    </w:p>
    <w:p>
      <w:pPr>
        <w:pStyle w:val="SourceNote"/>
      </w:pPr>
      <w:r>
        <w:rPr>
          <w:b/>
        </w:rPr>
        <w:t>Available abstract (not full text):</w:t>
      </w:r>
      <w:r>
        <w:t xml:space="preserve"> Abstract Climate change mitigation requires rapid expansion of low-carbon electricity but there is a disagreement on whether available technologies such as renewables and nuclear power can be scaled up sufficiently fast. Here we analyze the diffusion of nuclear (from the 1960s), as well as wind and solar (from the 1980–90s) power. We show that all these technologies have been adopted in most large economies except major energy exporters, but solar and wind have diffused across countries faster and wider than nuclear. After the initial adoption, the maximum annual growth for nuclear power has been 2.6% of national electricity supply (IQR 1.3%–6%), for wind − 1.1% (0.6%–1.7%), and for solar − 0.8% (0.5%–1.3%). The fastest growth of nuclear power occurred in Western Europe in the 1980s, a response by industrialized democracies to the energy supply crises of the 1970s. The European Union (EU), currently experiencing a similar energy supply shock, is planning to expand wind and solar at similarly fast rates. This illustrates that national contexts can impact the speed of technology diffusion at least as much as technology characteristics like cost, granularity, and complexity. In the Intergovernmental Panel on Climate Change mitigation pathways, renewables grow much faster than nuclear due to their lower projected costs, though empirical evidence does not show that the cost is the s</w:t>
      </w:r>
    </w:p>
    <w:p>
      <w:pPr/>
      <w:r>
        <w:rPr>
          <w:b/>
        </w:rPr>
        <w:t>POSSIBLE 2023:</w:t>
      </w:r>
      <w:r>
        <w:t xml:space="preserve"> The Economy of the Countries of the World is Experiencing the Need for Nuclear Power Plants — https://openalex.org/W7219353948</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This scientific article examines the sources on the need for nuclear power plants in the economies of the countries of the world. The existing nuclear power plants in the countries of the world, their capacity, the disadvantages and advantages of nuclear power plants, the role of nuclear power plants in the production of electricity, differences in the prices of electricity generated by them, the possibilities of achieving economic and social goals of low-cost sustainable development in the production of electricity using nuclear power are analyzed.</w:t>
      </w:r>
    </w:p>
    <w:p>
      <w:pPr/>
      <w:r>
        <w:rPr>
          <w:b/>
        </w:rPr>
        <w:t>POSSIBLE 2022:</w:t>
      </w:r>
      <w:r>
        <w:t xml:space="preserve"> European energy transition: Decomposing the performance of nuclear power — https://doi.org/10.1016/j.energy.2022.123244</w:t>
      </w:r>
    </w:p>
    <w:p>
      <w:pPr/>
      <w:r>
        <w:rPr>
          <w:b/>
        </w:rPr>
        <w:t>Shared claim-specific concepts:</w:t>
      </w:r>
      <w:r>
        <w:t xml:space="preserve"> nuclear, power, generation, electricity; EU scope visible. This is a provisional connection, not an outcome finding.</w:t>
      </w:r>
    </w:p>
    <w:p>
      <w:pPr>
        <w:pStyle w:val="SourceNote"/>
      </w:pPr>
      <w:r>
        <w:rPr>
          <w:b/>
        </w:rPr>
        <w:t>Available abstract (not full text):</w:t>
      </w:r>
      <w:r>
        <w:t xml:space="preserve"> The quest for safe energy in the EU has increasingly led to a policy of zero nuclear power and a shift towards renewable sources. The phasing out of nuclear power is being carefully undertaken, so as not create negative externalities, even though not all countries are ready to make this move, and despite the valuable role nuclear energy can play in backing up intermittent renewables. This paper examines the transition towards carbon-free electrification through the interactions between the various electricity sources, using the Harmonised Index of Consumer Prices and carbon dioxide emissions in countries with nuclear power generation in the European Union and Switzerland. Monthly data, from January 2014 to December 2018 was analysed by means of an Autoregressive Distributed Lag model using the Driscoll and Kraay estimator with fixed effects. This approach allowed the electricity generation processes of the selected countries to be analysed, as well as the long- and short-run impacts. Our findings suggest that nuclear energy can be effective in accommodating renewable electricity into these systems, whereas using fossil generation to back up renewable sources leads to higher prices for consumers.</w:t>
      </w:r>
    </w:p>
    <w:p>
      <w:pPr/>
      <w:r>
        <w:rPr>
          <w:b/>
        </w:rPr>
        <w:t>POSSIBLE 2022:</w:t>
      </w:r>
      <w:r>
        <w:t xml:space="preserve"> Nuclear Power as a Response to the Climate Crisis: Focusing on the Development and Cooperation of the Nuclear Industry in Russia and France — https://doi.org/10.19170/eebs.2022.46.2.163</w:t>
      </w:r>
    </w:p>
    <w:p>
      <w:pPr/>
      <w:r>
        <w:rPr>
          <w:b/>
        </w:rPr>
        <w:t>Shared claim-specific concepts:</w:t>
      </w:r>
      <w:r>
        <w:t xml:space="preserve"> nuclear, power, experience, generation, climate, analyzes; EU scope visible. This is a provisional connection, not an outcome finding.</w:t>
      </w:r>
    </w:p>
    <w:p>
      <w:pPr>
        <w:pStyle w:val="SourceNote"/>
      </w:pPr>
      <w:r>
        <w:rPr>
          <w:b/>
        </w:rPr>
        <w:t>Available abstract (not full text):</w:t>
      </w:r>
      <w:r>
        <w:t xml:space="preserve"> Concerns about global climate change such as ‘global warming’ and ‘greenhouse effects’ have evolved into a desperate expression “climate crisis” in today. Accordingly, the UN adopted the ‘Paris Agreement’ in 2015, and calling for all countries to implement concrete action plans and practices to realize the goal of the ‘Net Zero’(Carbon Neutral 2050). This is the reason why the voices claiming the usefulness of nuclear power generation or the inevitability of nuclear power generation are increasing at home and abroad in recent years. The European Union classified nuclear power plants as a green taxonomy, and the United States is reconsidering its interest in nuclear power plants. Korea has been pursuing a policy to phase out nuclear power for the past five years, but the new government is foreshadowing a policy shift to actively utilize nuclear power. This study examines the nuclear industry, which is attracting attention again as a way to cope with the climate crisis and meet realistic energy demand, through the cases of Russia and France. As of 2022, Russia is evaluated as a country with the world's best capabilities and competitiveness in the nuclear sector. The EU's nuclear powerhouse France has developed a nuclear industry as a driving force for its energy security and economic development. Furthermore, the two countries are highly trusted and boast the highest competitiven</w:t>
      </w:r>
    </w:p>
    <w:p>
      <w:pPr/>
      <w:r>
        <w:rPr>
          <w:b/>
        </w:rPr>
        <w:t>POSSIBLE 2022:</w:t>
      </w:r>
      <w:r>
        <w:t xml:space="preserve"> The Economics of Nuclear Power — https://doi.org/10.22439/csei.pb.015</w:t>
      </w:r>
    </w:p>
    <w:p>
      <w:pPr/>
      <w:r>
        <w:rPr>
          <w:b/>
        </w:rPr>
        <w:t>Shared claim-specific concepts:</w:t>
      </w:r>
      <w:r>
        <w:t xml:space="preserve"> nuclear, power, technological, electricity; EU scope not established. This is a provisional connection, not an outcome finding.</w:t>
      </w:r>
    </w:p>
    <w:p>
      <w:pPr>
        <w:pStyle w:val="SourceNote"/>
      </w:pPr>
      <w:r>
        <w:rPr>
          <w:b/>
        </w:rPr>
        <w:t>Available abstract (not full text):</w:t>
      </w:r>
      <w:r>
        <w:t xml:space="preserve"> The levelized costs of electricity from renewables have decreased by up to 90% in the past decade. During the same period, the cost of nuclear power has increased by more than a third. This led to a domination of renewables in new investments worldwide. Even when factoring in integration costs of renewables and new nuclear technologies, building new nuclear power remains multiple times more expensive than new solar or wind projects. Given the financial, project, and technological risks, the role of nuclear in the energy transition should be questioned.</w:t>
      </w:r>
    </w:p>
    <w:p>
      <w:pPr/>
      <w:r>
        <w:rPr>
          <w:b/>
        </w:rPr>
        <w:t>POSSIBLE 2019:</w:t>
      </w:r>
      <w:r>
        <w:t xml:space="preserve"> Operating Experience for Valves at the Nuclear Power Plants of Ukraine and the European Union — https://doi.org/10.32918/nrs.2019.3(83).04</w:t>
      </w:r>
    </w:p>
    <w:p>
      <w:pPr/>
      <w:r>
        <w:rPr>
          <w:b/>
        </w:rPr>
        <w:t>Shared claim-specific concepts:</w:t>
      </w:r>
      <w:r>
        <w:t xml:space="preserve"> nuclear, power, experience, within, events; EU scope visible. This is a provisional connection, not an outcome finding.</w:t>
      </w:r>
    </w:p>
    <w:p>
      <w:pPr>
        <w:pStyle w:val="SourceNote"/>
      </w:pPr>
      <w:r>
        <w:rPr>
          <w:b/>
        </w:rPr>
        <w:t>Available abstract (not full text):</w:t>
      </w:r>
      <w:r>
        <w:t xml:space="preserve"> The paper presents information on the results of analyzing operational events at nuclear power plants (NPP) of Ukraine and the European Union that were caused or related to the failures of valves. The first part of the paper provides a brief overview of the European Clearinghouse on Operational Feedback for Nuclear Power Plants study on operational events with failure of the valves important to NPP safety. The abovementioned study considered events for the period from 1997 to 2016, which were taken from the IAEA database, databases of technical support organizations of France and Germany, as well as those provided by the Swiss and Spanish regulatory authorities. The main results of the study were presented in the paper, and the main causes of operational events caused by valve failures were observed. In addition, technical areas that required the development of recommendations were indicated. The paper includes a statistical assessment and a detailed analysis of the root causes of operational events at Ukrainian NPPs caused by or related to the failure of valves of all types, regardless of the effect on safety, for the period from 1998 to 2018. The approach for the analysis of operational events at Ukrainian NPPs is similar to that used in the above-mentioned study. Within the framework of the statistical analysis, the distribution of operational events at Ukrainian NPPs relate</w:t>
      </w:r>
    </w:p>
    <w:p>
      <w:pPr/>
      <w:r>
        <w:rPr>
          <w:b/>
        </w:rPr>
        <w:t>POSSIBLE 2019:</w:t>
      </w:r>
      <w:r>
        <w:t xml:space="preserve"> The Technological and Economic Future of Nuclear Power — https://doi.org/10.1007/978-3-658-25987-7</w:t>
      </w:r>
    </w:p>
    <w:p>
      <w:pPr/>
      <w:r>
        <w:rPr>
          <w:b/>
        </w:rPr>
        <w:t>Shared claim-specific concepts:</w:t>
      </w:r>
      <w:r>
        <w:t xml:space="preserve"> nuclear, power, technological, generation, issues, electricity; EU scope visible. This is a provisional connection, not an outcome finding.</w:t>
      </w:r>
    </w:p>
    <w:p>
      <w:pPr>
        <w:pStyle w:val="SourceNote"/>
      </w:pPr>
      <w:r>
        <w:rPr>
          <w:b/>
        </w:rPr>
        <w:t>Available abstract (not full text):</w:t>
      </w:r>
      <w:r>
        <w:t xml:space="preserve"> In this open access book, the economics of nuclear power for electricity generation is discussed, as well as technical, legal, and political acceptance issues. The economic performance is eroding since in recent years the costs have skyrocketed, especially in European countries and North America.</w:t>
      </w:r>
    </w:p>
    <w:p>
      <w:pPr/>
      <w:r>
        <w:rPr>
          <w:b/>
        </w:rPr>
        <w:t>POSSIBLE 2019:</w:t>
      </w:r>
      <w:r>
        <w:t xml:space="preserve"> Nuclear Power in a Clean Energy System — https://doi.org/10.3917/re1.097.0122</w:t>
      </w:r>
    </w:p>
    <w:p>
      <w:pPr/>
      <w:r>
        <w:rPr>
          <w:b/>
        </w:rPr>
        <w:t>Shared claim-specific concepts:</w:t>
      </w:r>
      <w:r>
        <w:t xml:space="preserve"> nuclear, power, generation, several, electricity; EU scope not established. This is a provisional connection, not an outcome finding.</w:t>
      </w:r>
    </w:p>
    <w:p>
      <w:pPr>
        <w:pStyle w:val="SourceNote"/>
      </w:pPr>
      <w:r>
        <w:rPr>
          <w:b/>
        </w:rPr>
        <w:t>Available abstract (not full text):</w:t>
      </w:r>
      <w:r>
        <w:t xml:space="preserve"> Nuclear power, along with hydropower, forms the backbone of low carbon electricity generation today; together they provide three-quarters of global low-carbon generation today. Over the past 50 years, nuclear power has reduced CO2 emissions by over 60 gigatonnes – nearly two years’ worth of global energyrelated emissions. Yet in the advanced economies, nuclear power has begun to fade, with plants closing and little new investment, just when the world requires more low-carbon electricity. This paper focuses on the role of nuclear power in the advanced economies today and the factors that put nuclear power there at risk of decline tomorrow. The paper shows that without action nuclear power in the advanced economies could fall by two-thirds to 2040. It examines the implications of such a decline for emissions and for electricity security.Achieving the pace of CO2 emission reductions in line with the Paris Agreement is already a huge challenge, requiring large increases in efficiency and renewables investments, as well as an increase in nuclear power. This paper identifies the even-greater challenges of attempting to follow this path with much less nuclear power, including an additional USD 1.6 trillion in investment needs and 5% higher cost to consumers in advanced economies. This paper recommends several actions to governments open to nuclear power that aim to ensure existing pla</w:t>
      </w:r>
    </w:p>
    <w:p>
      <w:pPr/>
      <w:r>
        <w:rPr>
          <w:b/>
        </w:rPr>
        <w:t>POSSIBLE 2018:</w:t>
      </w:r>
      <w:r>
        <w:t xml:space="preserve"> The diplomacy of resistance: power, hegemony and nuclear disarmament — https://doi.org/10.1080/14781158.2018.1467393</w:t>
      </w:r>
    </w:p>
    <w:p>
      <w:pPr/>
      <w:r>
        <w:rPr>
          <w:b/>
        </w:rPr>
        <w:t>Shared claim-specific concepts:</w:t>
      </w:r>
      <w:r>
        <w:t xml:space="preserve"> nuclear, power, within, article; EU scope not established. This is a provisional connection, not an outcome finding.</w:t>
      </w:r>
    </w:p>
    <w:p>
      <w:pPr>
        <w:pStyle w:val="SourceNote"/>
      </w:pPr>
      <w:r>
        <w:rPr>
          <w:b/>
        </w:rPr>
        <w:t>Available abstract (not full text):</w:t>
      </w:r>
      <w:r>
        <w:t xml:space="preserve"> The humanitarian initiative for nuclear disarmament has challenged and transformed global nuclear politics. Aimed at delegitimising nuclear weapons as acceptable instruments of statecraft, the initiative has been backed by many civil society organisations and most non-nuclear-weapon states. The nuclear-weapon states, however, have opposed the initiative, accusing it of undermining the Nuclear Non-Proliferation Treaty and destabilising nuclear politics. Conceptualising a ‘diplomacy of resistance’, this article positions the humanitarian initiative as a transnational social movement and traces its development through practices of resistance and counter-resistance. Drawing on Robert Cox’s conception of resistance as counter-hegemonic and Michael Barnett and Raymond Duvall’s taxonomy of power, the article explores the nexus of power and resistance in global nuclear politics. We explain the humanitarian movement’s specific aims and practices as a function of its champion’s relative political weakness vis-à-vis the nuclear-weapon states. The movement’s coherence and effectiveness, in turn, was fostered by a coalitional logic that allowed different identities of resistance to be steered towards a nuclear ban treaty within the UN’s institutional framework.</w:t>
      </w:r>
    </w:p>
    <w:p>
      <w:pPr>
        <w:pStyle w:val="Heading2"/>
      </w:pPr>
      <w:r>
        <w:t>754.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2023:</w:t>
      </w:r>
      <w:r>
        <w:t xml:space="preserve"> Integrating the 17 SDGs into the European Green Deal, through Strategic and Financial Approaches — https://doi.org/10.21203/rs.3.rs-2697240/v1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The European Green Deal (EGD) is the growth strategy for Europe, covering multiple domains, and aiming to an equitable, carbon neutral European Union by 2050. The UN Agenda 2030, with its 17 Sustainable Development Goals (SDGs) set the bases for a global sustainability transition. However, the integration of the SDGs into the EGD is an overlooked issue in the literature, although it is particularly important, given Europe’s slow progress to achieve the sustainability targets. In this paper, 22 central policies and strategies published during 2020–21 to support the EGD's implementation are assessed on how they align with Agenda’s 2030 aspirations, using novel text-mining methodologies: one human-based and one machine-learning-based. The results outline an alignment of EGD policies to the main SDGs themes relevant to Food, Land, Oceans, Energy, but also a strong indication that the progress towards sustainability passes through "Peace, Justice, and Strong Institutions" (SDG16) and international "Partnerships for the Goals" (SDG17). We further explain the underlying policy mechanisms of the established ‘necessary transformations’ to build a sustainable Europe, along with the relevance of valuing the natural capital and integrating it into future investment and financial decisions.</w:t>
      </w:r>
    </w:p>
    <w:p>
      <w:pPr/>
      <w:r>
        <w:rPr>
          <w:b/>
        </w:rPr>
        <w:t>POSSIBLE 2022:</w:t>
      </w:r>
      <w:r>
        <w:t xml:space="preserve"> Measuring Progress towards Sustainability in the European Union within the 2030 Agenda Framework — https://doi.org/10.3390/math10122095</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The adoption of the 2030 Agenda and its 17 Sustainable Development Goals (SDGs) revived the challenge to efficiently address economic prosperity, environmental quality and social welfare goals. To fulfill such purposes, policymakers need to measure and monitor the global progress made by countries towards the achievement of the SDGs. Composite indicators have frequently been used for sustainability performance assessment in a range of areas related to Sustainable Development and recently some attempts have been made to analyze trends within the 2030 Agenda framework. The objective of this study is to propose a novel composite indicator approach to assess sustainability performance and evaluate whether progress is being made towards the SDGs. Some distinguishing features of the proposed approach involve the computation of weights for the indicators and the use of geometric average at the overall aggregation stage. The approach is applied to the evaluation of the SDGs in EU27 during the period 2010–2020 using the Eurostat SDG dataset. The results obtained suggest that all 27 Member States have progressed favorably, albeit not to the same extent, and differences between countries seem to be decreasing over the years.</w:t>
      </w:r>
    </w:p>
    <w:p>
      <w:pPr/>
      <w:r>
        <w:rPr>
          <w:b/>
        </w:rPr>
        <w:t>POSSIBLE 2021:</w:t>
      </w:r>
      <w:r>
        <w:t xml:space="preserve"> Map and Track the Performance in Education for Sustainable Development across the European Union — https://doi.org/10.3390/su132313185</w:t>
      </w:r>
    </w:p>
    <w:p>
      <w:pPr/>
      <w:r>
        <w:rPr>
          <w:b/>
        </w:rPr>
        <w:t>Shared claim-specific concepts:</w:t>
      </w:r>
      <w:r>
        <w:t xml:space="preserve"> framework, among, sustainable; EU scope visible. This is a provisional connection, not an outcome finding.</w:t>
      </w:r>
    </w:p>
    <w:p>
      <w:pPr>
        <w:pStyle w:val="SourceNote"/>
      </w:pPr>
      <w:r>
        <w:rPr>
          <w:b/>
        </w:rPr>
        <w:t>Available abstract (not full text):</w:t>
      </w:r>
      <w:r>
        <w:t xml:space="preserve"> The 17 sustainable development goals (SDG) established by 2030 Agenda cannot be achieved unless the learners are educated about sustainable development. Education for sustainable development (ESD) is a key component in preparing individuals to cope with sustainable challenges and paves the way towards a more sustainable aware society and life satisfaction. However, ESD is very complex as it depends on numerous factors and needs significant development all over the word. The paper aims to design an original and easy-to-apply framework which maps and tracks the actual performance in quality education across the European Union member states (EU27), focusing on SDG4—quality education from Agenda 30. The framework integrates three interventions—formal, non-formal, and essential education—and delivers a useful tool, a composite index, which maps and tracks the performance of the EU27 in the transition to ESD in a practical manner. The research categorizes four clusters of countries and tracks the Nordic countries of the EU27 among the high performers tier, allowing the identification of the best practices which can be spurred at European level. The findings of this paper may be used by educators, researchers, national and European authorities, and other stakeholders to monitor and accelerate progress in ESD, especially for low performers.</w:t>
      </w:r>
    </w:p>
    <w:p>
      <w:pPr/>
      <w:r>
        <w:rPr>
          <w:b/>
        </w:rPr>
        <w:t>POSSIBLE 2020:</w:t>
      </w:r>
      <w:r>
        <w:t xml:space="preserve"> Proceedings of the European Union’s Contention in the Reshaping Global Economy — https://doi.org/10.14232/eucrge.2020.proc</w:t>
      </w:r>
    </w:p>
    <w:p>
      <w:pPr/>
      <w:r>
        <w:rPr>
          <w:b/>
        </w:rPr>
        <w:t>Shared claim-specific concepts:</w:t>
      </w:r>
      <w:r>
        <w:t xml:space="preserve"> invited, rich; EU scope visible. This is a provisional connection, not an outcome finding.</w:t>
      </w:r>
    </w:p>
    <w:p>
      <w:pPr>
        <w:pStyle w:val="SourceNote"/>
      </w:pPr>
      <w:r>
        <w:rPr>
          <w:b/>
        </w:rPr>
        <w:t>Available abstract (not full text):</w:t>
      </w:r>
      <w:r>
        <w:t xml:space="preserve"> The fifth international PhD workshop at the conference entitled The European Union's Contention in the Reshaping Global Economy was planned in March 2020.Due to the pandemic situation, the organizer Faculty of Economics and Business Administration, University of Szeged had to cancel the conference just one week before the event.Unfortunately, the young researchers could not share their ideas in person, but the organizers decided to invite the registered participants to publish their research papers in the proceedings.This proceedings contains these selected and peerreviewed papers with authors coming from various doctoral schools and higher education institutions.This time we invited again papers, addressing a better understanding of the impacts of technological change, industry 4.0, the US-China trade war and changing trade relations on the economy and development inside and outside the EU.The broadly defined subject offered the possibility to the participants to concentrate on the topic, most relevant from the point of view of their theses.This is why the topics and approaches of the volume are rich and varied.The first chapter of the book include four papers and it deals with business and marketing analyzing online shopping, eating behavior, driverless cars and leadership characteristics.The next chapter analyses financial issues: monetary policy in emerging markets, banking</w:t>
      </w:r>
    </w:p>
    <w:p>
      <w:pPr/>
      <w:r>
        <w:rPr>
          <w:b/>
        </w:rPr>
        <w:t>POSSIBLE 2019:</w:t>
      </w:r>
      <w:r>
        <w:t xml:space="preserve"> Strengthening International Water Security: The European Union’s proposal — https://doi.org/10.1002/wwp2.12014</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Abstract The UN World Health Organization reports that 80% of diseases are waterborne. Bacterial, viral, and parasitic diseases like typhoid, cholera, amebiasis, poliomyelitis, hepatitis A, skin infection, and gastrointestinal are spread through polluted water. In 2013, the UN Water defined water security as “The capacity of a population to safeguard sustainable access to adequate quantities of acceptable quality water for sustaining livelihoods, human well‐being, and socio‐economic development, for ensuring protection against water‐borne pollution and water‐related disasters, and for preserving ecosystems in a climate of peace and political stability”. The notion is quite new, but it does not mean that international law does not include rules and principles relevant to water security. Compared to some other regions in the world, most people living in Europe already enjoy very good access to high‐quality drinking water, in part thanks to over 30 years of European Union legislation for ensuring drinking water quality. On February 2018, pressed by the successful result of the first European Citizens' Initiative “Right2Water,” the European Commission proposed to revise the European Union legislation for improving access to higher quality of drinking water and provide better information to citizens. Considering the latest scientific knowledge and recommendations of the World Health</w:t>
      </w:r>
    </w:p>
    <w:p>
      <w:pPr>
        <w:pStyle w:val="Heading2"/>
      </w:pPr>
      <w:r>
        <w:t>755.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r>
        <w:rPr>
          <w:b/>
        </w:rPr>
        <w:t>POSSIBLE 2020:</w:t>
      </w:r>
      <w:r>
        <w:t xml:space="preserve"> Harvesting reflective knowledge exchange for inbound open innovation in complex collaborative networks: an empirical verification in Europe — https://doi.org/10.1108/jkm-04-2020-0300</w:t>
      </w:r>
    </w:p>
    <w:p>
      <w:pPr/>
      <w:r>
        <w:rPr>
          <w:b/>
        </w:rPr>
        <w:t>Shared claim-specific concepts:</w:t>
      </w:r>
      <w:r>
        <w:t xml:space="preserve"> findings, process, period; EU scope visible. This is a provisional connection, not an outcome finding.</w:t>
      </w:r>
    </w:p>
    <w:p>
      <w:pPr>
        <w:pStyle w:val="SourceNote"/>
      </w:pPr>
      <w:r>
        <w:rPr>
          <w:b/>
        </w:rPr>
        <w:t>Available abstract (not full text):</w:t>
      </w:r>
      <w:r>
        <w:t xml:space="preserve"> Purpose This study aims to investigate the effects of open innovation (OI) and big data analytics (BDA) on reflective knowledge exchange (RKE) within the context of complex collaborative networks. Specifically, it considers the relationships between sourcing knowledge from an external environment, transferring knowledge to an external environment and adopting solutions that are useful to appropriate returns from innovation. Design/methodology/approach This study analyzes the connection between the number of patent applications and the amount of OI, as well as the association between the number of patent applications and the use of BDA. Data from firms in the 27 European Union countries were retrieved from the Eurostat database for the period 2014–2019 and were investigated using an ordinary least squares regression analysis. Findings Because of its twofold lens based on both knowledge management and OI, this study sheds light on OI collaboration modes and highlights the crucial role they could play in innovation. In particular, the results suggest that OI collaboration modes have a strong effect on innovation performance, stimulating the search for RKE. Originality/value This study furthers a deeper understanding of RKE, which is shown to be an important mechanism that incentivizes firms to increase their efforts in the innovation process. Further, RKE supports firms in taking </w:t>
      </w:r>
    </w:p>
    <w:p>
      <w:pPr/>
      <w:r>
        <w:rPr>
          <w:b/>
        </w:rPr>
        <w:t>POSSIBLE 2020:</w:t>
      </w:r>
      <w:r>
        <w:t xml:space="preserve"> Analyses of Work Efficiency of a Strawberry-Harvesting Robot in an Automated Greenhouse — https://doi.org/10.3390/agronomy10111751</w:t>
      </w:r>
    </w:p>
    <w:p>
      <w:pPr/>
      <w:r>
        <w:rPr>
          <w:b/>
        </w:rPr>
        <w:t>Shared claim-specific concepts:</w:t>
      </w:r>
      <w:r>
        <w:t xml:space="preserve"> rate, show, process, compared; EU scope not established. This is a provisional connection, not an outcome finding.</w:t>
      </w:r>
    </w:p>
    <w:p>
      <w:pPr>
        <w:pStyle w:val="SourceNote"/>
      </w:pPr>
      <w:r>
        <w:rPr>
          <w:b/>
        </w:rPr>
        <w:t>Available abstract (not full text):</w:t>
      </w:r>
      <w:r>
        <w:t xml:space="preserve"> Protected cultivation systems such as greenhouses are becoming increasingly popular globally and have been adopted because of unpredictable climatic conditions and their ability to easily control micro- and macroenvironments. However, limitations such as hazardous work environments and shortages in labor are major concerns for agricultural production using these structures. This has led to the development and adoption of robotic systems. For the efficient use of robots in protected cultivation systems, we formulate the work efficiency problem and model a three-dimensional standard strawberry greenhouse to analyze the effectiveness of a strawberry-harvesting robot compared to different levels of human workforce (experienced, average, and beginner). Simulations are conducted using Quest software to compare the efficiency of different scenarios of robotics to humans. Different methods of improvement from battery capacity and charge rate to harvesting speed are investigated and optimal conditions are recommended. The average hourly production of the robot is about five times lower than that of skilled workers. However, robots are more productive due to their ability to work around the clock. Comparative analyses show that a reduction in harvesting time per strawberry from 3 to 1 s would result in an increase in daily production from 347.93 to 1021.30 kg. This would lead to a five-f</w:t>
      </w:r>
    </w:p>
    <w:p>
      <w:pPr/>
      <w:r>
        <w:rPr>
          <w:b/>
        </w:rPr>
        <w:t>POSSIBLE 2019:</w:t>
      </w:r>
      <w:r>
        <w:t xml:space="preserve"> Estimating Sustainable Harvest Rates for European Hare (Lepus Europaeus) Populations — https://doi.org/10.3390/su11102837</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Hunting quotas are used to manage populations of game species in order to ensure sustainable exploitation. However, unpredictable climatic events may interact with hunting. We established a population model for European hares (Lepus europaeus) in Lower Austria. We compared the sustainability of voluntary quotas used by hunters—which are derived from hare-specific guidelines—with the actual numbers of hares shot and our recommended quotas for hares, which have been derived from climate and population modeling. We used population modeling based on vital rates and densities to adjust our recommended quotas in order to achieve sustainable harvest. The survival of age classes 1 and 3 had the highest impact on the population growth rate. Population viability analysis showed that a recommended quota with a harvest rate of 10% was sustainable for population densities of 45 hares/km2, and that the threshold for hunting should be raised from 10 hares/km2 so that hare populations with &lt;15 hares/km2 are not hunted. The recommended quota outperformed the voluntary hunting quota, since more hares could be harvested sustainably. Age Class 1 survival was strongly linked with weather: a single year with unfavorable weather conditions (low precipitation) negatively affected population densities. Game species, including the European hare, face increasingly frequent weather extremes due to climate</w:t>
      </w:r>
    </w:p>
    <w:p>
      <w:pPr/>
      <w:r>
        <w:rPr>
          <w:b/>
        </w:rPr>
        <w:t>POSSIBLE 2019:</w:t>
      </w:r>
      <w:r>
        <w:t xml:space="preserve"> Harvest assessment for Taiga bean geese in the Central Management Unit: 2019 — https://openalex.org/W2963762313</w:t>
      </w:r>
    </w:p>
    <w:p>
      <w:pPr/>
      <w:r>
        <w:rPr>
          <w:b/>
        </w:rPr>
        <w:t>Shared claim-specific concepts:</w:t>
      </w:r>
      <w:r>
        <w:t xml:space="preserve"> constant, harvest, rate, compared; EU scope visible. This is a provisional connection, not an outcome finding.</w:t>
      </w:r>
    </w:p>
    <w:p>
      <w:pPr>
        <w:pStyle w:val="SourceNote"/>
      </w:pPr>
      <w:r>
        <w:rPr>
          <w:b/>
        </w:rPr>
        <w:t>Available abstract (not full text):</w:t>
      </w:r>
      <w:r>
        <w:t xml:space="preserve"> In 2016 the European Goose Management International Working Group (EGM IWG) began development of an Adaptive Harvest Management (AHM) program for Taiga Bean Geese.In 2017, the IWG adopted an Interim Harvest Strategy consisting of a constant harvest rate (on adults) of 3% for the Central Management Unit (MU) of Taiga Bean Geese.The interim strategy is intended to provide limited hunting opportunity while rebuilding the population.Based on a January count of 41,927, the harvest quota for the 2019 hunting season is 1,740 Taiga Bean Geese (compared to 2,335 and 1,610 for the 2017 and 2018 seasons, respectively).We emphasize that these quotas include both, harvest during the regular season and derogation shooting.Going forward, we describe how an Integrated Population Model (IPM) will use counts at multiple times during the year, along with other demographic information, to estimate population size (and its precision).The IPM can be used to develop an adaptive harvest strategy if unambiguous management objectives can be agreed upon.We provide some initial guidance for formulating those objectives.1 This draft report is distributed solely for purposes of courtesy review and comments received will be addressed and treated as appropriate to ensure there is no conflict of interest.Its content is deliberative and pre-decisional, so it must not be disclosed or released by reviewers.Becaus</w:t>
      </w:r>
    </w:p>
    <w:p>
      <w:pPr/>
      <w:r>
        <w:rPr>
          <w:b/>
        </w:rPr>
        <w:t>POSSIBLE 2018:</w:t>
      </w:r>
      <w:r>
        <w:t xml:space="preserve"> Harvesting the Commons — https://doi.org/10.1007/s10640-018-0221-4</w:t>
      </w:r>
    </w:p>
    <w:p>
      <w:pPr/>
      <w:r>
        <w:rPr>
          <w:b/>
        </w:rPr>
        <w:t>Shared claim-specific concepts:</w:t>
      </w:r>
      <w:r>
        <w:t xml:space="preserve"> harvest, rate, findings, compared, historical; EU scope not established. This is a provisional connection, not an outcome finding.</w:t>
      </w:r>
    </w:p>
    <w:p>
      <w:pPr>
        <w:pStyle w:val="SourceNote"/>
      </w:pPr>
      <w:r>
        <w:rPr>
          <w:b/>
        </w:rPr>
        <w:t>Available abstract (not full text):</w:t>
      </w:r>
      <w:r>
        <w:t xml:space="preserve"> We study a socio-ecological model in which a continuum of consumers harvest a common property renewable natural resource. Markov perfect Nash equilibria of the corresponding non-cooperative game are derived and are compared with collectively optimal harvesting policies. The underlying mechanisms that drive open-access commons in our model are shaped by population size, harvesting costs, and the ecosystem’s productivity. If other things equal population is small relative to harvesting costs, unmanaged commons do not face destruction. More strikingly, they are harvested at the collectively optimal rate. Property rights do not matter in that parametric regime because the resource has no social scarcity value. However, if other things equal population is large relative to harvesting costs, open-access renewable natural resources suffer from the tragedy of the commons. Property rights matter there because the resource has a social scarcity price. The population size relative to harvesting costs at which the socio-ecological system bifurcates is an increasing function of the ecosystem’s productivity. A sudden crash in productivity, population overshoot, or decline in harvesting costs can tip an unmanaged common into ruin. The model provides a way to interpret historical and archaeological findings on the collapse of those societies that have been studied by scholars.</w:t>
      </w:r>
    </w:p>
    <w:p>
      <w:pPr>
        <w:pStyle w:val="Heading2"/>
      </w:pPr>
      <w:r>
        <w:t>756.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pStyle w:val="Heading2"/>
      </w:pPr>
      <w:r>
        <w:t>757.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2021:</w:t>
      </w:r>
      <w:r>
        <w:t xml:space="preserve"> Marine Citizen Science: Current State in Europe and New Technological Developments — https://doi.org/10.3389/fmars.2021.621472</w:t>
      </w:r>
    </w:p>
    <w:p>
      <w:pPr/>
      <w:r>
        <w:rPr>
          <w:b/>
        </w:rPr>
        <w:t>Shared claim-specific concepts:</w:t>
      </w:r>
      <w:r>
        <w:t xml:space="preserve"> based, current, state, project; EU scope visible. This is a provisional connection, not an outcome finding.</w:t>
      </w:r>
    </w:p>
    <w:p>
      <w:pPr>
        <w:pStyle w:val="SourceNote"/>
      </w:pPr>
      <w:r>
        <w:rPr>
          <w:b/>
        </w:rPr>
        <w:t>Available abstract (not full text):</w:t>
      </w:r>
      <w:r>
        <w:t xml:space="preserve"> Marine citizen science is emerging with promising opportunities for science, policy and public but there is still no comprehensive overview of the current state in Europe. Based on 127 projects identified for the North Sea area we estimate there might be as much as 500 marine and coastal citizen science projects running in Europe, i.e., one marine citizen science project per ∼85 km of coastline, with an exponential growth since 1990. Beach-based projects are more accessible and hence most popular (60% of the projects), and the mean duration of the projects is 18–20 years. Current trends, topics, organizers, aims, and types of programme in terms of participation are presented in this overview. Progress in marine citizen science is specially enabled and promoted through technological developments. Recent technological advances and best practise examples are provided here, untapping the potential of smart mobile apps, do-it-yourself (DIY) technologies, drones, and artificial intelligence (AI) web services.</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2020:</w:t>
      </w:r>
      <w:r>
        <w:t xml:space="preserve"> Current state of perinatal postmortem magnetic resonance imaging: European Society of Paediatric Radiology questionnaire-based survey and recommendations — https://doi.org/10.1007/s00247-020-04905-9</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Postmortem magnetic resonance imaging (MRI) in perinatal and childhood deaths is increasingly used as a noninvasive adjunct or alternative to autopsy. Imaging protocols vary between centres and consensus guidelines do not exist. OBJECTIVE: Our aim was to develop practical, standardised recommendations for perinatal postmortem MRI. MATERIALS AND METHODS: Recommendations were based on the results of two surveys regarding local postmortem MRI practices sent electronically to all 14 members of the European Society of Paediatric Radiology (ESPR) Postmortem Imaging Task Force and 17 members of the International Society of Forensic Radiology and Imaging Task Force (25 different centres). RESULTS: Overall, 11/14 (78.6%) respondents from different institutions perform postmortem MRI. All of these centres perform postmortem MRI for perinatal and neonatal deaths, but only 6/11 (54.5%) perform imaging in older children. CONCLUSION: We propose a clinical standard for postmortem MRI sequences plus optional sequences for neuroimaging and cardiac anatomy depending on available scanning time and referral indications.</w:t>
      </w:r>
    </w:p>
    <w:p>
      <w:pPr/>
      <w:r>
        <w:rPr>
          <w:b/>
        </w:rPr>
        <w:t>POSSIBLE 2019:</w:t>
      </w:r>
      <w:r>
        <w:t xml:space="preserve"> BASED ON MATERIALS FROM THE 28TH CONGRESS OF THE EUROPEAN ACADEMY OF DERMATOLOGY AND VENEREOLOGY, OCTOBER 9-13, 2019, MADRID, VITILIGO, SPAIN. THE CURRENT STATE OF THE PROBLEM — https://doi.org/10.17816/dv42948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Failure or progress?: The current state of the professionalisation of midwifery in Europe — https://doi.org/10.18332/ejm/115038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INTRODUCTION: Throughout Europe midwives called for increasing professionalisation of midwifery during the 1980s and 1990s. While the Bologna Declaration, in 1999, supported this development in education and research, it remains unclear how other fields, such as practice, have fared so far. This study therefore aimed to explore the current state of professionalisation of midwifery in Europe. METHODS: An exploratory inquiry was conducted with an on-line semi-structured questionnaire. Its content was based on the Greenwood sociological criteria for a profession. Descriptive statistics and thematic content analysis were used to analyse the data. Participants were national delegates from member countries to the European Midwives Association. RESULTS: Delegates from 29 European countries took part. In most countries, progress towards professionalisation of midwifery has been made through the move of education into higher education, coupled with opportunities for postgraduate education and research. Lack of progress was noted, in particular in regard to midwifery practice, regulation, and leadership in health care provision and education. Most countries had a code of ethics for midwives as well as a midwifery association. Based on organisational collaborations with other disciplines, the sustainability of a distinct professional culture was unclear. An increased focus on future devel</w:t>
      </w:r>
    </w:p>
    <w:p>
      <w:pPr>
        <w:pStyle w:val="Heading2"/>
      </w:pPr>
      <w:r>
        <w:t>758.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r>
        <w:rPr>
          <w:b/>
        </w:rPr>
        <w:t>POSSIBLE 2023:</w:t>
      </w:r>
      <w:r>
        <w:t xml:space="preserve"> Working Conditions in Legal Aid — https://doi.org/10.5040/9781509957835.ch-004</w:t>
      </w:r>
    </w:p>
    <w:p>
      <w:pPr/>
      <w:r>
        <w:rPr>
          <w:b/>
        </w:rPr>
        <w:t>Shared claim-specific concepts:</w:t>
      </w:r>
      <w:r>
        <w:t xml:space="preserve"> aid, informed; EU scope visible. This is a provisional connection, not an outcome finding.</w:t>
      </w:r>
    </w:p>
    <w:p>
      <w:pPr>
        <w:pStyle w:val="SourceNote"/>
      </w:pPr>
      <w:r>
        <w:rPr>
          <w:b/>
        </w:rPr>
        <w:t>Available abstract (not full text):</w:t>
      </w:r>
      <w:r>
        <w:t xml:space="preserve"> Robert K Merton , ' On Sociological Th eories of the Middle Range ' , in Robert K Merton , On Th eoretical Sociology: Five Essays, Old and New ( Free Press , 1967 ) as cited by Martha A Fineman , ' Vulnerability and Social Justice ' ( 2019 ) 53 Valparaiso University Law Review 341 .18 Of course, it is entirely possible to consider the working conditions of legal aid lawyers through the kind of grand theory that is the apotheosis of a middle range theory.For example, Newman (2016) has elsewhere considered criminal legal aid lawyers applying perhaps the most famous grand theory of all, Marx and Engels ' historical materialism, particularly drawing out the notion of alienation.Powerful as a grand theory approach such as Marxism might be in providing impactful accounts of the issues faced by these lawyers in their practice, this chapter is informed by an approach that foregrounds the experiences of the lawyers to help give a fl avour of the reality of their working conditions.In doing so, it is hoped that an understanding of this lived reality will be valuable in informing broader debates, both later in this book and more widely amongst those who read it.See further Daniel Newman , ' Are Lawyers Alienated Workers ?' ( 2016 ) 22 European Journal of Current Legal Issues 1 .However, they go on to note that: Austerity justice under-funding key institutions such as the police and legal </w:t>
      </w:r>
    </w:p>
    <w:p>
      <w:pPr/>
      <w:r>
        <w:rPr>
          <w:b/>
        </w:rPr>
        <w:t>POSSIBLE 2023:</w:t>
      </w:r>
      <w:r>
        <w:t xml:space="preserve"> The Ethics of Food Aid and Famine Relief — https://doi.org/10.1093/oso/9780197744727.003.0004</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Abstract Peter Singer’s 1972 article “Famine, Affluence and Morality” set the stage for philosophical debate over food security and international development policy for a half century. Paired with articles criticizing the impact of food aid programs, philosophy professors approached the problem in terms of whether better-off people have an obligation to give aid. Though initially focused on food aid, the trend has been to subsume Singer’s original focus on famine relief with a more general emphasis on ending poverty. These analyses ignore aspects of hunger that are ethically significant, as well as facts about the structure and operation of international assistance operations and their use of agricultural commodities. As argued in From Field to Fork, food aid can be damaging to local producers, who are often among the most vulnerable members of their respective societies. However, this does not subvert Singer’s original argument, which was focused on a food emergency, rather than poverty relief. Indeed, we should maintain Singer’s early focus on food, supporting food aid in response to both natural and human-caused emergencies. Programs to promote economic and social development are more complex and must be subjected to more extensive and empirically informed ethical analysis.</w:t>
      </w:r>
    </w:p>
    <w:p>
      <w:pPr/>
      <w:r>
        <w:rPr>
          <w:b/>
        </w:rPr>
        <w:t>POSSIBLE 2020:</w:t>
      </w:r>
      <w:r>
        <w:t xml:space="preserve"> State Aid for Independent News Journalism in the Public Interest? A Critical Debate of Government Funding Models and Principles, the Market Failure Paradigm, and Policy Efficacy — https://doi.org/10.1080/21670811.2020.1732227</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This study critically reviews scholarly debates on state aid for independent, professional news journalism in the public interest, its funding models and principles, the market failure paradigm, and policy efficacy. State aid is handed out by government agencies which believe that their support can help independent, professional journalism thrive in the digital, mobile, and platform-dominated future. Government support mainly comes as direct financial grants or indirect tax offsets. It aims at engendering economic opportunity and prosperity, while safeguarding journalistic independence and quality of output. Ideally, this shall foster the production, distribution and consumption of original and high-quality news in the public interest, which, in turn, shall keep people informed, facilitate public debate, and hold power to account. Still, this study finds arguments that government funding models for independent journalism in the public interest are limited by several critical challenges that endanger their principles, do not avert failure in the news media market and prevent effective policy governance. These deficits may even be exacerbated in the digital era.</w:t>
      </w:r>
    </w:p>
    <w:p>
      <w:pPr/>
      <w:r>
        <w:rPr>
          <w:b/>
        </w:rPr>
        <w:t>POSSIBLE 2020:</w:t>
      </w:r>
      <w:r>
        <w:t xml:space="preserve"> The Millenium Challenge Corporation – A Case Study of Foreign Aid as an Instrument of US Foreign Policy — https://openalex.org/W3042742112</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Although foreign aid has been an important component of US foreign policy for many years, it has nevertheless been a constant source of debate and controversy. Academics offer differing views with respect to both its motivations and effectiveness. In addition, there has been considerable evolution in thinking as to the nature of reforms that recipient countries should prioritize to achieve sustainable development. This paper discusses these issues in the context of the Millennium Challenge Corporation, which was established in 2004. More specifically, the paper discusses the extent to which the approach taken by the MCC has been informed not only by the longstanding debates regarding the utility of US foreign aid but also by the lessons learned during previous major foreign aid initiatives, including the Marshall Plan and the Alliance for Progress. Drawing on both the academic literature and historical experiences, the paper focuses on key aspects of the MCC approach that are designed, among other things, to both de-politicize the aid eligibility process and ensure adequate country ownership. The paper uses two country case studies – Benin and the Philippines – to assess how this approach has been applied in practice. The overall conclusion highlights what may seem as a contradiction: although it is inevitable that one of the motivations of US foreign aid is political, the exte</w:t>
      </w:r>
    </w:p>
    <w:p>
      <w:pPr/>
      <w:r>
        <w:rPr>
          <w:b/>
        </w:rPr>
        <w:t>POSSIBLE 2018:</w:t>
      </w:r>
      <w:r>
        <w:t xml:space="preserve"> Oxfam crisis: we need a more informed debate about NGOs and international aid — https://openalex.org/W2883252415</w:t>
      </w:r>
    </w:p>
    <w:p>
      <w:pPr/>
      <w:r>
        <w:rPr>
          <w:b/>
        </w:rPr>
        <w:t>Shared claim-specific concepts:</w:t>
      </w:r>
      <w:r>
        <w:t xml:space="preserve"> aid, informed, debate, sector; EU scope not established. This is a provisional connection, not an outcome finding.</w:t>
      </w:r>
    </w:p>
    <w:p>
      <w:pPr>
        <w:pStyle w:val="SourceNote"/>
      </w:pPr>
      <w:r>
        <w:rPr>
          <w:b/>
        </w:rPr>
        <w:t>Available abstract (not full text):</w:t>
      </w:r>
      <w:r>
        <w:t xml:space="preserve"> Few would say that the alleged behaviour of aid workers in the Oxfam sexual exploitation scandal is acceptable. But the nature of the criticism that has followed these revelations, including government threats to cut Oxfam's funding, is driven more by politics than genuine understanding of the sector, explains David Lewis.</w:t>
      </w:r>
    </w:p>
    <w:p>
      <w:pPr>
        <w:pStyle w:val="Heading2"/>
      </w:pPr>
      <w:r>
        <w:t>759.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r>
        <w:rPr>
          <w:b/>
        </w:rPr>
        <w:t>POSSIBLE 2022:</w:t>
      </w:r>
      <w:r>
        <w:t xml:space="preserve"> The Politics Of Infrastructural Provision in Rural Areas of Oyo State Nigeria — https://doi.org/10.57054/asr.v26i1.3992</w:t>
      </w:r>
    </w:p>
    <w:p>
      <w:pPr/>
      <w:r>
        <w:rPr>
          <w:b/>
        </w:rPr>
        <w:t>Shared claim-specific concepts:</w:t>
      </w:r>
      <w:r>
        <w:t xml:space="preserve"> infrastructure, provision, over; EU scope not established. This is a provisional connection, not an outcome finding.</w:t>
      </w:r>
    </w:p>
    <w:p>
      <w:pPr>
        <w:pStyle w:val="SourceNote"/>
      </w:pPr>
      <w:r>
        <w:rPr>
          <w:b/>
        </w:rPr>
        <w:t>Available abstract (not full text):</w:t>
      </w:r>
      <w:r>
        <w:t xml:space="preserve"> Over the years, rural service delivery is often subjected to political players and less of the rural public interest. The study examined rural people experiences of local government rural LGAs of Oyo state, Nigeria. The concept of governance provides the conceptual balance for this study. The study made use of a mixed approach for data collection, qualitative and quantitative tools of questionnaire and in-depth interview respectively. Two hundred and fifty (250) rural households across six (6) LGAs were administered questionnaire randomly from the purposively identified rural local government areas. Study revealed that infrastructure politicking is a challenge that limits sustainable rural facility delivery. This is because infrastructures such as water infrastructure, school buildings and drainage construction were provided based on political affiliation. Over half of the respondents consider rural governance not to be participatory and inclusive towards rural development. The study recommends that democratic local government autonomy remains the feasible and responsive solution to efficient service delivery in the local space.</w:t>
      </w:r>
    </w:p>
    <w:p>
      <w:pPr/>
      <w:r>
        <w:rPr>
          <w:b/>
        </w:rPr>
        <w:t>POSSIBLE 2021:</w:t>
      </w:r>
      <w:r>
        <w:t xml:space="preserve"> The sustainability of infrastructure provision of Montongsari Tourism Village Kendal — https://doi.org/10.1088/1755-1315/871/1/012010</w:t>
      </w:r>
    </w:p>
    <w:p>
      <w:pPr/>
      <w:r>
        <w:rPr>
          <w:b/>
        </w:rPr>
        <w:t>Shared claim-specific concepts:</w:t>
      </w:r>
      <w:r>
        <w:t xml:space="preserve"> infrastructure, provision, improving; EU scope not established. This is a provisional connection, not an outcome finding.</w:t>
      </w:r>
    </w:p>
    <w:p>
      <w:pPr>
        <w:pStyle w:val="SourceNote"/>
      </w:pPr>
      <w:r>
        <w:rPr>
          <w:b/>
        </w:rPr>
        <w:t>Available abstract (not full text):</w:t>
      </w:r>
      <w:r>
        <w:t xml:space="preserve"> Montongsari is one of the pilot tourism villages in the superior program of Kendal Regency to create village independence through tourism activities. However, the available infrastructure is still limited. This article aims to identify the sustainability of the provision of infrastructure as the main factor in tourism village development. Qualitative methods are used in this research, with data collection techniques through in-depth interviews and observation. In-depth interviews were carried out by asking village officials, and community leaders to gather information from tourism actors on the problems related to infrastructure and prioritizing infrastructure provision physically and spatially. Additionally, observations are conducted simultaneously to confirm the data. This research found that access to the tourism area is the most significant factor, followed by the provision of drainage to prevent flood hazards in tourist areas. The result also shows the strong role of community participation in the construction of bridges as the main access to improving the community's economy. The role and collaboration of stakeholders are needed in providing infrastructure to support the economic improvement of residents in the form of tourism activities.</w:t>
      </w:r>
    </w:p>
    <w:p>
      <w:pPr/>
      <w:r>
        <w:rPr>
          <w:b/>
        </w:rPr>
        <w:t>POSSIBLE 2021:</w:t>
      </w:r>
      <w:r>
        <w:t xml:space="preserve"> The state of play in electric vehicle charging services – A review of infrastructure provision, players, and policies — https://doi.org/10.1016/j.rser.2021.111733</w:t>
      </w:r>
    </w:p>
    <w:p>
      <w:pPr/>
      <w:r>
        <w:rPr>
          <w:b/>
        </w:rPr>
        <w:t>Shared claim-specific concepts:</w:t>
      </w:r>
      <w:r>
        <w:t xml:space="preserve"> infrastructure, provision, find, uptake; EU scope not established. This is a provisional connection, not an outcome finding.</w:t>
      </w:r>
    </w:p>
    <w:p>
      <w:pPr>
        <w:pStyle w:val="SourceNote"/>
      </w:pPr>
      <w:r>
        <w:rPr>
          <w:b/>
        </w:rPr>
        <w:t>Available abstract (not full text):</w:t>
      </w:r>
      <w:r>
        <w:t xml:space="preserve"> This paper reviews the market for electric vehicle (EV) charging infrastructure; it focuses on the types of existing charging, the main functions and actors in the market and the future policy actions required for widespread expansion. Electric vehicles represent a key technology in the mitigation of transportation greenhouse gas emissions and ambitious EV adoption targets have been set by many governments by 2030 and beyond. The rollout of EV charging infrastructure is vital in achieving this goal, as the uptake of EVs is linked to the level of coverage of EV chargers. To date, both the public and private sectors have been involved in the provision of charging stations and it is timely to consider the roles of the different actors in this market. We consider whether EV charging infrastructure is a public good or private asset and address the issues of the location of future chargers, the deployment models needed to develop, operate and own charging infrastructure, and finally the policy context for the development of charging infrastructure. We find that clear roles should be assigned to the individual public and private actors and funders, in order to achieve efficient development of the required infrastructure for large-scale EV deployment.</w:t>
      </w:r>
    </w:p>
    <w:p>
      <w:pPr/>
      <w:r>
        <w:rPr>
          <w:b/>
        </w:rPr>
        <w:t>POSSIBLE 2020:</w:t>
      </w:r>
      <w:r>
        <w:t xml:space="preserve"> INFRASTRUCTURE PROVISION OF THE AGRARIAN MARKET IN THE GLOBALIZED ENVIRONMENT — https://doi.org/10.30525/2256-0742/2019-5-5-39-46</w:t>
      </w:r>
    </w:p>
    <w:p>
      <w:pPr/>
      <w:r>
        <w:rPr>
          <w:b/>
        </w:rPr>
        <w:t>Shared claim-specific concepts:</w:t>
      </w:r>
      <w:r>
        <w:t xml:space="preserve"> infrastructure, provision; EU scope not established. This is a provisional connection, not an outcome finding.</w:t>
      </w:r>
    </w:p>
    <w:p>
      <w:pPr>
        <w:pStyle w:val="SourceNote"/>
      </w:pPr>
      <w:r>
        <w:rPr>
          <w:b/>
        </w:rPr>
        <w:t>Available abstract (not full text):</w:t>
      </w:r>
      <w:r>
        <w:t xml:space="preserve"> The main results of the research, which consist in determining the essence and features of the infrastructure provision of the agrarian market in the globalized environment, are formed. The priority of approaches in the development of logistics activities in the context of guaranteeing food security of regions and countries of the world is determined. The essence of the logistic process, strengthening the influence of the global market on the quality of agrarian products, is determined. The influence of the infrastructure provision of the agrarian market on the competitive positions of commodity producers is generalized, advantages and disadvantages in development are determined. The essence of informational logistics, its influence on the development of infrastructure provision of agricultural products market, satisfaction of consumers’ needs is investigated. The urgency of the introduction of e-commerce, which allows commodity producers to combine marketing activities with optimization of advertising costs, to ensure the efficiency and convenience of carrying out operations for the sale of agricultural products, its transportation, manage all logistics processes. It is proved that improvement of the infrastructure provision of the agrarian market of the world countries that adapts to the global market should be based on the dissemination of information opportunities, and the </w:t>
      </w:r>
    </w:p>
    <w:p>
      <w:pPr/>
      <w:r>
        <w:rPr>
          <w:b/>
        </w:rPr>
        <w:t>POSSIBLE 2020:</w:t>
      </w:r>
      <w:r>
        <w:t xml:space="preserve"> Infrastructure Provision as a Catalyst for Local Economic Development in South Africa — https://doi.org/10.35293/srsa.v42i1.198</w:t>
      </w:r>
    </w:p>
    <w:p>
      <w:pPr/>
      <w:r>
        <w:rPr>
          <w:b/>
        </w:rPr>
        <w:t>Shared claim-specific concepts:</w:t>
      </w:r>
      <w:r>
        <w:t xml:space="preserve"> infrastructure, provision, other, over; EU scope not established. This is a provisional connection, not an outcome finding.</w:t>
      </w:r>
    </w:p>
    <w:p>
      <w:pPr>
        <w:pStyle w:val="SourceNote"/>
      </w:pPr>
      <w:r>
        <w:rPr>
          <w:b/>
        </w:rPr>
        <w:t>Available abstract (not full text):</w:t>
      </w:r>
      <w:r>
        <w:t xml:space="preserve"> Throughout the era of the apartheid, the provision and accessibility of infrastructure in South Africa was skewed, and while the minority had access, the majority was overlooked. Local economic development (LED) has rested on the premise that the availability of infrastructure is likely to spur socio-economic development and to lift millions of South Africans out of poverty. However, with South Africa’s economy struggling to register consistent growth, there are difficulties accessing the much-needed finances needed to invest in infrastructure to spur LED. The study that this paper reflects upon used a qualitative research method and a systematic review of the literature relating to infrastructure provision and local economic development. It utilised thematic content analysis to deduce its findings with the hope of bringing in meaning to the overall content of the paper. The study revealed that indeed infrastructure provision is key to local economic development, that South Africa’s infrastructure provision is still skewed as urban areas continue receiving priority over rural areas; that local economic development is key in reducing inequality and spurring economic growth and sustaining the livelihoods of rural dwellers. However, limited investments in infrastructure in rural areas hinder the realization of such benefits. It recommends that the government prioritise LED in rura</w:t>
      </w:r>
    </w:p>
    <w:p>
      <w:pPr/>
      <w:r>
        <w:rPr>
          <w:b/>
        </w:rPr>
        <w:t>POSSIBLE 2019:</w:t>
      </w:r>
      <w:r>
        <w:t xml:space="preserve"> Implementing Green Infrastructure in Spatial Planning in Europe — https://doi.org/10.3390/land8040062</w:t>
      </w:r>
    </w:p>
    <w:p>
      <w:pPr/>
      <w:r>
        <w:rPr>
          <w:b/>
        </w:rPr>
        <w:t>Shared claim-specific concepts:</w:t>
      </w:r>
      <w:r>
        <w:t xml:space="preserve"> infrastructure, important;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r>
        <w:rPr>
          <w:b/>
        </w:rPr>
        <w:t>POSSIBLE 2018:</w:t>
      </w:r>
      <w:r>
        <w:t xml:space="preserve"> Unlocking Land Markets and Infrastructure Provision — https://doi.org/10.1057/978-1-137-59792-2_4</w:t>
      </w:r>
    </w:p>
    <w:p>
      <w:pPr/>
      <w:r>
        <w:rPr>
          <w:b/>
        </w:rPr>
        <w:t>Shared claim-specific concepts:</w:t>
      </w:r>
      <w:r>
        <w:t xml:space="preserve"> infrastructure, provision, important, but; EU scope not established. This is a provisional connection, not an outcome finding.</w:t>
      </w:r>
    </w:p>
    <w:p>
      <w:pPr>
        <w:pStyle w:val="SourceNote"/>
      </w:pPr>
      <w:r>
        <w:rPr>
          <w:b/>
        </w:rPr>
        <w:t>Available abstract (not full text):</w:t>
      </w:r>
      <w:r>
        <w:t xml:space="preserve"> Abstract This chapter focuses on the challenges and opportunities related to the provision of land and infrastructure for affordable housing. It drills down on three key challenges impeding the supply of affordable housing in Africa: poor land governance and weak management systems; the multiplicity of conflicting land tenure regimes; and the rapid growth of low-density, informal residential developments, leading to urban sprawl in peri-urban areas. The chapter also argues that the provision of basic infrastructure, especially transport infrastructure, not only shapes cities, but is also an important determinant of housing affordability, particularly for low-income families.</w:t>
      </w:r>
    </w:p>
    <w:p>
      <w:pPr/>
      <w:r>
        <w:rPr>
          <w:b/>
        </w:rPr>
        <w:t>POSSIBLE 2017:</w:t>
      </w:r>
      <w:r>
        <w:t xml:space="preserve"> Infrastructure provision — https://doi.org/10.4337/9781785366192.00008</w:t>
      </w:r>
    </w:p>
    <w:p>
      <w:pPr/>
      <w:r>
        <w:rPr>
          <w:b/>
        </w:rPr>
        <w:t>Shared claim-specific concepts:</w:t>
      </w:r>
      <w:r>
        <w:t xml:space="preserve"> infrastructure, provision, but; EU scope visible. This is a provisional connection, not an outcome finding.</w:t>
      </w:r>
    </w:p>
    <w:p>
      <w:pPr>
        <w:pStyle w:val="SourceNote"/>
      </w:pPr>
      <w:r>
        <w:rPr>
          <w:b/>
        </w:rPr>
        <w:t>Available abstract (not full text):</w:t>
      </w:r>
      <w:r>
        <w:t xml:space="preserve"> This introductory chapter begins by considering the infrastructure challenge posed by what former US Treasury Secretary Larry Summers calls the ‘Age of Secular Stagnation’ and International Monetary Fund managing director Christine Lagarde terms the ‘new mediocre of growth’. Both advocate increased infrastructure spending as the solution, but there are considerable differences between infrastructure policies in three of the largest economies. After decades of neglect, the United States and even Germany are saddled with once advanced, but increasingly outmoded infrastructure assets, while China keeps on building and has become an exemplar of modern urban transit, with ports, expressways, railways, subways, airports, and by far the world’s largest high-speed rail network. Nevertheless, a 2016 Oxford study challenges the efficacy of China’s infrastructure-led growth strategy. Upon examination, however, their study has serious defects and, contrary to their arguments, China’s infrastructure megaprojects appear less wasteful than those authors claim, and they have laid the foundations for Chinese growth, supported by a later case study.</w:t>
      </w:r>
    </w:p>
    <w:p>
      <w:pPr>
        <w:pStyle w:val="Heading2"/>
      </w:pPr>
      <w:r>
        <w:t>760.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r>
        <w:rPr>
          <w:b/>
        </w:rPr>
        <w:t>POSSIBLE 2022:</w:t>
      </w:r>
      <w:r>
        <w:t xml:space="preserve"> Does Value Lead to Loyalty? Exploring the Important Role of the Tourist–Destination Relationship — https://doi.org/10.3390/bs12050136</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The perceived value of a tourist's trip, representing a trade-off between costs and benefits of travelling to a destination, can exert a significant influence on tourists' loyalty, which is a main concern for managers of tourist destinations. However, the mechanism between the destination value and tourist loyalty remains unexplored, especially in the new context of relationship marketing. To advance the understanding of the mechanism, we introduced 3 variables of "tourist-destination relationship", namely place attachment (PA), destination trust (DT) and tourist satisfaction (TS), combined with perceived value (PV) and tourist loyalty (TL), and therefore constructed the conceptual model. Taking the Hangzhou City of China as an example, the conceptual model was fitted and tested using the structural equation model (SEM). The results show that: (1) PV can directly and positively affect TS and DT respectively, while there was no significant effect of PV on PA; (2) TS and DT can directly and positively influence TL, but the effect of PA on TL has not been supported empirically; (3) PV has a significant positive effect on TL; and (4) there are internal relationship among the 3 variables measuring the tourist-destination relationship, in other words, TS can significantly affects PA, DT respectively, and DT has a significant positive effect on PA. The findings of this study provide e</w:t>
      </w:r>
    </w:p>
    <w:p>
      <w:pPr/>
      <w:r>
        <w:rPr>
          <w:b/>
        </w:rPr>
        <w:t>POSSIBLE 2021:</w:t>
      </w:r>
      <w:r>
        <w:t xml:space="preserve"> Exploring Sparsity in Image Super-Resolution for Efficient Inference — https://doi.org/10.1109/cvpr46437.2021.00488</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Current CNN-based super-resolution (SR) methods process all locations equally with computational resources being uniformly assigned in space. However, since missing details in low-resolution (LR) images mainly exist in regions of edges and textures, less computational resources are required for those flat regions. Therefore, existing CNN-based methods involve redundant computation in flat regions, which increases their computational cost and limits their applications on mobile devices. In this paper, we explore the sparsity in image SR to improve inference efficiency of SR networks. Specifically, we develop a Sparse Mask SR (SMSR) network to learn sparse masks to prune redundant computation. Within our SMSR, spatial masks learn to identify "important" regions while channel masks learn to mark redundant channels in those "unimportant" regions. Consequently, redundant computation can be accurately localized and skipped while maintaining comparable performance. It is demonstrated that our SMSR achieves state-of-the-art performance with 41%/33%/27% FLOPs being reduced for ×2/3/4 SR. Code is available at: https://github.com/LongguangWang/SMSR.</w:t>
      </w:r>
    </w:p>
    <w:p>
      <w:pPr/>
      <w:r>
        <w:rPr>
          <w:b/>
        </w:rPr>
        <w:t>POSSIBLE 2021:</w:t>
      </w:r>
      <w:r>
        <w:t xml:space="preserve"> Exploring Maieutic Instruction — https://doi.org/10.4018/978-1-7998-7172-9.ch006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General views of the Socratic Method consist of it being a dialectical exchange based on probing questions concerning a topic. While this definition may prove practical, it may not do justice to the broad nature and practice of the instructional strategy. It is, therefore, equally important to explore how maieutic questioning grounds the Socratic Method as a viable instructional strategy. By realizing the maieutic process as giving birth to discoveries, educationists and students are given a clearer framework in implementing the Socratic Method in educational experiences. In further elucidating this claim, this chapter first draws from the maieutic practice found in Plato's dialogues. Second, the chapter explores research on maieutic questioning in teaching and learning experiences. Lastly, a recognition of both Socrates' original maieutic practice and the modern conception of it are advanced as strategies educationists can implement in their courses.</w:t>
      </w:r>
    </w:p>
    <w:p>
      <w:pPr/>
      <w:r>
        <w:rPr>
          <w:b/>
        </w:rPr>
        <w:t>POSSIBLE 2020:</w:t>
      </w:r>
      <w:r>
        <w:t xml:space="preserve"> Exploring the value of augmented reality for tourism — https://doi.org/10.1016/j.tmp.2020.100672</w:t>
      </w:r>
    </w:p>
    <w:p>
      <w:pPr/>
      <w:r>
        <w:rPr>
          <w:b/>
        </w:rPr>
        <w:t>Shared claim-specific concepts:</w:t>
      </w:r>
      <w:r>
        <w:t xml:space="preserve"> therefore, important, explore, different; EU scope not established. This is a provisional connection, not an outcome finding.</w:t>
      </w:r>
    </w:p>
    <w:p>
      <w:pPr>
        <w:pStyle w:val="SourceNote"/>
      </w:pPr>
      <w:r>
        <w:rPr>
          <w:b/>
        </w:rPr>
        <w:t>Available abstract (not full text):</w:t>
      </w:r>
      <w:r>
        <w:t xml:space="preserve"> Augmented reality (AR) is increasingly used as a marketing, information and experience channel within the tourism industry. However, little is known with regards to the actual value of AR for the tourism industry, with most research still in its infancy. Therefore, the aim of this paper is to explore the perceived value of AR for the tourism industry from the perspective of tourism experts. Using a qualitative and exploratory approach, this study conducted fifteen interviews with tourism experts in order to explore tourism specific AR value dimensions. Interviews were analysed using thematic analysis. This study revealed five value dimensions including marketing, economic, tourist, epistemic and organisational. Commonalities and differences between different perspectives are discussed. These findings provide important implications for strategy development, AR implementation, and tourist experience design.</w:t>
      </w:r>
    </w:p>
    <w:p>
      <w:pPr/>
      <w:r>
        <w:rPr>
          <w:b/>
        </w:rPr>
        <w:t>POSSIBLE 2020:</w:t>
      </w:r>
      <w:r>
        <w:t xml:space="preserve"> Exploring Children’s Views on Important Park Features: A Qualitative Study Using Walk-Along Interviews — https://doi.org/10.3390/ijerph17134625</w:t>
      </w:r>
    </w:p>
    <w:p>
      <w:pPr/>
      <w:r>
        <w:rPr>
          <w:b/>
        </w:rPr>
        <w:t>Shared claim-specific concepts:</w:t>
      </w:r>
      <w:r>
        <w:t xml:space="preserve"> therefore, important, lives; EU scope not established. This is a provisional connection, not an outcome finding.</w:t>
      </w:r>
    </w:p>
    <w:p>
      <w:pPr>
        <w:pStyle w:val="SourceNote"/>
      </w:pPr>
      <w:r>
        <w:rPr>
          <w:b/>
        </w:rPr>
        <w:t>Available abstract (not full text):</w:t>
      </w:r>
      <w:r>
        <w:t xml:space="preserve"> Parks are places where children can interact with others and engage in physical activity in a natural setting. Park visits can enhance children’s social, mental, and physical health. It is therefore important to better understand how parks can be designed to ensure optimal use by children. This qualitative study explored children’s perceptions of park features that may influence their park visits, park-based physical activity, and social interaction. Qualitative walk-along interviews were completed with 30 children (mean age 9.7 years (SD 1.3), female n = 16) in nine parks located in varying socioeconomic areas of Melbourne, Australia. As they walked through the park, children shared thoughts regarding characteristics that may influence their visitation, park-based physical activity, and social interactions. Features that would encourage visitation included: challenging and interesting play equipment; a pond and water play area; trees/greenery and shade; and full-sized basketball courts. Features most valued for physical activity included: sports courts, ovals, and equipment; open space; trees to climb; and nature/rocks. Features most valued for social interaction included: a large size; playgrounds; and picnic areas. Children offer unique and important views. Park designers should consider inclusion of these features, when (re)developing parks to support children to lead healt</w:t>
      </w:r>
    </w:p>
    <w:p>
      <w:pPr/>
      <w:r>
        <w:rPr>
          <w:b/>
        </w:rPr>
        <w:t>POSSIBLE 2020:</w:t>
      </w:r>
      <w:r>
        <w:t xml:space="preserve"> Exploring influential factors affecting guest satisfaction — https://doi.org/10.1108/jhtt-07-2018-0054</w:t>
      </w:r>
    </w:p>
    <w:p>
      <w:pPr/>
      <w:r>
        <w:rPr>
          <w:b/>
        </w:rPr>
        <w:t>Shared claim-specific concepts:</w:t>
      </w:r>
      <w:r>
        <w:t xml:space="preserve"> therefore, important, explore, affect; EU scope not established. This is a provisional connection, not an outcome finding.</w:t>
      </w:r>
    </w:p>
    <w:p>
      <w:pPr>
        <w:pStyle w:val="SourceNote"/>
      </w:pPr>
      <w:r>
        <w:rPr>
          <w:b/>
        </w:rPr>
        <w:t>Available abstract (not full text):</w:t>
      </w:r>
      <w:r>
        <w:t xml:space="preserve"> Purpose Electronic word of mouth in the form of user-generated content (UGC) in social media plays an important role in influencing customer decision-making and enhancing service providers’ brand images, sales and service innovations. While few research studies have explored real content generated by hotel guests in social media, business analytics techniques are still not widely seen in the literature and how such techniques can be deployed to benefit hoteliers has not been fully explored. Thus, this study aims to explore the significant factors that affect hotel guest satisfaction via UGC and business analytics and also to showcase the use of business analytics tools for both the hospitality industry and the academic world. Design/methodology/approach This study uses big data and business analytics techniques. Big data and business analytics enable hoteliers to develop effective and efficient strategies improving products and services for guest satisfaction. Therefore, this study analyzes 200,431 hotel reviews on Tripadvisor.com through business analytics to explore and assess the significant factors affecting guest satisfaction. Findings The findings show that service, room and value evaluations are the top-three factors affecting overall guests’ satisfaction. While brand type and negative emotions are negatively associated with guests’ satisfaction, all other factors consid</w:t>
      </w:r>
    </w:p>
    <w:p>
      <w:pPr/>
      <w:r>
        <w:rPr>
          <w:b/>
        </w:rPr>
        <w:t>POSSIBLE 2018:</w:t>
      </w:r>
      <w:r>
        <w:t xml:space="preserve"> Exploring Indigenous participation – why is it important? — https://doi.org/10.4324/9781351239820-2</w:t>
      </w:r>
    </w:p>
    <w:p>
      <w:pPr/>
      <w:r>
        <w:rPr>
          <w:b/>
        </w:rPr>
        <w:t>Shared claim-specific concepts:</w:t>
      </w:r>
      <w:r>
        <w:t xml:space="preserve"> therefore, important, society; EU scope not established. This is a provisional connection, not an outcome finding.</w:t>
      </w:r>
    </w:p>
    <w:p>
      <w:pPr>
        <w:pStyle w:val="SourceNote"/>
      </w:pPr>
      <w:r>
        <w:rPr>
          <w:b/>
        </w:rPr>
        <w:t>Available abstract (not full text):</w:t>
      </w:r>
      <w:r>
        <w:t xml:space="preserve"> 9 It is uncontroversial that there is a wealth of valuable knowledge held by Indigenous people about natural resource management. As noted in the 1987 report of the World Commission on Environment and Development, Our Common Future : [Indigenous] communities are the repositories of vast accumulations of traditional knowledge and experience that links humanity with its ancient origins. Their disappearance is a loss for the larger society, which could learn a great deal from their traditional skills in sustainably managing very complex ecological systems. 1 More specific to water management, and in light of the case studies in this book, Australia’s National Water Commission acknowledged in 2012 that: Indigenous Australians have managed their lands and waters sustainably for thousands of generations. Through their spiritual, cultural and customary connections to the landscape, they have acquired a deep knowledge and understanding of Australia’s water systems. 2 Despite the devastating effects of colonisation, many Indigenous Australians still hold valuable knowledge of ecosystem management, 3 as do Indigenous people in other colonised countries. It is therefore vitally important that Indigenous people are able to maintain and use their knowledge by participating in water management decision-making processes.</w:t>
      </w:r>
    </w:p>
    <w:p>
      <w:pPr/>
      <w:r>
        <w:rPr>
          <w:b/>
        </w:rPr>
        <w:t>POSSIBLE 2017:</w:t>
      </w:r>
      <w:r>
        <w:t xml:space="preserve"> Feature Extraction and K-means Clustering Approach to Explore Important Features of Urban Identity — https://doi.org/10.1109/icmla.2017.00015</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Public spaces play an important role in the processes of formation, generation and change of urban identity. Under present day conditions, the identities of cities are rapidly deteriorating and vanishing. Therefore, the importance of urban design, which is a means of designing urban spaces and their physical and social aspects, is ever growing. This paper proposes a novel methodology by using Principle Component Analysis (PCA) and K-means clustering approach to find important features of the urban identity from public space. K. Lynch's work and Space Syntax theory are reconstructed and integrated with POI (Points of Interest) to quantify the quality of the public space. A case study of Zürich city is used to test of these redefinitions and features of urban identity. The results show that PCA and K-means clustering approach can identify the urban identity and explore important features. This strategy could help to improve planning and design processes and generation of new urban patterns with more appropriate features and qualities.</w:t>
      </w:r>
    </w:p>
    <w:p>
      <w:pPr>
        <w:pStyle w:val="Heading2"/>
      </w:pPr>
      <w:r>
        <w:t>761.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pStyle w:val="Heading2"/>
      </w:pPr>
      <w:r>
        <w:t>762.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however, even, though, use;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The Expiry of Humira® Market Exclusivity and the Entry of Adalimumab Biosimilars in Europe: An Overview of Pricing and National Policy Measures — https://doi.org/10.3389/fphar.2020.591134</w:t>
      </w:r>
    </w:p>
    <w:p>
      <w:pPr/>
      <w:r>
        <w:rPr>
          <w:b/>
        </w:rPr>
        <w:t>Shared claim-specific concepts:</w:t>
      </w:r>
      <w:r>
        <w:t xml:space="preserve"> however, even, though, use, available; EU scope visible. This is a provisional connection, not an outcome finding.</w:t>
      </w:r>
    </w:p>
    <w:p>
      <w:pPr>
        <w:pStyle w:val="SourceNote"/>
      </w:pPr>
      <w:r>
        <w:rPr>
          <w:b/>
        </w:rPr>
        <w:t>Available abstract (not full text):</w:t>
      </w:r>
      <w:r>
        <w:t xml:space="preserve"> Background: From October 2018, adalimumab biosimilars could enter the European market. However, in some countries, such as Netherlands, high discounts reported for the originator product may have influenced biosimilar entry. Objectives: The aim of this paper is to provide a European overview of (list) prices of originator adalimumab, before and after loss of exclusivity; to report changes in the reimbursement status of adalimumab products; and discuss relevant policy measures. Methods: Experts in European countries received a survey consisting of three parts: 1) general financing/co-payment of medicines, 2) reimbursement status and prices of originator adalimumab, and availability of biosimilars, and 3) policy measures related to the use of adalimumab. Results: In May 2019, adalimumab biosimilars were available in 24 of the 30 countries surveyed. Following introduction of adalimumab biosimilars, a number of countries have made changes in relation to the reimbursement status of adalimumab products. Originator adalimumab list prices varied between countries by a factor of 2.8 before and 4.1 after loss of exclusivity. Overall, list prices of originator adalimumab decreased after loss of exclusivity, although for 13 countries list prices were unchanged. When reported, discounts/rebates on originator adalimumab after loss of exclusivity ranged from 0% to approximately 26% (Romania),</w:t>
      </w:r>
    </w:p>
    <w:p>
      <w:pPr/>
      <w:r>
        <w:rPr>
          <w:b/>
        </w:rPr>
        <w:t>POSSIBLE 2021:</w:t>
      </w:r>
      <w:r>
        <w:t xml:space="preserve"> Governing the European Intelligence: Multilateral Intelligence Cooperation in the European Union — https://doi.org/10.53451/ijps.900302</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Since intelligence is an essential part of national security, a high volume of cooperation in this area is not expected. An assessment of the literature shows that there are several obstacles to intelligence cooperation. More precisely, states are reluctant to involve in intelligence cooperation because of trust factors and other factors such as bureaucratic culture and resistance, regime type, lack of normative motivation and shared identities. Even if they are compelled to cooperate, they prefer bilateral intelligence cooperation. However, due to the globalization of national security threats in the last two decades, intelligence organizations are currently obliged to cooperate multilaterally even though they do not prefer to do so. Multilateral intelligence cooperation within the European Union is a unique example of relatively successful multilateral intelligence cooperation. On the one hand, official European intelligence agencies INTCEN and Europol provide the legal framework of intelligence cooperation among the Union. On the other hand, informal channels such as the Club of Berne are also proven useful for the EU’s intelligence cooperation. We argue that the relative success of European intelligence cooperation derives from at least three factors. These are institutionalized demand for intelligence governance, the delegated authority of the members of the EU’s (epistemi</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however, even, though, available, become;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A grid-based map for the Biogeographical Regions of Europe — https://doi.org/10.3897/bdj.8.e53720</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BACKGROUND: Biogeographical units are widely adopted in ecological research and nature conservation management, even though biogeographical regionalisation is still under scientific debate. The European Environment Agency provided an official map of the European Biogeographical Regions (EBRs), which contains the official boundaries used in the Habitats and Birds Directives. However, these boundaries bisect cells in the official EU 10 km × 10 km grid used for many purposes, including reporting species and habitat data, meaning that 6881 cells overlap two or more regions. Therefore, superimposing the EBRs vector map over the grid creates ambiguities in associating some cells with European Biogeographical Regions. NEW INFORMATION: To provide an operational tool to unambiguously define the boundaries of the eleven European Biogeographical Regions, we provide a specifically developed raster map of Grid-Based European Biogeographical Regions (GB-EBRs). In this new map, the borders of the EBRs are reshaped to coherently match the standard European 10 km × 10 km grid imposed for reporting tasks by Article 17 of the Habitats Directive and used for many other datasets. We assign each cell to the EBR with the largest area within the cell.</w:t>
      </w:r>
    </w:p>
    <w:p>
      <w:pPr/>
      <w:r>
        <w:rPr>
          <w:b/>
        </w:rPr>
        <w:t>POSSIBLE 2020:</w:t>
      </w:r>
      <w:r>
        <w:t xml:space="preserve"> An assessment of attitudes towards plastics and bioplastics in Europe — https://doi.org/10.1016/j.scitotenv.2020.142732</w:t>
      </w:r>
    </w:p>
    <w:p>
      <w:pPr/>
      <w:r>
        <w:rPr>
          <w:b/>
        </w:rPr>
        <w:t>Shared claim-specific concepts:</w:t>
      </w:r>
      <w:r>
        <w:t xml:space="preserve"> even, though, limited, use, become;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2019:</w:t>
      </w:r>
      <w:r>
        <w:t xml:space="preserve"> Long-term health impact assessment of total PM2.5 in Europe during the 1990–2015 period — https://doi.org/10.1016/j.aeaoa.2019.100032</w:t>
      </w:r>
    </w:p>
    <w:p>
      <w:pPr/>
      <w:r>
        <w:rPr>
          <w:b/>
        </w:rPr>
        <w:t>Shared claim-specific concepts:</w:t>
      </w:r>
      <w:r>
        <w:t xml:space="preserve"> however, even, though, available; EU scope visible. This is a provisional connection, not an outcome finding.</w:t>
      </w:r>
    </w:p>
    <w:p>
      <w:pPr>
        <w:pStyle w:val="SourceNote"/>
      </w:pPr>
      <w:r>
        <w:rPr>
          <w:b/>
        </w:rPr>
        <w:t>Available abstract (not full text):</w:t>
      </w:r>
      <w:r>
        <w:t xml:space="preserve"> Several datasets of PM 2.5 concentrations over Europe during the 1990–2015 period, were used to calculate health impacts from chronic exposure to total particle matter below 2.5 μm (i.e. PM 2.5 ). The datasets used in the analysis include the European Topic Centre on Air Pollution and Climate Change Mitigation (ETC/ACM), the Copernicus Atmospheric Monitoring Service (CAMS), the Global Burden of Disease (GBD), the World Health Organization (WHO) as well as the EURODELTA-Trends (EDT) multi-model reanalysis developed specifically for Europe. The exposure to ambient PM 2.5 concentrations was calculated as population weighted annual average PM 2.5 concentrations by country. The calculated exposure to PM 2.5 was later used as input in the health impact assessment (HIA) Alpha-RiskPoll (ARP) tool to retrieve the total number of premature deaths. Our results indicate a substantial reduction in the number of premature deaths from PM 2.5 exposure in Europe over the 1990–2010 period, between nearly 30 and 50%. Putting all the data-sets together, even if they do not cover the whole period, a decrease of even around 60% is observed between 1990 and 2015. For the countries included in this study, the estimated number of premature deaths from PM 2.5 in 1990 was found to be around 960 000 (median of all the available datasets), whereas in 2015 it was found to be around 445 000. However, the var</w:t>
      </w:r>
    </w:p>
    <w:p>
      <w:pPr/>
      <w:r>
        <w:rPr>
          <w:b/>
        </w:rPr>
        <w:t>POSSIBLE 2018:</w:t>
      </w:r>
      <w:r>
        <w:t xml:space="preserve"> Gender and opinion–policy congruence in Europe — https://doi.org/10.1017/s1755773918000140</w:t>
      </w:r>
    </w:p>
    <w:p>
      <w:pPr/>
      <w:r>
        <w:rPr>
          <w:b/>
        </w:rPr>
        <w:t>Shared claim-specific concepts:</w:t>
      </w:r>
      <w:r>
        <w:t xml:space="preserve"> however, even, though, important; EU scope visible. This is a provisional connection, not an outcome finding.</w:t>
      </w:r>
    </w:p>
    <w:p>
      <w:pPr>
        <w:pStyle w:val="SourceNote"/>
      </w:pPr>
      <w:r>
        <w:rPr>
          <w:b/>
        </w:rPr>
        <w:t>Available abstract (not full text):</w:t>
      </w:r>
      <w:r>
        <w:t xml:space="preserve"> Does public policy in Europe reflect women’s preferences equally well as men’s? This study compares the opinions of women and men with concrete policy on a set of 20 issues across a diverse range of policy areas in 31 European countries. It shows that the majorities of men and women frequently prefer the same policy. However, when they disagree, men’s preferences are more likely to be represented. Neither the proportion of women in parliament nor the left–right orientation of the government explains variation in women’s policy representation. Instead, a higher number of parliamentary parties increase the likelihood that policy reflects women’s views. This effect does not seem to be driven by left-libertarian politics or Green parties, even though women’s stronger support for ‘new politics’ issues is an important source of disagreement between men and women.</w:t>
      </w:r>
    </w:p>
    <w:p>
      <w:pPr>
        <w:pStyle w:val="Heading2"/>
      </w:pPr>
      <w:r>
        <w:t>763.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2020:</w:t>
      </w:r>
      <w:r>
        <w:t xml:space="preserve"> Analysed data from interviews on FAIR-enabling services — https://doi.org/10.5281/zenodo.4293787</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Within FAIRsFAIR task 2.4, we carried out five semi-structured interviews with data service owners to understand how services currently support the FAIR principles, what are transferable insights and recommendations, and what are common challenges and pitfalls. This document collects the insights captured from the interviews. This work has been used as input for the basic framework on FAIRness of services developed by FAIRsFAIR task 2.4 (see https://doi.org/10.5281/zenodo.4292599).</w:t>
      </w:r>
    </w:p>
    <w:p>
      <w:pPr/>
      <w:r>
        <w:rPr>
          <w:b/>
        </w:rPr>
        <w:t>POSSIBLE 2017:</w:t>
      </w:r>
      <w:r>
        <w:t xml:space="preserve"> Exploring Determinants of Patient Adherence to a Portal-Supported Oncology Rehabilitation Program: Interview and Data Log Analyses — https://doi.org/10.2196/rehab.6294</w:t>
      </w:r>
    </w:p>
    <w:p>
      <w:pPr/>
      <w:r>
        <w:rPr>
          <w:b/>
        </w:rPr>
        <w:t>Shared claim-specific concepts:</w:t>
      </w:r>
      <w:r>
        <w:t xml:space="preserve"> data, interviews, stimulate; EU scope not established. This is a provisional connection, not an outcome finding.</w:t>
      </w:r>
    </w:p>
    <w:p>
      <w:pPr>
        <w:pStyle w:val="SourceNote"/>
      </w:pPr>
      <w:r>
        <w:rPr>
          <w:b/>
        </w:rPr>
        <w:t>Available abstract (not full text):</w:t>
      </w:r>
      <w:r>
        <w:t xml:space="preserve"> BACKGROUND: Telemedicine applications often do not live up to their expectations and often fail once they have reached the operational phase. OBJECTIVE: The objective of this study was to explore the determinants of patient adherence to a blended care rehabilitation program, which includes a Web portal, from a patient's perspective. METHODS: Patients were enrolled in a 12-week oncology rehabilitation treatment supported by a Web portal that was developed in cooperation with patients and care professionals. Semistructured interviews were used to analyze thought processes and behavior concerning patient adherence and portal use. Interviews were conducted with patients close to the start and the end of the treatment. Besides, usage data from the portal were analyzed to gain insights into actual usage of the portal. RESULTS: A total of 12 patients participated in the first interview, whereas 10 participated in the second round of interviews. Furthermore, portal usage of 31 patients was monitored. On average, 11 persons used the portal each week, with a maximum of 20 in the seventh week and a drop toward just one person in the weeks in the follow-up period of the treatment. From the interviews, it was derived that patients' behavior in the treatment and use of the portal was primarily determined by extrinsic motivation cues (eg, stimulation by care professionals and patient group), </w:t>
      </w:r>
    </w:p>
    <w:p>
      <w:pPr>
        <w:pStyle w:val="Heading2"/>
      </w:pPr>
      <w:r>
        <w:t>764.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Gastrointestinal cancers in China, the USA, and Europe — https://doi.org/10.1093/gastro/goab010</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Gastrointestinal (GI) cancers, including colorectal cancer, gastric cancer, and esophageal cancer, are a major medical and economic burden worldwide and have the largest number of new cancer cases and cancer deaths each year. Esophageal and gastric cancers are most common in developing countries, while colorectal cancer forms the major GI malignancy in Western countries. However, a great shift in the predominant GI-cancer type is happening in countries under economically transitioning and, at the same time, esophageal and gastric cancers are reigniting in Western countries due to the higher exposure to certain risk factors. The development of all GI cancers is highly associated with lifestyle habits and all can be detected by identified precancerous diseases. Thus, they are all suitable for cancer screening. Here, we review the epidemiological status of GI cancers in China, the USA, and Europe; the major risk factors and their distribution in these regions; and the current screening strategies.</w:t>
      </w:r>
    </w:p>
    <w:p>
      <w:pPr/>
      <w:r>
        <w:rPr>
          <w:b/>
        </w:rPr>
        <w:t>POSSIBLE 2021:</w:t>
      </w:r>
      <w:r>
        <w:t xml:space="preserve"> Current and projected regional economic impacts of heatwaves in Europe — https://doi.org/10.1038/s41467-021-26050-z</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thus, develop, here;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2019:</w:t>
      </w:r>
      <w:r>
        <w:t xml:space="preserve"> Seeds of good anthropocenes: developing sustainability scenarios for Northern Europe — https://doi.org/10.1007/s11625-019-00714-8</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Scenario development helps people think about a broad variety of possible futures; however, the global environmental change community has thus far developed few positive scenarios for the future of the planet and humanity.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 By starting from existing, but marginal initiatives, as well as current trends, we were able to identify system characteristics that may play a key role in sustainability transitions (e.g., gender issues, inequity, governance, behavioral change) that are currently under-explored in global environmental scenarios. We suggest that this approach could be applied in other places to experiment further with the methodology and its potential applications, and to explore what transitions to desirables futures might be like in different places.</w:t>
      </w:r>
    </w:p>
    <w:p>
      <w:pPr/>
      <w:r>
        <w:rPr>
          <w:b/>
        </w:rPr>
        <w:t>POSSIBLE 2019:</w:t>
      </w:r>
      <w:r>
        <w:t xml:space="preserve"> Building national emission inventories of toxic pollutants in Europe — https://doi.org/10.1016/j.envint.2019.03.077</w:t>
      </w:r>
    </w:p>
    <w:p>
      <w:pPr/>
      <w:r>
        <w:rPr>
          <w:b/>
        </w:rPr>
        <w:t>Shared claim-specific concepts:</w:t>
      </w:r>
      <w:r>
        <w:t xml:space="preserve"> thus, here, harmonized, coupled, assessment; EU scope visible. This is a provisional connection, not an outcome finding.</w:t>
      </w:r>
    </w:p>
    <w:p>
      <w:pPr>
        <w:pStyle w:val="SourceNote"/>
      </w:pPr>
      <w:r>
        <w:rPr>
          <w:b/>
        </w:rPr>
        <w:t>Available abstract (not full text):</w:t>
      </w:r>
      <w:r>
        <w:t xml:space="preserve"> The reduction of chemical pollution is a priority in many regional, national, and international policies, including in EU countries. To effectively do so, quantified overviews of pollutant emissions at national levels and with some granularity in their sources, are required. However, current monitoring efforts are often scattered and a quantitative and comprehensive inventory of toxic emissions in Europe is lacking. Toxic pollutants stem from a large variety of emission sources from industry, agriculture, households, etc. and the difficulty to cover all of them is manifest in public databases and official reports, where data gaps across countries and years exist for several substances. Here, we propose a methodology to tackle this problem and build comprehensive and harmonized national inventories of toxic pollutants. Using public databases, official reports, scientific literature and developing extrapolation techniques specific to each emission source, we derived harmonized annual inventories of toxic pollutants in all EU Member States over the years 2000-2014. They present an unprecedented coverage of 805, 572, and 468 substances emitted to air, water and soil, respectively. Although the resulting dataset shows a relatively good agreement with previous inventories of narrower scopes, uncertainties can be identified for specific emission sources and in the development of extra</w:t>
      </w:r>
    </w:p>
    <w:p>
      <w:pPr/>
      <w:r>
        <w:rPr>
          <w:b/>
        </w:rPr>
        <w:t>POSSIBLE 2018:</w:t>
      </w:r>
      <w:r>
        <w:t xml:space="preserve"> Drivers of Irrational Use of Antibiotics in Europe — https://doi.org/10.3390/ijerph16010027</w:t>
      </w:r>
    </w:p>
    <w:p>
      <w:pPr/>
      <w:r>
        <w:rPr>
          <w:b/>
        </w:rPr>
        <w:t>Shared claim-specific concepts:</w:t>
      </w:r>
      <w:r>
        <w:t xml:space="preserve"> here, general;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r>
        <w:rPr>
          <w:b/>
        </w:rPr>
        <w:t>POSSIBLE 2017:</w:t>
      </w:r>
      <w:r>
        <w:t xml:space="preserve"> The need for harmonisation and innovation of neuropsychological assessment in neurodegenerative dementias in Europe: consensus document of the Joint Program for Neurodegenerative Diseases Working Group — https://doi.org/10.1186/s13195-017-0254-x</w:t>
      </w:r>
    </w:p>
    <w:p>
      <w:pPr/>
      <w:r>
        <w:rPr>
          <w:b/>
        </w:rPr>
        <w:t>Shared claim-specific concepts:</w:t>
      </w:r>
      <w:r>
        <w:t xml:space="preserve"> thus, here, framework, assessment, general; EU scope visible. This is a provisional connection, not an outcome finding.</w:t>
      </w:r>
    </w:p>
    <w:p>
      <w:pPr>
        <w:pStyle w:val="SourceNote"/>
      </w:pPr>
      <w:r>
        <w:rPr>
          <w:b/>
        </w:rPr>
        <w:t>Available abstract (not full text):</w:t>
      </w:r>
      <w:r>
        <w:t xml:space="preserve"> Cognitive, behavioural, and functional assessment is crucial in longitudinal studies of neurodegenerative dementias (NDD). Central issues, such as the definition of the study population (asymptomatic, at risk, or individuals with dementia), the detection of change/decline, and the assessment of relevant outcomes depend on quantitative measures of cognitive, behavioural, and functional status.Currently, we are far from having available reliable protocols and tools for the assessment of dementias in Europe. The main problems are the heterogeneity of the tools used across different European countries, the lack of standardisation of administration and scoring methods across centres, and the limited information available about the psychometric properties of many tests currently in widespread use. This situation makes it hard to compare results across studies carried out in different centres, thus hampering research progress, in particular towards the contribution to a "big data" common data set.We present here the results of a project funded by the Joint Program for Neurodegenerative Diseases (JPND) and by the Italian Ministry of Health. The project aimed at providing a consensus framework for the harmonisation of assessment tools to be applied to research in neurodegenerative disorders affecting cognition across Europe. A panel of European experts reviewed the current methods of ne</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develop, here, climate, framework, physical;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pStyle w:val="Heading2"/>
      </w:pPr>
      <w:r>
        <w:t>765.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2022:</w:t>
      </w:r>
      <w:r>
        <w:t xml:space="preserve"> Key factors for successful uptake of biosimilars: Europe and the US — https://doi.org/10.5639/gabij.2022.1103.018</w:t>
      </w:r>
    </w:p>
    <w:p>
      <w:pPr/>
      <w:r>
        <w:rPr>
          <w:b/>
        </w:rPr>
        <w:t>Shared claim-specific concepts:</w:t>
      </w:r>
      <w:r>
        <w:t xml:space="preserve"> key, via, also; EU scope visible. This is a provisional connection, not an outcome finding.</w:t>
      </w:r>
    </w:p>
    <w:p>
      <w:pPr>
        <w:pStyle w:val="SourceNote"/>
      </w:pPr>
      <w:r>
        <w:rPr>
          <w:b/>
        </w:rPr>
        <w:t>Available abstract (not full text):</w:t>
      </w:r>
      <w:r>
        <w:t xml:space="preserve"> Introduction: Biosimilars were first introduced in Europe in 2006 and then in the US in 2015. An online webinar on the successful uptake in Europe and the US was held to discuss measures taken for improving biosimilar uptake, and trends in uptake. Methods: The webinar was held by the Alliance for Safe Biologic Medicines (ASBM) in collaboration with Generics and Biosimilars Initiative (GaBI) on 29 June 2022. It consisted of a number of expert speaker presentations followed by a Q&amp;A with the panel and the audience also had the opportunity to ask questions online throughout the webinar. Results: Presentations discussed key elements contributing to the wide uptake of biosimilars in Europe and the US and physicians’ trust in prescribing and switching of biosimilars. Further details of the presentations were discussed during the Q&amp;A and clarifications made via the concurrent online Q&amp;A. Conclusion: The webinar enabled in-depth discussion of the current status of biosimilar adoption in Europe and the US. It was highlighted that, although the US adopted biosimilars at a later date, their uptake is starting to rival that of Europe. Aspects of forced switching policies in Canada and Australia were also discussed.</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r>
        <w:rPr>
          <w:b/>
        </w:rPr>
        <w:t>POSSIBLE 2018:</w:t>
      </w:r>
      <w:r>
        <w:t xml:space="preserve"> Human trafficking for labour exploitation: the results of a two-phase systematic review mapping the European evidence base and synthesising key scientific research evidence — https://doi.org/10.1007/s11292-017-9321-3</w:t>
      </w:r>
    </w:p>
    <w:p>
      <w:pPr/>
      <w:r>
        <w:rPr>
          <w:b/>
        </w:rPr>
        <w:t>Shared claim-specific concepts:</w:t>
      </w:r>
      <w:r>
        <w:t xml:space="preserve"> key, conclusions, limited, sectors, also; EU scope visible. This is a provisional connection, not an outcome finding.</w:t>
      </w:r>
    </w:p>
    <w:p>
      <w:pPr>
        <w:pStyle w:val="SourceNote"/>
      </w:pPr>
      <w:r>
        <w:rPr>
          <w:b/>
        </w:rPr>
        <w:t>Available abstract (not full text):</w:t>
      </w:r>
      <w:r>
        <w:t xml:space="preserve"> OBJECTIVES: Our objectives were (1) to systematically map the contours of the European evidence base on labour trafficking, identifying its key characteristics, coverage, gaps, strengths and weaknesses and (2) to synthesise key scientific research. METHODS: We took a two-phase approach: a systematic map followed by a detailed synthesis of key scientific research evidence. Our search strategy included 15 databases, hand searches of additional journals, backwards searches, snowball searches and expert recommendations. We identified and screened 6106 records, mapped 152 and synthesised eight. RESULTS: Overall, the literature was limited and fragmented. Reports produced by official agencies dominated; academic authorship and peer-reviewed outputs were comparatively rare. Few publications met minimum scientific standards. Qualitative designs outweighed quantitative ones. Publications typically described trafficking's problem profile and/or discussed interventions; they rarely assessed trafficking's impacts or evaluated interventions. Even among the key scientific research, the quality of evidence was variable and often low. Particular weaknesses included poor methods reporting, unclear or imprecise results and conclusions not properly grounded in the data. The synthesised studies were all exploratory, also sharing other design features. Common themes identified included: poor treatm</w:t>
      </w:r>
    </w:p>
    <w:p>
      <w:pPr/>
      <w:r>
        <w:rPr>
          <w:b/>
        </w:rPr>
        <w:t>POSSIBLE 2017:</w:t>
      </w:r>
      <w:r>
        <w:t xml:space="preserve"> Key drivers for market penetration of biosimilars in Europe — https://doi.org/10.1080/20016689.2016.1272308</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&amp; Objectives: Potential drivers and barriers of biosimilar uptake were mainly analysed through qualitative approaches. The study objective was to conduct a quantitative analysis and identify drivers of biosimilar uptake of all available biosimilars in the European Union (EU). Methods: A three-step process was established to identify key drivers for the uptake of biosimilars in the top 10 EU member states (MS) pharmaceutical markets (Belgium, France, Germany, Greece, Hungary, Italy, Poland, Spain, Sweden, and the UK): (1) literature review to identify incentive policies in place to enhance biosimilars adoption; (2) assessment of biosimilar market dynamics based on database analysis; (3) regression model analysis on price using the following explicative variables: incentive policies; price difference between the biosimilar and the originator product; distribution channel; generic uptake and generic price cut; pharmaceutical expenditure per capita; and market competition. Results: At the study cut-off date, 20 biosimilars were available on the market. Incentive policies applied to biosimilars were found to be heterogeneous across countries, and uptakes of biosimilars were also very heterogeneous between different therapeutic classes and countries. Results from the model demonstrated that incentive policies and the date of first biosimilar market entry were correlated to</w:t>
      </w:r>
    </w:p>
    <w:p>
      <w:pPr>
        <w:pStyle w:val="Heading2"/>
      </w:pPr>
      <w:r>
        <w:t>766.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r>
        <w:rPr>
          <w:b/>
        </w:rPr>
        <w:t>POSSIBLE 2022:</w:t>
      </w:r>
      <w:r>
        <w:t xml:space="preserve"> INFLUENCE OF THE EUROPEAN INTEGRATION ON LINGUISTIC ASPECTS — https://doi.org/10.52058/2786-6165-2022-4(4)-8-21</w:t>
      </w:r>
    </w:p>
    <w:p>
      <w:pPr/>
      <w:r>
        <w:rPr>
          <w:b/>
        </w:rPr>
        <w:t>Shared claim-specific concepts:</w:t>
      </w:r>
      <w:r>
        <w:t xml:space="preserve"> factors, influence, between, federation, significant, union; EU scope visible. This is a provisional connection, not an outcome finding.</w:t>
      </w:r>
    </w:p>
    <w:p>
      <w:pPr>
        <w:pStyle w:val="SourceNote"/>
      </w:pPr>
      <w:r>
        <w:rPr>
          <w:b/>
        </w:rPr>
        <w:t>Available abstract (not full text):</w:t>
      </w:r>
      <w:r>
        <w:t xml:space="preserve"> The article deals with factors of linguistic integration and the role of the European Union in these processes.The issue of the influence of English loanwords on the Ukrainian linguistic picture of the world is under consideration.Linguistic policy aimed at preserving national identity acts as an opposition to integration.The European choice of Ukraine is conditioned by the awareness of integration as a factor contributing to state independence, national security, political stability, economic development, intellectual progress, and restoration of the country's European essence.The topic of language in modern conditions is significant and interesting within various disciplines of social and humanitarian knowledge: linguistics, sociolinguistics, ethnolinguistics, pedagogy and psychology, sociology, political science, ethnopolitical science.Language is a dominant factor in the development of any society.Ukraine's acquisition of associate membership in the European Federation of National Language Institutes (EFNIL) will significantly strengthen the position of the Ukrainian language as the state language and contribute to its prospective use as a mandatory language in EU countries.The main importance of linguistic identity is one of the key factors in the formation of a single political community capable of developing a common national course, the clear and consistent observance o</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influence, between, significant;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Comparison of factors influencing liquidity of European Islamic and conventional banks — https://doi.org/10.24136/oc.2021.013</w:t>
      </w:r>
    </w:p>
    <w:p>
      <w:pPr/>
      <w:r>
        <w:rPr>
          <w:b/>
        </w:rPr>
        <w:t>Shared claim-specific concepts:</w:t>
      </w:r>
      <w:r>
        <w:t xml:space="preserve"> factors, influence, due; EU scope visible. This is a provisional connection, not an outcome finding.</w:t>
      </w:r>
    </w:p>
    <w:p>
      <w:pPr>
        <w:pStyle w:val="SourceNote"/>
      </w:pPr>
      <w:r>
        <w:rPr>
          <w:b/>
        </w:rPr>
        <w:t>Available abstract (not full text):</w:t>
      </w:r>
      <w:r>
        <w:t xml:space="preserve"> Research background: The innovation in Shar??ah-compliant banking products has resulted in the rapidly increasing size of assets in Islamic banks worldwide. The assets of such banks have been growing twice as fast as those of conventional banks. Islamic banks do not depend on conventional interest, speculation, or complex derivatives stemming from banking operations. Instead, their actions in respect of profit/risk sharing, and the clarity of the contract are consistent with Islamic Shar??ah principles, which seek to promote a more equal society. Purpose of the article: This research aims to identify and compare factors influencing the liquidity of Islamic and conventional banks in Europe. Candidate factors are sought amongst profitability, credit quality, credit expansion and capital adequacy indicators. Methodology: First, relevant financial ratios for 249 observations on Islamic banks and 2,306 observations on conventional banks are selected and compared for the period 2013?2017. Second, liquidity is explained separately for each type of banks by panel data regression to identify its determinants in a comparative context. Findings &amp; value added: The results indicate that the impact of the net interest margin on the liquidity ratio of Islamic banks is insignificant, which is obviously due to the prohibition of the use of interest (riba). To the contrary, in conventional banki</w:t>
      </w:r>
    </w:p>
    <w:p>
      <w:pPr/>
      <w:r>
        <w:rPr>
          <w:b/>
        </w:rPr>
        <w:t>POSSIBLE 2020:</w:t>
      </w:r>
      <w:r>
        <w:t xml:space="preserve"> Factors Influencing Adoption of Sustainable Farming Practices in Europe: A Systemic Review of Empirical Literature — https://doi.org/10.3390/su12229719</w:t>
      </w:r>
    </w:p>
    <w:p>
      <w:pPr/>
      <w:r>
        <w:rPr>
          <w:b/>
        </w:rPr>
        <w:t>Shared claim-specific concepts:</w:t>
      </w:r>
      <w:r>
        <w:t xml:space="preserve"> factors, influence, land, between; EU scope visible. This is a provisional connection, not an outcome finding.</w:t>
      </w:r>
    </w:p>
    <w:p>
      <w:pPr>
        <w:pStyle w:val="SourceNote"/>
      </w:pPr>
      <w:r>
        <w:rPr>
          <w:b/>
        </w:rPr>
        <w:t>Available abstract (not full text):</w:t>
      </w:r>
      <w:r>
        <w:t xml:space="preserve"> Modern practices of industrial farming, such as mineral fertilization, caused a widespread degradation of agricultural land and water bodies in Europe. Different farm management strategies exist to reduce the impact of mineral fertilization while preserving soil productivity. The aim of this paper is to provide a thorough systemic review of contemporary literature exploring factors and conditions affecting EU farmers’ adoption of sustainable farming practices. The specific focus is on widely adopted and empirically explored measures, such as organic farming, manure treatment technologies and manure fertilization, as well as soil and water conservation methods. In total, 23 peer-reviewed studies were extracted by means of Google Scholar covering the time period between 2003 and 2019. The main findings show that farmers’ environmental and economic attitudes in addition to their sources of information have a strong effect on the adoption of organic farming, although there is a lack of evidence of their impact on adopting manure treatment and conservation measures. Similarly, farmers’ age and education are found to systemically influence organic farming adoption, but not adoption of other reviewed technologies. While other factors, such as farm physical characteristics or technological attributes, may be important determinants of adoption, it is hard to recognize definite patterns </w:t>
      </w:r>
    </w:p>
    <w:p>
      <w:pPr/>
      <w:r>
        <w:rPr>
          <w:b/>
        </w:rPr>
        <w:t>POSSIBLE 2020:</w:t>
      </w:r>
      <w:r>
        <w:t xml:space="preserve"> European Regional Airport: Factors Influencing Efficency — https://doi.org/10.2478/ttj-2020-0017</w:t>
      </w:r>
    </w:p>
    <w:p>
      <w:pPr/>
      <w:r>
        <w:rPr>
          <w:b/>
        </w:rPr>
        <w:t>Shared claim-specific concepts:</w:t>
      </w:r>
      <w:r>
        <w:t xml:space="preserve"> factors, number, traffic, trend, due; EU scope visible. This is a provisional connection, not an outcome finding.</w:t>
      </w:r>
    </w:p>
    <w:p>
      <w:pPr>
        <w:pStyle w:val="SourceNote"/>
      </w:pPr>
      <w:r>
        <w:rPr>
          <w:b/>
        </w:rPr>
        <w:t>Available abstract (not full text):</w:t>
      </w:r>
      <w:r>
        <w:t xml:space="preserve"> Abstract During the recent decade a lot of research has been focused on identification of the importance of regional airport for the local economy and the measuring and predicting of the airport’s efficiency. With regard to individual airport planning it turns out that airports are not free in the optimization of infrastructure due the need to comply international aviation standards and recommended practices, one the one hand, and the tendency of air transportation system development including aircraft design and airlines’ fleet development, on the other. Furthermore, it is also important to take into account the specificity of each particular airport, including the traffic variability resulting from seasonality, with the airport’s mission geared to it. We found, tha t one of the reasons for the relatively low efficiency of regional airports, given the general trend in the growth in the number of seats for narrow-body aircraft. Likewise, it has been found, that the seasonality of air traffic at regional airports is comparatively high. In addition, this paper spotlights the ways the theoretical model of returns to scale affects the efficiency of the apron of the regional airport and briefly discusses the different interpretations of the definition of regional airport.</w:t>
      </w:r>
    </w:p>
    <w:p>
      <w:pPr/>
      <w:r>
        <w:rPr>
          <w:b/>
        </w:rPr>
        <w:t>POSSIBLE 2020:</w:t>
      </w:r>
      <w:r>
        <w:t xml:space="preserve"> Cultural Influences on Fruit and Vegetable Food-Wasting Behavior in the European Union — https://doi.org/10.3390/su12229685</w:t>
      </w:r>
    </w:p>
    <w:p>
      <w:pPr/>
      <w:r>
        <w:rPr>
          <w:b/>
        </w:rPr>
        <w:t>Shared claim-specific concepts:</w:t>
      </w:r>
      <w:r>
        <w:t xml:space="preserve"> factors, influence, increased, union; EU scope visible. This is a provisional connection, not an outcome finding.</w:t>
      </w:r>
    </w:p>
    <w:p>
      <w:pPr>
        <w:pStyle w:val="SourceNote"/>
      </w:pPr>
      <w:r>
        <w:rPr>
          <w:b/>
        </w:rPr>
        <w:t>Available abstract (not full text):</w:t>
      </w:r>
      <w:r>
        <w:t xml:space="preserve"> In a context of increased world population and imbalanced access to resources, the concept of food waste has gained increased attention in the past years. The waste of food has a negative impact on the economy, the society and the environment. In order to reduce the quantities of wasted food, it is important to understand the factors and the situations in which food waste occurs. Several studies have shown that food waste happens mostly at the consumer level and that it is determined by a wide range of factors, such as socio-demographic characteristics and consumption patterns. The objective of this paper is to determine the impact of the national culture on the quantity of wasted fruit and vegetables. Based on secondary data, the panel regression analysis was applied for 28 European countries with the purpose of determining the influence of the cultural dimensions as described by Hofstede on the quantities of wasted fruit and vegetables. The results of the research show that the uncertainty avoidance of a culture complemented by the indulgence index influences the quantity of wasted fruit and vegetables, confirming that certain characteristics of the national culture are factors that affect the quantity of wasted food.</w:t>
      </w:r>
    </w:p>
    <w:p>
      <w:pPr/>
      <w:r>
        <w:rPr>
          <w:b/>
        </w:rPr>
        <w:t>POSSIBLE 2019:</w:t>
      </w:r>
      <w:r>
        <w:t xml:space="preserve"> External factors influencing length of stay in forensic services – a European evaluation — https://doi.org/10.12740/pp/99299</w:t>
      </w:r>
    </w:p>
    <w:p>
      <w:pPr/>
      <w:r>
        <w:rPr>
          <w:b/>
        </w:rPr>
        <w:t>Shared claim-specific concepts:</w:t>
      </w:r>
      <w:r>
        <w:t xml:space="preserve"> factors, influence, number, trend, increased; EU scope visible. This is a provisional connection, not an outcome finding.</w:t>
      </w:r>
    </w:p>
    <w:p>
      <w:pPr>
        <w:pStyle w:val="SourceNote"/>
      </w:pPr>
      <w:r>
        <w:rPr>
          <w:b/>
        </w:rPr>
        <w:t>Available abstract (not full text):</w:t>
      </w:r>
      <w:r>
        <w:t xml:space="preserve"> OBJECTIVES: A growing number of patients whose length-of-stay in forensic services is aboveaverage length are identifiable in several European countries. Forensic services are situated within a particular sociocultural setting. Accordingly, this trend to increased admission length cannot be solely attributed to patient characteristics. This is the first known study exploring the influence of external factors on length-of-stay in forensic services. METHODS: Representatives from 16 European countries, members of the international COST project, focused on forensic psychiatric service, analyzed their respective forensic services using a structured tool. Responses were combined and analyzed using thematic analysis. RESULTS: Four themes described the factors influencing length-of-stay: care and treatment pathways; resources; legal and systemic impact; and sharing expertise. CONCLUSIONS: Findings suggest multidisciplinary consideration of the whole care pathway is required to address increased length-of-stay. Further research is required to support development of evidence-based standards applicable across Europe, and improve outcomes for patients at risk of increased length-of-stay in forensic services.</w:t>
      </w:r>
    </w:p>
    <w:p>
      <w:pPr/>
      <w:r>
        <w:rPr>
          <w:b/>
        </w:rPr>
        <w:t>POSSIBLE 2019:</w:t>
      </w:r>
      <w:r>
        <w:t xml:space="preserve"> The factors which influence career progression for women in Central Banks in Europe — https://openalex.org/W2995649052</w:t>
      </w:r>
    </w:p>
    <w:p>
      <w:pPr/>
      <w:r>
        <w:rPr>
          <w:b/>
        </w:rPr>
        <w:t>Shared claim-specific concepts:</w:t>
      </w:r>
      <w:r>
        <w:t xml:space="preserve"> factors, influence, number; EU scope visible. This is a provisional connection, not an outcome finding.</w:t>
      </w:r>
    </w:p>
    <w:p>
      <w:pPr>
        <w:pStyle w:val="SourceNote"/>
      </w:pPr>
      <w:r>
        <w:rPr>
          <w:b/>
        </w:rPr>
        <w:t>Available abstract (not full text):</w:t>
      </w:r>
      <w:r>
        <w:t xml:space="preserve"> In recent decades, the career progression of women has been a topic of much debate and research. Many factors play a role in both facilitating and hindering this progression for women. However there is limited research which outlines these factors in a European context. The overarching aim of the current study was to investigate factors, which influence career progression for women in Central Banks in Europe. This study was a qualitative design, which consisted of semi-structured interviews with ten women who worked at senior management level in Central Banks across three sites, Central Bank in Ireland, European Central Bank in Germany and Banco D’Espana in Spain. Thematic analysis was used to analyse the data. Results identified factors, which influence career progression for women in terms of both barriers and enablers. Barriers included personality factors, maternity, culture within an organisation and attitudes of men. Factors which enable career progression included initiatives, networking and personality factors. Attitudes to gender quotas were also explored and participants help conflicting emotions to gender quotas but described them as necessary accelerate gender equality in the workplace. This study had a number of methodological strengths and weaknesses which are outlined in this thesis. There were also a number of implications for practice and policy from the findin</w:t>
      </w:r>
    </w:p>
    <w:p>
      <w:pPr/>
      <w:r>
        <w:rPr>
          <w:b/>
        </w:rPr>
        <w:t>POSSIBLE 2018:</w:t>
      </w:r>
      <w:r>
        <w:t xml:space="preserve"> Influence beyond formal powers: The parliamentarisation of European Union security policy — https://doi.org/10.1177/1369148117747105</w:t>
      </w:r>
    </w:p>
    <w:p>
      <w:pPr/>
      <w:r>
        <w:rPr>
          <w:b/>
        </w:rPr>
        <w:t>Shared claim-specific concepts:</w:t>
      </w:r>
      <w:r>
        <w:t xml:space="preserve"> factors, influence, significant, increased, union; EU scope visible. This is a provisional connection, not an outcome finding.</w:t>
      </w:r>
    </w:p>
    <w:p>
      <w:pPr>
        <w:pStyle w:val="SourceNote"/>
      </w:pPr>
      <w:r>
        <w:rPr>
          <w:b/>
        </w:rPr>
        <w:t>Available abstract (not full text):</w:t>
      </w:r>
      <w:r>
        <w:t xml:space="preserve"> The European Union’s foreign and security policy is commonly described as an intergovernmental affair. Despite limited formal powers, several studies suggest that the European Parliament has increased its influence on the Union’s foreign and security policy. This article argues that, to gauge the significance of parliamentary participation, it is necessary to look beyond the notion of formal parliamentary rights and to take into account informal influence. The analysis shows how informal avenues of influence are crucial at certain stages of the decision-making process, and points to factors that constrain and enable parliamentary impact. Furthermore, it emphasises the important role that parliaments play in scrutinising security policy, which is a crucial component of democratic governance. In this particular field where there is little legislation, the establishment of solid procedures and practices for oversight and control can also be a significant indicator of parliamentary influence.</w:t>
      </w:r>
    </w:p>
    <w:p>
      <w:pPr/>
      <w:r>
        <w:rPr>
          <w:b/>
        </w:rPr>
        <w:t>POSSIBLE 2017:</w:t>
      </w:r>
      <w:r>
        <w:t xml:space="preserve"> Cultural determinants influence assisted reproduction usage in Europe more than economic and demographic factors — https://doi.org/10.1093/humrep/dex298</w:t>
      </w:r>
    </w:p>
    <w:p>
      <w:pPr/>
      <w:r>
        <w:rPr>
          <w:b/>
        </w:rPr>
        <w:t>Shared claim-specific concepts:</w:t>
      </w:r>
      <w:r>
        <w:t xml:space="preserve"> factors, influence, number, between, union; EU scope visible. This is a provisional connection, not an outcome finding.</w:t>
      </w:r>
    </w:p>
    <w:p>
      <w:pPr>
        <w:pStyle w:val="SourceNote"/>
      </w:pPr>
      <w:r>
        <w:rPr>
          <w:b/>
        </w:rPr>
        <w:t>Available abstract (not full text):</w:t>
      </w:r>
      <w:r>
        <w:t xml:space="preserve"> STUDY QUESTION: To what extent do financial, demographic and cultural determinants explain the vast cross-national differences in ART treatments in Europe? SUMMARY ANSWER: The normative cultural acceptance of ART is a major driver of ART treatments in Europe, above and beyond differences in country wealth, demographic aspects and religious composition. WHAT IS KNOWN ALREADY: There are vast differences in the number of ART treatments across European countries, which are to some extent related to country affluence, regulation, and insurance coverage and costs. The role and impact of cultural and normative factors has not been explored in a larger cross-national comparison. STUDY DESIGN, SIZE, DURATION: A descriptive and comparative cross-national analysis of ART treatment prevalence in over 30 European countries in 2010, with the outcome defined as the total number of ART cycles per million women of reproductive age (15-44 years). Data is drawn from multiple sources (ICMART, US Census Bureau Library, World Bank, Barro-Lee Educational Attainment Dataset, IFFS Surveillance reports, European Values Study and World Religion Database). PARTICIPANTS/MATERIALS, SETTING, METHODS: Our sample includes data from 35 European countries, where we describe the associations between demographic and cultural factors and the prevalence of ART treatments. Bivariate correlation and ordinary least squ</w:t>
      </w:r>
    </w:p>
    <w:p>
      <w:pPr>
        <w:pStyle w:val="Heading2"/>
      </w:pPr>
      <w:r>
        <w:t>767.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2021:</w:t>
      </w:r>
      <w:r>
        <w:t xml:space="preserve"> Economic growth in contrast to GHG emission reduction measures in Green Deal context — https://doi.org/10.1016/j.ecolind.2021.108153</w:t>
      </w:r>
    </w:p>
    <w:p>
      <w:pPr/>
      <w:r>
        <w:rPr>
          <w:b/>
        </w:rPr>
        <w:t>Shared claim-specific concepts:</w:t>
      </w:r>
      <w:r>
        <w:t xml:space="preserve"> show, implementing, ghg, emission, reduction, additional; EU scope visible. This is a provisional connection, not an outcome finding.</w:t>
      </w:r>
    </w:p>
    <w:p>
      <w:pPr>
        <w:pStyle w:val="SourceNote"/>
      </w:pPr>
      <w:r>
        <w:rPr>
          <w:b/>
        </w:rPr>
        <w:t>Available abstract (not full text):</w:t>
      </w:r>
      <w:r>
        <w:t xml:space="preserve"> The global economy is on the verge of one of the greatest transitions in modern history. The ability to ensure sustainable economic development and prosperity while significantly reducing consumption of energy resources and generated greenhouse gas emissions is a global challenge that affects every country in the world. To assess whether economies are ready for this challenge, there is an urgent need to examine this dual relationship between economic growth and climate change measures. European Green Deal strategy has set the ambitious goal of Europe becoming the first climate-neutral continent by 2050, boosting competitiveness and long-term prosperity of the economy. Kaya identity and LMDI decomposition is applied to examine how European Union countries have been coping with these countereffects historically. The decomposition analysis is conducted for the EU-28 (including the UK) countries for a 10-year study period from 2010 to 2019. This study analyses the main drivers of changes in GHG emissions in European Union and estimates the progress made in implementing the Green Deal targets. The results show that in the EU, energy efficiency improvements have twice the effect on reducing GHG emission compared to RES strategies. The effect of economic growth was the main offsetting factor hindering the achievement of larger GHG emission reductions. More in-depth ex-ante and ex-post</w:t>
      </w:r>
    </w:p>
    <w:p>
      <w:pPr/>
      <w:r>
        <w:rPr>
          <w:b/>
        </w:rPr>
        <w:t>POSSIBLE 2021:</w:t>
      </w:r>
      <w:r>
        <w:t xml:space="preserve"> Perceptions of GHG emissions and renewable energy sources in Europe, Australia and the USA — https://doi.org/10.1007/s11356-021-15935-7</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Biomethane from Manure, Agricultural Residues and Biowaste—GHG Mitigation Potential from Residue-Based Biomethane in the European Transport Sector — https://doi.org/10.3390/su132414007</w:t>
      </w:r>
    </w:p>
    <w:p>
      <w:pPr/>
      <w:r>
        <w:rPr>
          <w:b/>
        </w:rPr>
        <w:t>Shared claim-specific concepts:</w:t>
      </w:r>
      <w:r>
        <w:t xml:space="preserve"> show, ghg, emission, reduction, energy, however; EU scope visible. This is a provisional connection, not an outcome finding.</w:t>
      </w:r>
    </w:p>
    <w:p>
      <w:pPr>
        <w:pStyle w:val="SourceNote"/>
      </w:pPr>
      <w:r>
        <w:rPr>
          <w:b/>
        </w:rPr>
        <w:t>Available abstract (not full text):</w:t>
      </w:r>
      <w:r>
        <w:t xml:space="preserve"> Biomethane from manure, agricultural residues, and biowaste has been prioritized by many energy strategies as a sustainable way to decrease greenhouse gas (GHG) emissions in the transport sector. The technology is regarded as mature; however, its implementation is still at an early stage. At EU level, there are currently two major instruments relevant for promoting the production of biomethane from waste and residues and which are likely to contribute to unlocking unused GHG mitigation potentials: the Renewable Energy Directive 2018/2001 (RED II) and the European Emission Trading System (EU ETS). Our study analyzes the effects of these two instruments on the competitiveness of biomethane as an advanced transport fuel in relation to different policy scenarios within the RED II framework and under EU ETS conditions. Within the RED II market framework for advanced biofuels, biomethane concepts that use manure as a substrate or as a cosubstrate show significantly lower GHG mitigation costs compared to advanced biofuels. With respect to the current EU ETS conditions for bioenergy, it is helpful to consider the GHG reduction potential from the non-ETS agricultural sector as a way to unlock unused potential for reducing GHG emissions.</w:t>
      </w:r>
    </w:p>
    <w:p>
      <w:pPr/>
      <w:r>
        <w:rPr>
          <w:b/>
        </w:rPr>
        <w:t>POSSIBLE 2021:</w:t>
      </w:r>
      <w:r>
        <w:t xml:space="preserve"> GHG Emissions Mitigation in the European Union Based on Labor Market Changes — https://doi.org/10.3390/en14020465</w:t>
      </w:r>
    </w:p>
    <w:p>
      <w:pPr/>
      <w:r>
        <w:rPr>
          <w:b/>
        </w:rPr>
        <w:t>Shared claim-specific concepts:</w:t>
      </w:r>
      <w:r>
        <w:t xml:space="preserve"> ghg, negative; EU scope visible. This is a provisional connection, not an outcome finding.</w:t>
      </w:r>
    </w:p>
    <w:p>
      <w:pPr>
        <w:pStyle w:val="SourceNote"/>
      </w:pPr>
      <w:r>
        <w:rPr>
          <w:b/>
        </w:rPr>
        <w:t>Available abstract (not full text):</w:t>
      </w:r>
      <w:r>
        <w:t xml:space="preserve"> The effects of the labor market on environmental issues are an actual problem at the global level, and recommendations are required to achieve equilibrium between labor productivity and environmental protection. Considering the ecological limits of work and the necessity of reducing the working time to mitigate GHG (greenhouse gas) emissions, this paper aims to assess the impact of the labor market on GHG emissions in the EU-28 countries. Using panel data models for 2007–2019, a positive effect of working time for employed persons on GHG emissions was detected. Labor productivity has a positive impact on emissions for most of the developed countries in the EU (old member states), while the effect is negative in the case of most of the new member states, which suggests that more efforts should be made by old member states to correlate labor productivity with a sustainable level of GHG emissions. As a novelty for research in the field, we assessed also the effect of targeted labor utilization on GHG emissions in order to describe the context of a sustainable economy that is an objective for each country in the EU. These results suggest that progress in GHG emissions mitigation might be achieved by reducing the working time for employed persons, which will also improve well-being. These recommendations could be useful also for other developed countries outside the EU that encounte</w:t>
      </w:r>
    </w:p>
    <w:p>
      <w:pPr/>
      <w:r>
        <w:rPr>
          <w:b/>
        </w:rPr>
        <w:t>POSSIBLE 2021:</w:t>
      </w:r>
      <w:r>
        <w:t xml:space="preserve"> GHGs Emission from the Agricultural Sector within EU-28: A Multivariate Analysis Approach — https://doi.org/10.3390/en14206495</w:t>
      </w:r>
    </w:p>
    <w:p>
      <w:pPr/>
      <w:r>
        <w:rPr>
          <w:b/>
        </w:rPr>
        <w:t>Shared claim-specific concepts:</w:t>
      </w:r>
      <w:r>
        <w:t xml:space="preserve"> ghg, emission, reduction, negative; EU scope visible. This is a provisional connection, not an outcome finding.</w:t>
      </w:r>
    </w:p>
    <w:p>
      <w:pPr>
        <w:pStyle w:val="SourceNote"/>
      </w:pPr>
      <w:r>
        <w:rPr>
          <w:b/>
        </w:rPr>
        <w:t>Available abstract (not full text):</w:t>
      </w:r>
      <w:r>
        <w:t xml:space="preserve"> Climate mitigation and adaptation planning (CMAP) has recently been implemented across the EU-28 to reduce GHG emissions (CO2, CH4, N2O). Thus, the aim of this study was to provide an overview of GHG emissions from the agricultural sector in the EU-28 from 1990 to 2019, and cluster the EU-28 countries regarding their total GHG emissions. The results emphasize the positive impact of CMAP through a negative trend of the total GHG emissions (−2653.01 thousand tons/year, p &lt; 0.05). Despite the positive and not significant trend of the total CO2 emissions, both CH4 and N2O exhibited a negative and significant trend. At the country scale, Italy, the United Kingdom, and the Netherlands showed the highest reduction in total GHG emissions, by −282.61thousand tons/year (p &lt; 0.05), −266.40 thousand tons/year (p &lt; 0.05), and −262.91 thousand tons/year (p &lt; 0.05), respectively. The output of the multivariate analysis approach indicates changes in the pattern of GHG emissions between 1990 and 2019, where CO2 emissions decreased in the case of Poland and Czechia. The output of this study highlights the positive impact of CMAP, adopted by EU countries, in minimizing GHG emissions. Despite some fluctuations in CO2 emissions, strategies for attaining carbon neutrality in the agricultural sector, across the European Union, should be pursued.</w:t>
      </w:r>
    </w:p>
    <w:p>
      <w:pPr/>
      <w:r>
        <w:rPr>
          <w:b/>
        </w:rPr>
        <w:t>POSSIBLE 2020:</w:t>
      </w:r>
      <w:r>
        <w:t xml:space="preserve"> GHG Performance Evaluation in Green Deal Context — https://doi.org/10.2478/rtuect-2020-0026</w:t>
      </w:r>
    </w:p>
    <w:p>
      <w:pPr/>
      <w:r>
        <w:rPr>
          <w:b/>
        </w:rPr>
        <w:t>Shared claim-specific concepts:</w:t>
      </w:r>
      <w:r>
        <w:t xml:space="preserve"> ghg, target, energy, however; EU scope visible. This is a provisional connection, not an outcome finding.</w:t>
      </w:r>
    </w:p>
    <w:p>
      <w:pPr>
        <w:pStyle w:val="SourceNote"/>
      </w:pPr>
      <w:r>
        <w:rPr>
          <w:b/>
        </w:rPr>
        <w:t>Available abstract (not full text):</w:t>
      </w:r>
      <w:r>
        <w:t xml:space="preserve"> Abstract Recently introduced European Green Deal has set a target for Europe to become the first climate-neutral continent by 2050. This ambitious commitment will bring a serious challenge for the EU. However, the degree of this challenge will not be the same to all EU member states. In this paper, the multi-criteria decision analysis is applied to rank eight selected EU countries (Denmark, Estonia, Ireland, Latvia, Lithuania, Slovenia, Finland and Sweden) regarding GHG performance, and thus illustrate different starting points of the transition to carbon-neutrality. In parallel to the widely used indicator of GHG emissions per capita, evaluation incorporates various other criteria covering energy consumption, population size, and the use of renewable energy and fossil fuel, as well as investment and tax rates. TOPSIS analysis shows that the best GHG performance is achieved by Sweden, while Latvia ranks the lowest. The presented evaluation method could be a useful tool in planning implementation of policies to reach Green Deal settings on European, as well as on a national level.</w:t>
      </w:r>
    </w:p>
    <w:p>
      <w:pPr>
        <w:pStyle w:val="Heading2"/>
      </w:pPr>
      <w:r>
        <w:t>768.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2020:</w:t>
      </w:r>
      <w:r>
        <w:t xml:space="preserve"> Economic analysis of BIPV systems as a building envelope material for building skins in Europe — https://doi.org/10.1016/j.energy.2020.117931</w:t>
      </w:r>
    </w:p>
    <w:p>
      <w:pPr/>
      <w:r>
        <w:rPr>
          <w:b/>
        </w:rPr>
        <w:t>Shared claim-specific concepts:</w:t>
      </w:r>
      <w:r>
        <w:t xml:space="preserve"> also, present, alternative; EU scope visible. This is a provisional connection, not an outcome finding.</w:t>
      </w:r>
    </w:p>
    <w:p>
      <w:pPr>
        <w:pStyle w:val="SourceNote"/>
      </w:pPr>
      <w:r>
        <w:rPr>
          <w:b/>
        </w:rPr>
        <w:t>Available abstract (not full text):</w:t>
      </w:r>
      <w:r>
        <w:t xml:space="preserve"> The main purpose of this study is to evaluate the economic feasibility of the BIPV system as a building envelope material for the whole building skins. The paper is dealing with the lifecycle cost analysis (LCCA) of BIPV system in the capitals of all the European Union member states (EU) as well as the capitals of Norway and Switzerland. The results revealed that by a discount rate of zero, BIPV system could refund all the investment even on the north facades while in terms of traditional building envelope materials as an alternative option for building skins, there would be rarely added benefits after investment. Furthermore, the societal and environmental benefits of a BIPV system in Europe have its greatest impact on the south façade. Moreover, for all the studied directions of building skins with a discount rate of five present in Europe except the north facade, just the quantified amount of societal and environmental advantages of BIPV systems could almost reimburse all the invested money. The results illustrated that the BIPV system as a building envelope material for the whole building skins could reimburse not only all the investment costs but also become a source of income for the building.</w:t>
      </w:r>
    </w:p>
    <w:p>
      <w:pPr/>
      <w:r>
        <w:rPr>
          <w:b/>
        </w:rPr>
        <w:t>POSSIBLE 2019:</w:t>
      </w:r>
      <w:r>
        <w:t xml:space="preserve"> Using Economic Cost Benefit Analysis Methodologies to underpin the sustainability and strategic planning of Coastal Ocean Research Infrastructures in Europe — https://doi.org/10.1109/oceanse.2019.8867276</w:t>
      </w:r>
    </w:p>
    <w:p>
      <w:pPr/>
      <w:r>
        <w:rPr>
          <w:b/>
        </w:rPr>
        <w:t>Shared claim-specific concepts:</w:t>
      </w:r>
      <w:r>
        <w:t xml:space="preserve"> also, present, show; EU scope visible. This is a provisional connection, not an outcome finding.</w:t>
      </w:r>
    </w:p>
    <w:p>
      <w:pPr>
        <w:pStyle w:val="SourceNote"/>
      </w:pPr>
      <w:r>
        <w:rPr>
          <w:b/>
        </w:rPr>
        <w:t>Available abstract (not full text):</w:t>
      </w:r>
      <w:r>
        <w:t xml:space="preserve"> The JERICO-RI (Joint European Research Infrastructure for Coastal Observatories, http://www.jericori.eu) is a Network of Coastal Observatories which are being integrated into a sustainable system of systems. Initiated in 2010, the basic elements of the system are nationally funded observing platforms, i.e. Ferrybox, fixed platforms (moorings, cabled observatories, piles), coastal gliders, HF radar, coastal profilers and vessels of opportunity. One of the main challenges for the European marine research community is now to increase the consistency and the sustainability of these dispersed networks and infrastructures by integrating their future within a shared Pan-European framework/infrastructure. A comprehensive cost benefit and value analysis for the Research Infrastructure is presented, outlining both the direct costs and benefits, but also the non-quantifiable costs and benefits associated with the operation of an integrated network of coastal marine observing systems. We show how the results of the economic appraisal and Cost Benefit Analysis outputs are best represented by the calculation of the Net Present Value (NPV) for each of the governance options considered. This value, in combination with the Benefit Cost Ratio (The ratio of the total benefits to total costs when total benefits and total costs are expressed in discounted present value terms) are calculated and pre</w:t>
      </w:r>
    </w:p>
    <w:p>
      <w:pPr/>
      <w:r>
        <w:rPr>
          <w:b/>
        </w:rPr>
        <w:t>POSSIBLE 2018:</w:t>
      </w:r>
      <w:r>
        <w:t xml:space="preserve"> Cost-benefit analysis of aquaculture breeding programs — https://doi.org/10.1186/s12711-018-0372-3</w:t>
      </w:r>
    </w:p>
    <w:p>
      <w:pPr/>
      <w:r>
        <w:rPr>
          <w:b/>
        </w:rPr>
        <w:t>Shared claim-specific concepts:</w:t>
      </w:r>
      <w:r>
        <w:t xml:space="preserve"> present, different, between, profitability, alternative; EU scope not established. This is a provisional connection, not an outcome finding.</w:t>
      </w:r>
    </w:p>
    <w:p>
      <w:pPr>
        <w:pStyle w:val="SourceNote"/>
      </w:pPr>
      <w:r>
        <w:rPr>
          <w:b/>
        </w:rPr>
        <w:t>Available abstract (not full text):</w:t>
      </w:r>
      <w:r>
        <w:t xml:space="preserve"> BACKGROUND: Profitability of breeding programs is a key determinant in the adoption of selective breeding, and can be evaluated using cost-benefit analysis. There are many options to design breeding programs, with or without a multiplier tier. Our objectives were to evaluate different breeding program designs for aquaculture and to optimize the number of selection candidates for these programs. METHODS: The baseline was based on an existing breeding program for gilthead seabream, where improvement of the nucleus had priority over improvement of the multiplier tier, which was partly replaced once every 3 years. Alternative breeding programs considered were annual multiplier tier replacement, annual multiplier tier replacement with priority on improvement of the multiplier tier, and a program without a multiplier tier. Cost-benefit analyses were performed to compare breeding programs. The outcomes were used to describe relationships between profitability and the number of selection candidates, length of the time horizon, and production output, and to estimate the optimum numbers of selection candidates. RESULTS: The baseline breeding program was profitable after 5 years and reached a net present value of 2.9 million euro in year 10. All alternative programs were more profitable up to year 17. The program without a multiplier tier was the most profitable one up to year 22, followe</w:t>
      </w:r>
    </w:p>
    <w:p>
      <w:pPr>
        <w:pStyle w:val="Heading2"/>
      </w:pPr>
      <w:r>
        <w:t>769.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2018:</w:t>
      </w:r>
      <w:r>
        <w:t xml:space="preserve"> Regional inequality in Europe: evidence, theory and policy implications — https://doi.org/10.1093/jeg/lby021</w:t>
      </w:r>
    </w:p>
    <w:p>
      <w:pPr/>
      <w:r>
        <w:rPr>
          <w:b/>
        </w:rPr>
        <w:t>Shared claim-specific concepts:</w:t>
      </w:r>
      <w:r>
        <w:t xml:space="preserve"> implications, effective;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pStyle w:val="Heading2"/>
      </w:pPr>
      <w:r>
        <w:t>770.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2021:</w:t>
      </w:r>
      <w:r>
        <w:t xml:space="preserve"> A Review of Water Stress and Water Footprint Accounting — https://doi.org/10.3390/w13020201</w:t>
      </w:r>
    </w:p>
    <w:p>
      <w:pPr/>
      <w:r>
        <w:rPr>
          <w:b/>
        </w:rPr>
        <w:t>Shared claim-specific concepts:</w:t>
      </w:r>
      <w:r>
        <w:t xml:space="preserve"> water, footprint, production, consumption, use; EU scope not established. This is a provisional connection, not an outcome finding.</w:t>
      </w:r>
    </w:p>
    <w:p>
      <w:pPr>
        <w:pStyle w:val="SourceNote"/>
      </w:pPr>
      <w:r>
        <w:rPr>
          <w:b/>
        </w:rPr>
        <w:t>Available abstract (not full text):</w:t>
      </w:r>
      <w:r>
        <w:t xml:space="preserve"> Production and consumption activities deplete freshwater, generate water pollution and may further lead to water stress. The accurate measurement of water stress is a precondition for sustainable water management. This paper reviews the literature on physical water stress induced by blue and green water use and by water pollution. Specifically, we clarify several key concepts (i.e., water stress, scarcity, availability, withdrawal, consumption and the water footprint) for water stress evaluation, and review physical water stress indicators in terms of quantity and quality. Furthermore, we identify research gaps in physical water stress assessment, related to environmental flow requirements, return flows, outsourcing of water pollution and standardization of terminology and approaches. These research gaps can serve as venues for further research dealing with the evaluation and reduction of water stress.</w:t>
      </w:r>
    </w:p>
    <w:p>
      <w:pPr/>
      <w:r>
        <w:rPr>
          <w:b/>
        </w:rPr>
        <w:t>POSSIBLE 2020:</w:t>
      </w:r>
      <w:r>
        <w:t xml:space="preserve"> The Water Footprint of Global Food Production — https://doi.org/10.3390/w12102696</w:t>
      </w:r>
    </w:p>
    <w:p>
      <w:pPr/>
      <w:r>
        <w:rPr>
          <w:b/>
        </w:rPr>
        <w:t>Shared claim-specific concepts:</w:t>
      </w:r>
      <w:r>
        <w:t xml:space="preserve"> water, footprint, population, production, diets, use; EU scope not established. This is a provisional connection, not an outcome finding.</w:t>
      </w:r>
    </w:p>
    <w:p>
      <w:pPr>
        <w:pStyle w:val="SourceNote"/>
      </w:pPr>
      <w:r>
        <w:rPr>
          <w:b/>
        </w:rPr>
        <w:t>Available abstract (not full text):</w:t>
      </w:r>
      <w:r>
        <w:t xml:space="preserve"> Agricultural production is the main consumer of water. Future population growth, income growth, and dietary shifts are expected to increase demand for water. The paper presents a brief review of the water footprint of crop production and the sustainability of the blue water footprint. The estimated global consumptive (green plus blue) water footprint ranges from 5938 to 8508 km3/year. The water footprint is projected to increase by as much as 22% due to climate change and land use change by 2090. Approximately 57% of the global blue water footprint is shown to violate the environmental flow requirements. This calls for action to improve the sustainability of water and protect ecosystems that depend on it. Some of the measures include increasing water productivity, setting benchmarks, setting caps on the water footprint per river basin, shifting the diets to food items with low water requirements, and reducing food waste.</w:t>
      </w:r>
    </w:p>
    <w:p>
      <w:pPr/>
      <w:r>
        <w:rPr>
          <w:b/>
        </w:rPr>
        <w:t>POSSIBLE 2020:</w:t>
      </w:r>
      <w:r>
        <w:t xml:space="preserve"> The Water Footprint Concept and Water's Grand Environmental Challenges — https://doi.org/10.1016/j.oneear.2020.02.010</w:t>
      </w:r>
    </w:p>
    <w:p>
      <w:pPr/>
      <w:r>
        <w:rPr>
          <w:b/>
        </w:rPr>
        <w:t>Shared claim-specific concepts:</w:t>
      </w:r>
      <w:r>
        <w:t xml:space="preserve"> water, footprint, consumption; EU scope not established. This is a provisional connection, not an outcome finding.</w:t>
      </w:r>
    </w:p>
    <w:p>
      <w:pPr>
        <w:pStyle w:val="SourceNote"/>
      </w:pPr>
      <w:r>
        <w:rPr>
          <w:b/>
        </w:rPr>
        <w:t>Available abstract (not full text):</w:t>
      </w:r>
      <w:r>
        <w:t xml:space="preserve"> Widespread water scarcity, water pollution, and depletion of freshwater resources are among the grand environmental challenges of the 21 st century related to water. Central to these challenges is the fact that humanity uses too much water. But what are we using all that water for? The water footprint concept can help answer this question, and more. Addressing the relation between human freshwater consumption and water's grand environmental challenges, the water footprint concept resonates with stakeholders within and beyond the walls of science. This Primer describes the basics of the water footprint concept, how it works, and why it came about. Drawing from recent studies in the new research field of Water Footprint Assessment, it highlights some intriguing applications and delves into what is next on the exciting interdisciplinary research agenda.</w:t>
      </w:r>
    </w:p>
    <w:p>
      <w:pPr/>
      <w:r>
        <w:rPr>
          <w:b/>
        </w:rPr>
        <w:t>POSSIBLE 2019:</w:t>
      </w:r>
      <w:r>
        <w:t xml:space="preserve"> The consumptive water footprint of the European Union energy sector — https://doi.org/10.1088/1748-9326/ab374a</w:t>
      </w:r>
    </w:p>
    <w:p>
      <w:pPr/>
      <w:r>
        <w:rPr>
          <w:b/>
        </w:rPr>
        <w:t>Shared claim-specific concepts:</w:t>
      </w:r>
      <w:r>
        <w:t xml:space="preserve"> water, footprint, level, based, production, consumption; EU scope visible. This is a provisional connection, not an outcome finding.</w:t>
      </w:r>
    </w:p>
    <w:p>
      <w:pPr>
        <w:pStyle w:val="SourceNote"/>
      </w:pPr>
      <w:r>
        <w:rPr>
          <w:b/>
        </w:rPr>
        <w:t>Available abstract (not full text):</w:t>
      </w:r>
      <w:r>
        <w:t xml:space="preserve"> Abstract Energy security for the EU is a priority of the European Commission. Although both blue and green water resources are increasingly scarce, the EU currently does not explicitly account for water resource use in its energy related policies. Here we quantify the freshwater resources required to produce the different energy sources in the EU, by means of the water footprint (WF) concept. We conduct the most geographically detailed consumptive WF assessment for the EU to date, based on the newest spatial databases of energy sources. We calculate that fossil fuels and nuclear energy are moderate water users (136–627 m3/terajoules (m3 TJ–1)). Of the renewable energy sources, wood, reservoir hydropower and first generation biofuels require large water amounts (9114–137 624 m3 TJ–1). The most water efficient are solar, wind, geothermal and run-of-river hydropower (1–117 m3 TJ–1). For the EU territory for the year 2015, our geographically detailed assessment results in a WF of energy production from domestic water resources of 198 km3, or 1068 litres per person per day. The WF of energy consumption is larger as the EU is to a high level dependent on imports for its energy supply, amounting to 242 km3 per year, or 1301 litres per person per day. The WF of energy production within the 281 EU statistical NUTS-2 (Nomenclature of Territorial Units for Statistics) regions shows spatia</w:t>
      </w:r>
    </w:p>
    <w:p>
      <w:pPr/>
      <w:r>
        <w:rPr>
          <w:b/>
        </w:rPr>
        <w:t>POSSIBLE 2019:</w:t>
      </w:r>
      <w:r>
        <w:t xml:space="preserve"> The Water Footprint of Wood for Energy Consumed in the European Union — https://doi.org/10.3390/w11020206</w:t>
      </w:r>
    </w:p>
    <w:p>
      <w:pPr/>
      <w:r>
        <w:rPr>
          <w:b/>
        </w:rPr>
        <w:t>Shared claim-specific concepts:</w:t>
      </w:r>
      <w:r>
        <w:t xml:space="preserve"> water, footprint, production, trade, consumption, use; EU scope visible. This is a provisional connection, not an outcome finding.</w:t>
      </w:r>
    </w:p>
    <w:p>
      <w:pPr>
        <w:pStyle w:val="SourceNote"/>
      </w:pPr>
      <w:r>
        <w:rPr>
          <w:b/>
        </w:rPr>
        <w:t>Available abstract (not full text):</w:t>
      </w:r>
      <w:r>
        <w:t xml:space="preserve"> The European Union (EU) aims at increasing the share of renewable energy use, of which nearly half originates from wood sources currently. An energy supply from wood sources strongly relies on green water resources, which are limited and also essential for food security and terrestrial biodiversity. We have estimated the water footprint (WF) of wood for energy consumed in the EU-28 (WFwec) by combining data on energy produced from wood sources in the EU per member state for the year 2015 from the EU energy reference scenario 2016, extra-EU trade in fuelwood and charcoal, and country-specific estimates of the water footprint per unit of wood. We find that the WFwec is large (156 × 109 m3/y), 94% of this footprint is situated within the EU, and it is almost exclusively related to green water (99%). Adding WFwec to the WF related to the EU’s consumption of agricultural and industrial products as well as domestic water use (702 × 109 m3/y) signifies an increase of 22% to 858 × 109 m3/y. We show that over half of the internal WFwec is in member states that have a high degree of green water scarcity and hence very limited potential left to sustainably allocate more green water flows to biomass production. The results of this study feed into the debate on how the EU can achieve a sustainable and reliable energy supply. Policies on energy security should consider that increased use of </w:t>
      </w:r>
    </w:p>
    <w:p>
      <w:pPr/>
      <w:r>
        <w:rPr>
          <w:b/>
        </w:rPr>
        <w:t>POSSIBLE 2019:</w:t>
      </w:r>
      <w:r>
        <w:t xml:space="preserve"> Water footprint for industrial products. A paradigm of concentration — https://doi.org/10.33727/jriss.2019.1.16:123-130</w:t>
      </w:r>
    </w:p>
    <w:p>
      <w:pPr/>
      <w:r>
        <w:rPr>
          <w:b/>
        </w:rPr>
        <w:t>Shared claim-specific concepts:</w:t>
      </w:r>
      <w:r>
        <w:t xml:space="preserve"> water, footprint, population, production, consumption, develop; EU scope visible. This is a provisional connection, not an outcome finding.</w:t>
      </w:r>
    </w:p>
    <w:p>
      <w:pPr>
        <w:pStyle w:val="SourceNote"/>
      </w:pPr>
      <w:r>
        <w:rPr>
          <w:b/>
        </w:rPr>
        <w:t>Available abstract (not full text):</w:t>
      </w:r>
      <w:r>
        <w:t xml:space="preserve"> Linking economic research to the sustainability process also includes the need to study water footprint issues of consumption of industrial products.In this context, the water footprint of the consumption of industrial products from the point of view of the territorial concentration in European countries is analyzed.At the same time, this type of water is approached on the two categories of components: blue and gray, taking into account the volume of water resources used internally and externally for the production of goods and services consumed by the population.Also, the degree of concentration of water footprint of the consumption of industrial products was determined in the paper.Thus, two of the most significant indicators (Gini Coefficient and Shannon Entropy) were used and relevant concentration curves were constructed.The results highlighted for both categories, blue and gray, a high degree of internal concentration and reduced external focus.Taking into account the results the future orientation is to develop and implement environmental strategies that will reduce the water footprint of the consumption of industrial products, especially for the internal category.</w:t>
      </w:r>
    </w:p>
    <w:p>
      <w:pPr/>
      <w:r>
        <w:rPr>
          <w:b/>
        </w:rPr>
        <w:t>POSSIBLE 2019:</w:t>
      </w:r>
      <w:r>
        <w:t xml:space="preserve"> Ecological Footprint and Water Footprint of Taipei — https://doi.org/10.3390/su11205714</w:t>
      </w:r>
    </w:p>
    <w:p>
      <w:pPr/>
      <w:r>
        <w:rPr>
          <w:b/>
        </w:rPr>
        <w:t>Shared claim-specific concepts:</w:t>
      </w:r>
      <w:r>
        <w:t xml:space="preserve"> water, footprint, level, patterns, consumption; EU scope not established. This is a provisional connection, not an outcome finding.</w:t>
      </w:r>
    </w:p>
    <w:p>
      <w:pPr>
        <w:pStyle w:val="SourceNote"/>
      </w:pPr>
      <w:r>
        <w:rPr>
          <w:b/>
        </w:rPr>
        <w:t>Available abstract (not full text):</w:t>
      </w:r>
      <w:r>
        <w:t xml:space="preserve"> Taiwan suffers from many natural disasters and is vulnerable to climate change. A continuous increase in its ecological footprint (EF) would pose numerous threats to the city. Taipei is Taiwan’s most densely populated city. Whether its citizens are consuming more resources because of their high income and high degree of urbanization, thereby burdening the environment, warrants study. In contrast to most top-down EF analyses, in this study, 445 residents were surveyed to calculate their carbon, built-up land and water footprints. Gender, occupation, age, education level and personal annual income do not influence water footprint or EF. Moreover, an individual’s water footprint is not correlated with his or her EF. The built-up land footprint that is obtained in this bottom-up study is similar to that in Taiwan’s top-down national footprint account. However, the personal carbon footprint found herein is smaller than that in the national footprint account, because this study asked respondents only about consumption related to everyday activities. Since Taipei residents have a high income and high daily consumption, the water footprint herein is larger than the top-down water footprint. This bottom-up EF analysis reflects residents’ daily consumption patterns and can be used in future urban decision-making.</w:t>
      </w:r>
    </w:p>
    <w:p>
      <w:pPr>
        <w:pStyle w:val="Heading2"/>
      </w:pPr>
      <w:r>
        <w:t>771.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2021:</w:t>
      </w:r>
      <w:r>
        <w:t xml:space="preserve"> Hydrogen in the Strategies of the European Union Member States — https://doi.org/10.24425/gsm.2021.138660</w:t>
      </w:r>
    </w:p>
    <w:p>
      <w:pPr/>
      <w:r>
        <w:rPr>
          <w:b/>
        </w:rPr>
        <w:t>Shared claim-specific concepts:</w:t>
      </w:r>
      <w:r>
        <w:t xml:space="preserve"> member, states, currently, but, sources, climate; EU scope visible. This is a provisional connection, not an outcome finding.</w:t>
      </w:r>
    </w:p>
    <w:p>
      <w:pPr>
        <w:pStyle w:val="SourceNote"/>
      </w:pPr>
      <w:r>
        <w:rPr>
          <w:b/>
        </w:rPr>
        <w:t>Available abstract (not full text):</w:t>
      </w:r>
      <w:r>
        <w:t xml:space="preserve"> Strategies and roadmaps are essential in areas that require long-term planning, such as the energy transition. Strategic plans can play an important role in developing visions for reducing CO2 emissions, developing renewable energy sources (RES) and hydrogen technologies. Hydrogen can be included in value chains in various sectors of the economy as raw material, emission-free fuel, or as an energy carrier and storage. The analysis of the future of hydrogen energy, which is an essential component of transforming the economy into an environmentally neutral one, is an integral part of the strategies of the European Union (EU) Member States. This article reviews the strategic documents of the EU countries in the field of a hydrogen economy. Currently, six EU Member States have approved the hydrogen strategy (Germany, France, the Netherlands, Portugal, Hungary, Czech Republic), and two of them have roadmaps (Spain, Finland). The others are working on their completion in 2021. EU countries have the possibility of energy transformation based on a hydrogen policy, including green hydrogen, within the framework of the European Green Deal, i.e. aiming for climate neutrality and creating a modern and environmentally friendly economy. By 2030, some of the countries plan to become a leader not only in the field of hydrogen production or RES development aimed at this process but also in the </w:t>
      </w:r>
    </w:p>
    <w:p>
      <w:pPr/>
      <w:r>
        <w:rPr>
          <w:b/>
        </w:rPr>
        <w:t>POSSIBLE 2020:</w:t>
      </w:r>
      <w:r>
        <w:t xml:space="preserve"> Overview of BIM integration into the Construction Sector in European Member States and European Union Acquis — https://doi.org/10.1088/1755-1315/410/1/012073</w:t>
      </w:r>
    </w:p>
    <w:p>
      <w:pPr/>
      <w:r>
        <w:rPr>
          <w:b/>
        </w:rPr>
        <w:t>Shared claim-specific concepts:</w:t>
      </w:r>
      <w:r>
        <w:t xml:space="preserve"> indicate, member, states, but, energy; EU scope visible. This is a provisional connection, not an outcome finding.</w:t>
      </w:r>
    </w:p>
    <w:p>
      <w:pPr>
        <w:pStyle w:val="SourceNote"/>
      </w:pPr>
      <w:r>
        <w:rPr>
          <w:b/>
        </w:rPr>
        <w:t>Available abstract (not full text):</w:t>
      </w:r>
      <w:r>
        <w:t xml:space="preserve"> Abstract The amount of information involved in any construction project and the necessity of control of time, cost and waste, has established Building Information Modelling (BIM) as an integral part of construction sector towards achieving adequate communication of information among various parties involved in construction projects. Moreover, it can be considered as a valuable tool for the optimum selection of materials, systems and design decisions, regarding not only the improve of a structure’s performance, but also in terms of reducing its carbon footprint during its life cycle. The study attempts to present the integration of BIM into the national legislation of European Member States, with a special focus on the energy related aspects of BIM analysis. This study performs an overview of the introduction of BIM into different aspects and requirements of the EU Member States building practices, through a comprehensive literature and legislation review of relative legislative documents of the construction sector. According to the findings of this overview study, the concept of BIM has already been incorporated in many aspects of the Acquis of EU Member States, which is recognized as a valuable tool to be exploited by the construction sector, however there is still room for development in this area. The study has revealed that especially in the energy assessment of the built e</w:t>
      </w:r>
    </w:p>
    <w:p>
      <w:pPr/>
      <w:r>
        <w:rPr>
          <w:b/>
        </w:rPr>
        <w:t>POSSIBLE 2020:</w:t>
      </w:r>
      <w:r>
        <w:t xml:space="preserve"> Scope and Exercise of the Exclusive Competences of the Member States of the European Union — https://doi.org/10.31743/recl.6056</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The process of European integration has introduced the Member States into a new legal reality. The existing exclusivity in the area of competence implementation has been replaced by a two-stage model of their exercise. The Member States, when conferring part of their supervisory powers, did not specify the scope of their own competences. The so-called European clauses were analysed in the Constitutions of selected Member States, which showed that they define the recipient of the conferral and, in a non-uniform manner, specify the subject of the conferral. The analysis of the indicated provisions clearly shows that the Constitutions of the Member States exclude full conferral of competences on the European Union. There is no specification of the scope of competences that may be conferred. However, this issue was addressed by Constitutional Courts of the Member States. The article refers to the judgements of the German Federal Constitutional Court and the Polish Constitutional Court. It has been shown that they equate exclusive competences of the Member States with the scope of the concept of constitutional identity reduced to basic principles of the state. The Court of Justice of the European Union analysed the scope of competences of both entities. The article presents the analysis of judgements on: entries in Civil Registry regarding transcription of surnames, the issue of rec</w:t>
      </w:r>
    </w:p>
    <w:p>
      <w:pPr/>
      <w:r>
        <w:rPr>
          <w:b/>
        </w:rPr>
        <w:t>POSSIBLE 2019:</w:t>
      </w:r>
      <w:r>
        <w:t xml:space="preserve"> Differentiation in the production potential and efficiency of farms in the member states of the European Union — https://doi.org/10.17221/378/2018-agricecon</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paper contains an evaluation of the differentiation of the production potential and efficiency of farms in the member states of the European Union in 2013-2016. To this end, a taxonomic method - Hellwig's development measure - was used. The study was based on data from the European Union Farm Accountancy Data Network (FADN). The study results indicate that member states such as the Netherlands, Denmark, Luxembourg, Belgium, the United Kingdom and Slovakia were characterised by the best agricultural production potential. The first four member states also showed the highest efficiency with regard to the utilisation of production factors. On the other hand, low and average potential and efficiency were characteristic of farms in most of the new member states.</w:t>
      </w:r>
    </w:p>
    <w:p>
      <w:pPr/>
      <w:r>
        <w:rPr>
          <w:b/>
        </w:rPr>
        <w:t>POSSIBLE 2018:</w:t>
      </w:r>
      <w:r>
        <w:t xml:space="preserve"> The European Union and Member States — https://doi.org/10.7765/9781526137364.00009</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This introduction presents an overview of the key concepts covered in the subsequent chapters of this book. The book takes up traditional approaches to political science. In view of the European Union's multi-level and multi-actor polity, it highlights the complex procedural and institutional set-up of nation states preparing and implementing decisions made by the institutions of the European Community (EC). In looking at the emerging and evolving realities of the European polity, the book explores how European institutions and Member States (re-)act and interact in a new institutional and procedural set-up. It offers a mixture of conventional and specific analyses and insights for different groups of readers. For scholars of international relations, European integration and comparative politics, these evolutions involve looking at both the national level, as in comparative studies, and at the European level, as in integration-related approaches.</w:t>
      </w:r>
    </w:p>
    <w:p>
      <w:pPr/>
      <w:r>
        <w:rPr>
          <w:b/>
        </w:rPr>
        <w:t>POSSIBLE 2018:</w:t>
      </w:r>
      <w:r>
        <w:t xml:space="preserve"> The European Union, the Member States, and the Lex Mercatoria — https://openalex.org/W2806821987</w:t>
      </w:r>
    </w:p>
    <w:p>
      <w:pPr/>
      <w:r>
        <w:rPr>
          <w:b/>
        </w:rPr>
        <w:t>Shared claim-specific concepts:</w:t>
      </w:r>
      <w:r>
        <w:t xml:space="preserve"> member, states, sources; EU scope visible. This is a provisional connection, not an outcome finding.</w:t>
      </w:r>
    </w:p>
    <w:p>
      <w:pPr>
        <w:pStyle w:val="SourceNote"/>
      </w:pPr>
      <w:r>
        <w:rPr>
          <w:b/>
        </w:rPr>
        <w:t>Available abstract (not full text):</w:t>
      </w:r>
      <w:r>
        <w:t xml:space="preserve"> The phenomena linked to the "internationalization" and "globalization" of the economy prompt the demand for uniform legal frameworks in supranational governance and encourage forms of “self-regulation”. This spontaneous attempt at harmonizing law at the supranational level is often prepared by market forces and comes to add to the classical legal models while leading to the emergence of a new lex mercatoria. The aim of this paper is to analyze the openings of the European system to the transnational production of law identified under the term "new lex mercatoria" by verifying all the factors that allow its sources of law to enter into the European legal order. The division of competences between Member States and European Union in this regard is analyzed as well as all their implications in terms of sources of law. The study addresses the relationship between spontaneous and institutional attempts to regulate the markets, as well as their implications, risks and impact on the national legal system. In fact, even though they relate mainly to commercial transactions, questions linked to the rule of law and protection of rights are involved, which require the reconciling of private and public interests.</w:t>
      </w:r>
    </w:p>
    <w:p>
      <w:pPr/>
      <w:r>
        <w:rPr>
          <w:b/>
        </w:rPr>
        <w:t>POSSIBLE 2018:</w:t>
      </w:r>
      <w:r>
        <w:t xml:space="preserve"> CONCENTRATION OF AGRICULTURAL LAND IN THE EUROPEAN UNION MEMBER STATES — https://doi.org/10.5604/01.3001.0012.6692</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The paper discusses the issue of concentration of agricultural land in Poland and in the European Union Member States by indicating the existing situation and changes occurring in the years 2005-2013. For this purpose, on the basis of Eurostat data the Lorenz curves were plotted and the values of the Gini indexes were estimated. As a result of analyzes, it is pointed out that the concentration of agricultural land in the EU has mainly local character, which should be included in the framework of the proposed and implemented Common Agricultural Policy of the European Union and national policies concerning the agricultural sector.</w:t>
      </w:r>
    </w:p>
    <w:p>
      <w:pPr/>
      <w:r>
        <w:rPr>
          <w:b/>
        </w:rPr>
        <w:t>POSSIBLE 2018:</w:t>
      </w:r>
      <w:r>
        <w:t xml:space="preserve"> Energy solidarity in the European Union in the context of the particular interests of the Member States — https://doi.org/10.33223/epj/96205</w:t>
      </w:r>
    </w:p>
    <w:p>
      <w:pPr/>
      <w:r>
        <w:rPr>
          <w:b/>
        </w:rPr>
        <w:t>Shared claim-specific concepts:</w:t>
      </w:r>
      <w:r>
        <w:t xml:space="preserve"> member, states, commission, but, energy; EU scope visible. This is a provisional connection, not an outcome finding.</w:t>
      </w:r>
    </w:p>
    <w:p>
      <w:pPr>
        <w:pStyle w:val="SourceNote"/>
      </w:pPr>
      <w:r>
        <w:rPr>
          <w:b/>
        </w:rPr>
        <w:t>Available abstract (not full text):</w:t>
      </w:r>
      <w:r>
        <w:t xml:space="preserve"> The article presents the question of solidarity in relation to the energy policy of the European Union.This topic seems particularly important in the context of the crisis of the European integration process, which includes, in particular, economic problems, the migration crisis and the withdrawal of the United Kingdom from the European Union (Brexit).The issue of solidarity was analyzed from the legal and formal, institutional, and functional and relational points of view.The aim of the article is to show to what extent the theoretical assumptions, resulting from the provisions of European law on the solidarity, correspond with the actions of the Member States in the energy sector.The practice of the integration process indicates that the particular national economic interests in the energy sector are more important for the Member States than working towards European solidarity.Meanwhile, without a sense of responsibility for the pan-European interest, it is not possible to effectively implement the EU's energy policy.The European Commission -as the guardian of the treaties -confronts the Member States with ambitious challenges to be undertaken "in the spirit of solidarity".In the verbal sphere, this is supported by by capitals of the individual countries, but in practice, the actions taken divide the Member States into opposing camps instead of building a sense of the Europea</w:t>
      </w:r>
    </w:p>
    <w:p>
      <w:pPr/>
      <w:r>
        <w:rPr>
          <w:b/>
        </w:rPr>
        <w:t>POSSIBLE 2018:</w:t>
      </w:r>
      <w:r>
        <w:t xml:space="preserve"> Migration and the economic crisis in the European Union member states: cluster analysis — https://doi.org/10.9770/jesi.2018.6.2(34)</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European Union (EU) is facing large migration flows, whose distribution and volatility in the observed period between 2006 and 2015 across the EU member states, among other factors, were affected by the financial and economic crisis.This paper examines how the homogeneity of the EU member states was changing with respect to economic performance and migration statistics indicators.Consequently, the non-hierarchical cluster analysis by using k-means method was conducted based on the average values of the selected variables in four time periods: the pre-crisis, crisis, and post-crisis periods.The fourth period is year 2015, the beginning of massive immigration in the EU area due to world migration crisis.Our results indicate relative stability of the number and structure of clusters of EU-28 member states in the selected time periods on the bases of observed variables.There are few exceptions, however, related to countries that were heavily influenced by the financial and economic crisis, and Germany which stood out with decreasing unemployment rates and increasing net migration values in the post-crisis period.</w:t>
      </w:r>
    </w:p>
    <w:p>
      <w:pPr/>
      <w:r>
        <w:rPr>
          <w:b/>
        </w:rPr>
        <w:t>POSSIBLE 2017:</w:t>
      </w:r>
      <w:r>
        <w:t xml:space="preserve"> Electricity carbon intensity in European Member States: Impacts on GHG emissions of electric vehicles — https://doi.org/10.1016/j.trd.2017.07.012</w:t>
      </w:r>
    </w:p>
    <w:p>
      <w:pPr/>
      <w:r>
        <w:rPr>
          <w:b/>
        </w:rPr>
        <w:t>Shared claim-specific concepts:</w:t>
      </w:r>
      <w:r>
        <w:t xml:space="preserve"> member, states, compared; EU scope visible. This is a provisional connection, not an outcome finding.</w:t>
      </w:r>
    </w:p>
    <w:p>
      <w:pPr>
        <w:pStyle w:val="SourceNote"/>
      </w:pPr>
      <w:r>
        <w:rPr>
          <w:b/>
        </w:rPr>
        <w:t>Available abstract (not full text):</w:t>
      </w:r>
      <w:r>
        <w:t xml:space="preserve"> The Well-To-Wheels (WTW) methodology is widely used for policy making in the transportation sector. In this paper updated WTW calculations are provided, relying on 2013 statistic data, for the carbon intensity (CI) of the European electricity mix; detail is provided for electricity consumed in each EU Member State (MS). An interesting aspect presented is the calculation of the GHG content of electricity traded between Countries, affecting the carbon intensity of the electricity consumed at national level. The amount and CI of imported electricity is a key aspect: a Country importing electricity from another Country with a lower CI of electricity will lower, after the trade, its electricity CI, while importing electricity from a Country with a higher CI will raise the CI of the importing Country. In average, the CI of electricity used in EU at low voltage in 2013 was 447 gCO 2 eq/kWh, which is the 17% less compared to 2009. Then, some examples of calculation of GHG emissions from the use of electric vehicles (EVs) compared to internal combustion engine vehicles are provided. The use of EVs instead of gasoline vehicles can save (about 60% of) GHG in all or in most of the EU MSs, depending on the estimated consumption of EVs. Compared with diesel, EVs show average GHG savings of around 50% and not savings at all in some EU MS.</w:t>
      </w:r>
    </w:p>
    <w:p>
      <w:pPr>
        <w:pStyle w:val="Heading2"/>
      </w:pPr>
      <w:r>
        <w:t>772.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2020:</w:t>
      </w:r>
      <w:r>
        <w:t xml:space="preserve"> Future Climate Change in the European Alps — https://doi.org/10.1093/acrefore/9780190228620.013.767</w:t>
      </w:r>
    </w:p>
    <w:p>
      <w:pPr/>
      <w:r>
        <w:rPr>
          <w:b/>
        </w:rPr>
        <w:t>Shared claim-specific concepts:</w:t>
      </w:r>
      <w:r>
        <w:t xml:space="preserve"> strong, climate, only, emission, until, projections; EU scope visible. This is a provisional connection, not an outcome finding.</w:t>
      </w:r>
    </w:p>
    <w:p>
      <w:pPr>
        <w:pStyle w:val="SourceNote"/>
      </w:pPr>
      <w:r>
        <w:rPr>
          <w:b/>
        </w:rPr>
        <w:t>Available abstract (not full text):</w:t>
      </w:r>
      <w:r>
        <w:t xml:space="preserve"> Abstract The analysis of state-of-the-art regional climate projections indicates a number of robust changes of the climate of the European Alps by the end of this century. Among these are a temperature increase in all seasons and at all elevations and a significant decrease in natural snow cover. Precipitation changes, however, are more subtle and subject to larger uncertainties. While annual precipitation sums are projected to remain rather constant until the end of the century, winter precipitation is projected to increase. Summer precipitation changes will most likely be negative, but increases are possible as well and are covered by the model uncertainty range. Precipitation extremes are expected to intensify in all seasons. The projected changes by the end of the century considerably depend on the greenhouse-gas scenario assumed, with the high-end RCP8.5 scenario being associated with the most prominent changes. Until the middle of the 21st century, however, it is projected that climate change in the Alpine area will only slightly depend on the specific emission scenario. These results indicate that harmful weather events in the Alpine area are likely to intensify in future. This particularly refers to extreme precipitation events, which can trigger flash floods and gravitational mass movements (debris flows, landslides) and lead to substantial damage. Convective precipita</w:t>
      </w:r>
    </w:p>
    <w:p>
      <w:pPr/>
      <w:r>
        <w:rPr>
          <w:b/>
        </w:rPr>
        <w:t>POSSIBLE 2020:</w:t>
      </w:r>
      <w:r>
        <w:t xml:space="preserve"> Climate change fingerprints in recent European plant phenology — https://doi.org/10.1111/gcb.15000</w:t>
      </w:r>
    </w:p>
    <w:p>
      <w:pPr/>
      <w:r>
        <w:rPr>
          <w:b/>
        </w:rPr>
        <w:t>Shared claim-specific concepts:</w:t>
      </w:r>
      <w:r>
        <w:t xml:space="preserve"> strong, climate, only, period; EU scope visible. This is a provisional connection, not an outcome finding.</w:t>
      </w:r>
    </w:p>
    <w:p>
      <w:pPr>
        <w:pStyle w:val="SourceNote"/>
      </w:pPr>
      <w:r>
        <w:rPr>
          <w:b/>
        </w:rPr>
        <w:t>Available abstract (not full text):</w:t>
      </w:r>
      <w:r>
        <w:t xml:space="preserve"> A paper published in Global Change Biology in 2006 revealed that phenological responses in 1971-2000 matched the warming pattern in Europe, but a lack of chilling and adaptation in farming may have reversed these findings. Therefore, for 1951-2018 in a corresponding data set, we determined changes as linear trends and analysed their variation by plant traits/groups, across season and time as well as their attribution to warming following IPCC methodology. Although spring and summer phases in wild plants advanced less (maximum advances in 1978-2007), more (~90%) and more significant (~60%) negative trends were present, being stronger in early spring, at higher elevations, but smaller for nonwoody insect-pollinated species. These trends were strongly attributable to winter and spring warming. Findings for crop spring phases were similar, but were less pronounced. There were clearer and attributable signs for a delayed senescence in response to winter and spring warming. These changes resulted in a longer growing season, but a constant generative period in wild plants and a shortened one in agricultural crops. Phenology determined by farmers' decisions differed noticeably from the purely climatic driven phases with smaller percentages of advancing (~75%) trends, but farmers' spring activities were the only group with reinforced advancement, suggesting adaptation. Trends in farmers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two, emission, until;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2019:</w:t>
      </w:r>
      <w:r>
        <w:t xml:space="preserve"> Distribution trends of European dragonflies under climate change — https://doi.org/10.1111/ddi.12913</w:t>
      </w:r>
    </w:p>
    <w:p>
      <w:pPr/>
      <w:r>
        <w:rPr>
          <w:b/>
        </w:rPr>
        <w:t>Shared claim-specific concepts:</w:t>
      </w:r>
      <w:r>
        <w:t xml:space="preserve"> climate, only, main;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2019:</w:t>
      </w:r>
      <w:r>
        <w:t xml:space="preserve"> A comparison of low carbon investment needs between China and Europe in stringent climate policy scenarios — https://doi.org/10.1088/1748-9326/ab0dd8</w:t>
      </w:r>
    </w:p>
    <w:p>
      <w:pPr/>
      <w:r>
        <w:rPr>
          <w:b/>
        </w:rPr>
        <w:t>Shared claim-specific concepts:</w:t>
      </w:r>
      <w:r>
        <w:t xml:space="preserve"> strong, climate, two; EU scope visible. This is a provisional connection, not an outcome finding.</w:t>
      </w:r>
    </w:p>
    <w:p>
      <w:pPr>
        <w:pStyle w:val="SourceNote"/>
      </w:pPr>
      <w:r>
        <w:rPr>
          <w:b/>
        </w:rPr>
        <w:t>Available abstract (not full text):</w:t>
      </w:r>
      <w:r>
        <w:t xml:space="preserve"> Abstract The radical change in recent global climate governance calls for China and Europe to ramp up their efforts in leading the world to reach the long-term climate goals. By analyzing the results from the state-of-the-art global integrated assessment model, MESSAGEix-GLOBIOM, this paper aims to understand the future levels of financial investment needed for building and maintaining energy-related infrastructure in the two regions for fulfilling stringent targets consistent with ‘well below 2 °C’. The results indicate that a rapid upscaling and structural change of these investments towards decarbonization are necessitated by the climate stringent scenarios. China and Europe need to increase their low carbon investments by 65% and 38% in a scenario reaching the 2° target relative to their respective reference scenarios which assume no such target from 2016–2050. In a more stringent climate policy scenario of the 1.5° target, these investment needs will increase by 149% and 79% for China and Europe respectively. Among all the energy sectors, energy efficiency, renewable electricity generation and electricity transmission and distribution are the three largest investing targets for the two regions. However, those investments will not likely be realized without strong policy incentives. Implications for green finance and multilateral cooperation initiatives are discussed in the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strong, climate, only, until, projections;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2018:</w:t>
      </w:r>
      <w:r>
        <w:t xml:space="preserve"> Explaining European fungal fruiting phenology with climate variability — https://doi.org/10.1002/ecy.2237</w:t>
      </w:r>
    </w:p>
    <w:p>
      <w:pPr/>
      <w:r>
        <w:rPr>
          <w:b/>
        </w:rPr>
        <w:t>Shared claim-specific concepts:</w:t>
      </w:r>
      <w:r>
        <w:t xml:space="preserve"> climate, two, main; EU scope visible. This is a provisional connection, not an outcome finding.</w:t>
      </w:r>
    </w:p>
    <w:p>
      <w:pPr>
        <w:pStyle w:val="SourceNote"/>
      </w:pPr>
      <w:r>
        <w:rPr>
          <w:b/>
        </w:rPr>
        <w:t>Available abstract (not full text):</w:t>
      </w:r>
      <w:r>
        <w:t xml:space="preserve"> Here we assess the impact of geographically dependent (latitude, longitude, and altitude) changes in bioclimatic (temperature, precipitation, and primary productivity) variability on fungal fruiting phenology across Europe. Two main nutritional guilds of fungi, saprotrophic and ectomycorrhizal, were further separated into spring and autumn fruiters. We used a path analysis to investigate how biogeographic patterns in fungal fruiting phenology coincided with seasonal changes in climate and primary production. Across central to northern Europe, mean fruiting varied by approximately 25 d, primarily with latitude. Altitude affected fruiting by up to 30 d, with spring delays and autumnal accelerations. Fruiting was as much explained by the effects of bioclimatic variability as by their large-scale spatial patterns. Temperature drove fruiting of autumnal ectomycorrhizal and saprotrophic groups as well as spring saprotrophic groups, while primary production and precipitation were major drivers for spring-fruiting ectomycorrhizal fungi. Species-specific phenology predictors were not stable, instead deviating from the overall mean. There is significant likelihood that further climatic change, especially in temperature, will impact fungal phenology patterns at large spatial scales. The ecological implications are diverse, potentially affecting food webs (asynchrony), nutrient cycling and</w:t>
      </w:r>
    </w:p>
    <w:p>
      <w:pPr/>
      <w:r>
        <w:rPr>
          <w:b/>
        </w:rPr>
        <w:t>POSSIBLE 2018:</w:t>
      </w:r>
      <w:r>
        <w:t xml:space="preserve"> Decline in climate resilience of European wheat — https://doi.org/10.1073/pnas.1804387115</w:t>
      </w:r>
    </w:p>
    <w:p>
      <w:pPr/>
      <w:r>
        <w:rPr>
          <w:b/>
        </w:rPr>
        <w:t>Shared claim-specific concepts:</w:t>
      </w:r>
      <w:r>
        <w:t xml:space="preserve"> climate, after, show; EU scope visible. This is a provisional connection, not an outcome finding.</w:t>
      </w:r>
    </w:p>
    <w:p>
      <w:pPr>
        <w:pStyle w:val="SourceNote"/>
      </w:pPr>
      <w:r>
        <w:rPr>
          <w:b/>
        </w:rPr>
        <w:t>Available abstract (not full text):</w:t>
      </w:r>
      <w:r>
        <w:t xml:space="preserve"> Food security relies on the resilience of staple food crops to climatic variability and extremes, but the climate resilience of European wheat is unknown. A diversity of responses to disturbance is considered a key determinant of resilience. The capacity of a sole crop genotype to perform well under climatic variability is limited; therefore, a set of cultivars with diverse responses to weather conditions critical to crop yield is required. Here, we show a decline in the response diversity of wheat in farmers' fields in most European countries after 2002-2009 based on 101,000 cultivar yield observations. Similar responses to weather were identified in cultivar trials among central European countries and southern European countries. A response diversity hotspot appeared in the trials in Slovakia, while response diversity "deserts" were identified in Czechia and Germany and for durum wheat in southern Europe. Positive responses to abundant precipitation were lacking. This assessment suggests that current breeding programs and cultivar selection practices do not sufficiently prepare for climatic uncertainty and variability. Consequently, the demand for climate resilience of staple food crops such as wheat must be better articulated. Assessments and communication of response diversity enable collective learning across supply chains. Increased awareness could foster governance of re</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climate, only, until, projections, show;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pStyle w:val="Heading2"/>
      </w:pPr>
      <w:r>
        <w:t>773.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pStyle w:val="Heading2"/>
      </w:pPr>
      <w:r>
        <w:t>774.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2024:</w:t>
      </w:r>
      <w:r>
        <w:t xml:space="preserve"> The essence and content of scientific research methodology — https://doi.org/10.12775/jehs.2024.63.020</w:t>
      </w:r>
    </w:p>
    <w:p>
      <w:pPr/>
      <w:r>
        <w:rPr>
          <w:b/>
        </w:rPr>
        <w:t>Shared claim-specific concepts:</w:t>
      </w:r>
      <w:r>
        <w:t xml:space="preserve"> analyzes, content, methodology; EU scope not established. This is a provisional connection, not an outcome finding.</w:t>
      </w:r>
    </w:p>
    <w:p>
      <w:pPr>
        <w:pStyle w:val="SourceNote"/>
      </w:pPr>
      <w:r>
        <w:rPr>
          <w:b/>
        </w:rPr>
        <w:t>Available abstract (not full text):</w:t>
      </w:r>
      <w:r>
        <w:t xml:space="preserve"> The article analyzes the essence and content of the concepts "methodology", "methods of scientific research". The content of general and special methods of conducting scientific research is disclosed. It has been established that the methodology of scientific research is a conceptual statement of the content, purpose, and methods of research that allow obtaining the most objective, systematized and accurate information about phenomena and processes. The methodology systematizes the methods, methods and methods of learning objective reality, ensuring the reliability of the obtained knowledge about the object of research, their compliance with the subject of research, and is also a means of substantiating the results and conclusions of the conducted scientific research. The methods of scientific research mean a set of cognitive rules and techniques, implemented in the form of interconnected operations, designed to obtain new knowledge, consisting of three stages: research, proof and explanation. Methods are a set of techniques and methods of activity that allow a person or organization to achieve set goals. The choice of methods depends on the nature and content of the problem, the terms and resources allocated for its study, the amount and quality of available information. The authors characterized the content of empirical, theoretical and special methods of scientific research.</w:t>
      </w:r>
    </w:p>
    <w:p>
      <w:pPr/>
      <w:r>
        <w:rPr>
          <w:b/>
        </w:rPr>
        <w:t>POSSIBLE 2023:</w:t>
      </w:r>
      <w:r>
        <w:t xml:space="preserve"> Analyzing YouTube Content: Methodological Considerations for Technical Communication Research — https://doi.org/10.1145/3615335.3623005</w:t>
      </w:r>
    </w:p>
    <w:p>
      <w:pPr/>
      <w:r>
        <w:rPr>
          <w:b/>
        </w:rPr>
        <w:t>Shared claim-specific concepts:</w:t>
      </w:r>
      <w:r>
        <w:t xml:space="preserve"> methodological, content, approach; EU scope not established. This is a provisional connection, not an outcome finding.</w:t>
      </w:r>
    </w:p>
    <w:p>
      <w:pPr>
        <w:pStyle w:val="SourceNote"/>
      </w:pPr>
      <w:r>
        <w:rPr>
          <w:b/>
        </w:rPr>
        <w:t>Available abstract (not full text):</w:t>
      </w:r>
      <w:r>
        <w:t xml:space="preserve"> The YouTube platform plays a vital role in contemporary technical communication as a central warehouse of technical instructions. Though several studies have explored the importance of specific videos, creators, and communities, it is also necessary to study the platform with a wider, data-driven lens in order to consider rhetorical strategies across channels and communities. But while this relationship between close and distant reading has been applied successfully to text-focused platforms, YouTube's multimodality leads to challenges of scale and categorization for researchers taking a data-driven approach. This paper presents methodological insights from a study sampling and analyzing 300 YouTube videos. The authors reflect on the methodological challenges and propose potential solutions.</w:t>
      </w:r>
    </w:p>
    <w:p>
      <w:pPr/>
      <w:r>
        <w:rPr>
          <w:b/>
        </w:rPr>
        <w:t>POSSIBLE 2023:</w:t>
      </w:r>
      <w:r>
        <w:t xml:space="preserve"> Methodology for Analyzing Qualitative Data in Multiple Languages — https://doi.org/10.1097/nnr.0000000000000673</w:t>
      </w:r>
    </w:p>
    <w:p>
      <w:pPr/>
      <w:r>
        <w:rPr>
          <w:b/>
        </w:rPr>
        <w:t>Shared claim-specific concepts:</w:t>
      </w:r>
      <w:r>
        <w:t xml:space="preserve"> content, methodology, developed; EU scope not established. This is a provisional connection, not an outcome finding.</w:t>
      </w:r>
    </w:p>
    <w:p>
      <w:pPr>
        <w:pStyle w:val="SourceNote"/>
      </w:pPr>
      <w:r>
        <w:rPr>
          <w:b/>
        </w:rPr>
        <w:t>Available abstract (not full text):</w:t>
      </w:r>
      <w:r>
        <w:t xml:space="preserve"> BACKGROUND: Translation strategies are commonly used for qualitative interview data to bridge language barriers. Inconsistent translation of interviews can lead to conceptual inequivalence, where meanings of participants' experiences are distorted, threatening scientific rigor. OBJECTIVES: Our objective is to describe a systematic method developed to analyze multilingual, qualitative interview data while maintaining the original language of the transcripts. METHODS: A literature review of translation strategies, cross-language, and multilingual qualitative research was conducted. Combined with criteria for qualitative content analysis and trustworthiness, the methodology was developed and used for a qualitative descriptive study. RESULTS: The study had interview data in both English and Spanish. The research team consisted of both native Spanish and English speakers, who were grouped based on language. Verbatim transcription of data occurred in the original languages. All codes were kept in English, allowing the research team to view the data set as a whole. Two researchers within each group coded each transcript independently before reaching a consensus. The entire research team discussed all transcripts, and finally, major themes were determined. Participants' quotes remained in the original language for publication, with an English translation included when needed. DISCUSSIO</w:t>
      </w:r>
    </w:p>
    <w:p>
      <w:pPr/>
      <w:r>
        <w:rPr>
          <w:b/>
        </w:rPr>
        <w:t>POSSIBLE 2021:</w:t>
      </w:r>
      <w:r>
        <w:t xml:space="preserve"> METHODOLOGY OF ANALYSIS OF THE CONTENT OF ELECTRONIC MEDIA — https://doi.org/10.32782/2224-6282/176-25</w:t>
      </w:r>
    </w:p>
    <w:p>
      <w:pPr/>
      <w:r>
        <w:rPr>
          <w:b/>
        </w:rPr>
        <w:t>Shared claim-specific concepts:</w:t>
      </w:r>
      <w:r>
        <w:t xml:space="preserve"> content, issues, methodology, first, second; EU scope not established. This is a provisional connection, not an outcome finding.</w:t>
      </w:r>
    </w:p>
    <w:p>
      <w:pPr>
        <w:pStyle w:val="SourceNote"/>
      </w:pPr>
      <w:r>
        <w:rPr>
          <w:b/>
        </w:rPr>
        <w:t>Available abstract (not full text):</w:t>
      </w:r>
      <w:r>
        <w:t xml:space="preserve"> In the conditions of modern information society, the analysis of the flow of media information is of particular importance. Therefore, the issues of content analysis, which is based on the conversion of qualitative data into digital format in order to obtain information processing capabilities using technologies of big-data analytics and artificial intelligence approaches, are especially relevant. This study summarized the views on the use of content analysis and proposed a methodology for analyzing the content of electronic media for targeting and determining preferences for the content of publications. For this purpose, were proposed were proposed a conceptual scheme for conducting content analysis, which consists of 5 stages. The first stage consists of creating and updating a full-text database on a daily basis by automated data collection and retrieval of content from media websites (web scraping). The second stage involves using of modules for determining useful content (parsing) and its subsequent storage in the database. The quantitative analysis stage is especially important when generalization, aggregation of results, or to calculate the frequency of words (frequency analysis), categories, tags and expressions, as well as their joint use in the text. The purpose of qualitative analysis is to reduce the material so that the main content remains. Similarly, qualitative </w:t>
      </w:r>
    </w:p>
    <w:p>
      <w:pPr/>
      <w:r>
        <w:rPr>
          <w:b/>
        </w:rPr>
        <w:t>POSSIBLE 2021:</w:t>
      </w:r>
      <w:r>
        <w:t xml:space="preserve"> Abusive supervision: a content analysis of theory and methodology — https://doi.org/10.1108/cms-01-2021-0017</w:t>
      </w:r>
    </w:p>
    <w:p>
      <w:pPr/>
      <w:r>
        <w:rPr>
          <w:b/>
        </w:rPr>
        <w:t>Shared claim-specific concepts:</w:t>
      </w:r>
      <w:r>
        <w:t xml:space="preserve"> methodological, content, issues, design, methodology, approach; EU scope not established. This is a provisional connection, not an outcome finding.</w:t>
      </w:r>
    </w:p>
    <w:p>
      <w:pPr>
        <w:pStyle w:val="SourceNote"/>
      </w:pPr>
      <w:r>
        <w:rPr>
          <w:b/>
        </w:rPr>
        <w:t>Available abstract (not full text):</w:t>
      </w:r>
      <w:r>
        <w:t xml:space="preserve"> Purpose Despite recent organizational behavior studies have witnessed considerable progress in abusive supervision research; some demerits for both theory and methodology still remain in the past years. To clarify the current state of knowledge in the field, this study aims to analyze the current state of theories and methods on abusive supervision and provides a detailed future research agenda. Design/methodology/approach This paper conducted a literature review for both theory and methodology of the abusive supervision research using a content analysis of 134 publications. Findings For the theory part, this paper summarized the theories that had been applied to explain the relationship between abusive supervision and its consequences as well as antecedents. For the methodology part, this paper outlined some critical issues regarding country of origin, research design, measurement, analysis strategy and also summarized with a discussion of the relationship between methodological issues and article impact. Finally, this paper concluded by presenting an agenda for future abusive supervision research regarding both theory and methodology. Originality/value First, this paper summarizes the main theories, antecedents and consequences often used in abusive supervision research to allow scholars to carry out theoretically driven research investigating abusive supervision in the futur</w:t>
      </w:r>
    </w:p>
    <w:p>
      <w:pPr/>
      <w:r>
        <w:rPr>
          <w:b/>
        </w:rPr>
        <w:t>POSSIBLE 2021:</w:t>
      </w:r>
      <w:r>
        <w:t xml:space="preserve"> Problems of developing a methodology to analyze integrated reporting — https://doi.org/10.24891/ea.20.4.645</w:t>
      </w:r>
    </w:p>
    <w:p>
      <w:pPr/>
      <w:r>
        <w:rPr>
          <w:b/>
        </w:rPr>
        <w:t>Shared claim-specific concepts:</w:t>
      </w:r>
      <w:r>
        <w:t xml:space="preserve"> content, methodology, assessment; EU scope not established. This is a provisional connection, not an outcome finding.</w:t>
      </w:r>
    </w:p>
    <w:p>
      <w:pPr>
        <w:pStyle w:val="SourceNote"/>
      </w:pPr>
      <w:r>
        <w:rPr>
          <w:b/>
        </w:rPr>
        <w:t>Available abstract (not full text):</w:t>
      </w:r>
      <w:r>
        <w:t xml:space="preserve"> Subject. The article identifies problems related to the development of a methodology to analyze integrated reporting. Objectives. The purpose of the study is to reveal analytical capabilities of integrated reporting, develop a model of integrated reporting analysis methodology, which will become a basis for further development of this promising area of analysis. Methods. The methods of the study include analysis, synthesis, generalization, abstraction, comparison, and logic technique. Results. The study shows problems in the development of a generally accepted methodology for the analysis of integrated reporting. I offer a unique model, which includes target setting, subjects, and thematic areas. Two main thematic areas are the analysis for compliance with concepts, principles and content elements of integrated reporting, and the analysis of the process, through which value is created, preserved, or eroded. Within the latter analysis, the paper highlights the analysis of external environment, the analysis of strategy, goals, value created by an organization for itself and for others, the analysis of the business model and the quality of organization’s governance, the analysis of risks and opportunities, and the generalized assessment of value creation. Conclusions. The findings may serve as a basis for further development of integrated reporting analysis.</w:t>
      </w:r>
    </w:p>
    <w:p>
      <w:pPr/>
      <w:r>
        <w:rPr>
          <w:b/>
        </w:rPr>
        <w:t>POSSIBLE 2021:</w:t>
      </w:r>
      <w:r>
        <w:t xml:space="preserve"> Methodological Approach to Use of Web Content by Small Business — https://doi.org/10.3103/s0147688221020040</w:t>
      </w:r>
    </w:p>
    <w:p>
      <w:pPr/>
      <w:r>
        <w:rPr>
          <w:b/>
        </w:rPr>
        <w:t>Shared claim-specific concepts:</w:t>
      </w:r>
      <w:r>
        <w:t xml:space="preserve"> methodological, content, approach, developed; EU scope not established. This is a provisional connection, not an outcome finding.</w:t>
      </w:r>
    </w:p>
    <w:p>
      <w:pPr>
        <w:pStyle w:val="SourceNote"/>
      </w:pPr>
      <w:r>
        <w:rPr>
          <w:b/>
        </w:rPr>
        <w:t>Available abstract (not full text):</w:t>
      </w:r>
      <w:r>
        <w:t xml:space="preserve"> Abstract Digitization encourages accumulation of web content, an important resource of economic activity. Despite high level of development of technology of work with web content, the need for significant expenses restricts its use by small businesses. Web content characterized by absence of structure, diversity of sources, and high speed of data flow, is included in the concept of “Big Data”, efficient work with which requires access to financial, computing, and labor resources. The developed and tested methodological approach to use of web content, taking into account capabilities of small business, enables a specialist in any subject area to upload textual information, convert it into a database, and analyze it using widespread or public domain software.</w:t>
      </w:r>
    </w:p>
    <w:p>
      <w:pPr/>
      <w:r>
        <w:rPr>
          <w:b/>
        </w:rPr>
        <w:t>POSSIBLE 2020:</w:t>
      </w:r>
      <w:r>
        <w:t xml:space="preserve"> Sectoral Newspaper of the USSR Food Industry in 1928-1937 as a Historical Source: on the Issue of the Methodology for Analyzing Its Content — https://doi.org/10.7256/2454-0609.2020.2.32033</w:t>
      </w:r>
    </w:p>
    <w:p>
      <w:pPr/>
      <w:r>
        <w:rPr>
          <w:b/>
        </w:rPr>
        <w:t>Shared claim-specific concepts:</w:t>
      </w:r>
      <w:r>
        <w:t xml:space="preserve"> methodological, content, methodology, approach, first, second; EU scope not established. This is a provisional connection, not an outcome finding.</w:t>
      </w:r>
    </w:p>
    <w:p>
      <w:pPr>
        <w:pStyle w:val="SourceNote"/>
      </w:pPr>
      <w:r>
        <w:rPr>
          <w:b/>
        </w:rPr>
        <w:t>Available abstract (not full text):</w:t>
      </w:r>
      <w:r>
        <w:t xml:space="preserve"> The article considers the difficulties in formulating the correct methodological approaches for studying the Soviet print mass media. The article's research subject is the source study specifics of the sectoral newspaper of the USSR food industry during the first and second Five-Year Plans, which influence the choice of methods for analyzing this source. The author proposes an approach to studying this periodical based on a combination of classical sources and computerized analysis of editorial texts in the MAXQDA 2020 program, providing a brief description of the possibilities offered by the new version of this program to scholars studying media texts. The article concludes that the study of such a multifaceted historical source as the branch newspaper Pishchevik ("For the Food Industry", "Food Industry") should be carried out using content analysis, which will systematize the dynamics of changes in the agenda of one of the largest industries of the USSR in 1928–1937. The article considers the difficulties in formulating the correct methodological approaches for studying the Soviet print mass media. The article's research subject is the source study specifics of the sectoral newspaper of the USSR food industry during the first and second Five-Year Plans, which influence the choice of methods for analyzing this source. The author proposes an approach to studying this periodical</w:t>
      </w:r>
    </w:p>
    <w:p>
      <w:pPr/>
      <w:r>
        <w:rPr>
          <w:b/>
        </w:rPr>
        <w:t>POSSIBLE 2019:</w:t>
      </w:r>
      <w:r>
        <w:t xml:space="preserve"> Content Analysis: An Introduction to Its Methodology — https://doi.org/10.4135/9781071878781</w:t>
      </w:r>
    </w:p>
    <w:p>
      <w:pPr/>
      <w:r>
        <w:rPr>
          <w:b/>
        </w:rPr>
        <w:t>Shared claim-specific concepts:</w:t>
      </w:r>
      <w:r>
        <w:t xml:space="preserve"> content, methodology, core, second; EU scope not established. This is a provisional connection, not an outcome finding.</w:t>
      </w:r>
    </w:p>
    <w:p>
      <w:pPr>
        <w:pStyle w:val="SourceNote"/>
      </w:pPr>
      <w:r>
        <w:rPr>
          <w:b/>
        </w:rPr>
        <w:t>Available abstract (not full text):</w:t>
      </w:r>
      <w:r>
        <w:t xml:space="preserve"> "The Second Edition of Content Analysis is a sourcebook of the history and core principles of content analysis as well as an essential resource for present and future studies. The book introduces readers to ways of analyzing meaningful matter such as texts, images, voices - that is, data whose physical manifestations are secondary to the meanings that a particular population of people brings to them." "The author has completely revised and updated the Second Edition, integrating new information on computer-aided text analysis. The book also includes a practical guide that incorporates experiences in teaching and how to advise academic and commercial researchers. In addition, Krippendorff clarifies the epistemology and logic of content analysis as well as the methods for achieving its aims." "Intended as a textbook for advanced undergraduate and graduate students across the social sciences, Content Analysis, Second Edition will also be a valuable resource for practitioners in a variety of disciplines."--BOOK JACKET.</w:t>
      </w:r>
    </w:p>
    <w:p>
      <w:pPr/>
      <w:r>
        <w:rPr>
          <w:b/>
        </w:rPr>
        <w:t>POSSIBLE 2018:</w:t>
      </w:r>
      <w:r>
        <w:t xml:space="preserve"> Toward a Methodology for Analyzing Visual Rhetoric in Corporate Reports — https://doi.org/10.1177/1094428118765942</w:t>
      </w:r>
    </w:p>
    <w:p>
      <w:pPr/>
      <w:r>
        <w:rPr>
          <w:b/>
        </w:rPr>
        <w:t>Shared claim-specific concepts:</w:t>
      </w:r>
      <w:r>
        <w:t xml:space="preserve"> content, design, methodology, framework; EU scope not established. This is a provisional connection, not an outcome finding.</w:t>
      </w:r>
    </w:p>
    <w:p>
      <w:pPr>
        <w:pStyle w:val="SourceNote"/>
      </w:pPr>
      <w:r>
        <w:rPr>
          <w:b/>
        </w:rPr>
        <w:t>Available abstract (not full text):</w:t>
      </w:r>
      <w:r>
        <w:t xml:space="preserve"> This article presents a methodology that organizational scholars can use to analyze, explain, and critically interpret the role of visual rhetoric in organizational communications. Corporations invest heavily in the visual design of organizational communications, including corporate reports, recognizing the distinctive role and benefits of visual imagery, as well as the rhetorical function of these documents. Current analytical approaches to visual rhetoric are either predominantly theoretical (with little structured guidance) or procedural (with little acknowledgment of important epistemic questions). This leaves a need for a methodology that combines a clear theoretical framework with explicit guidance on how to analyze visual rhetoric. This article bridges this analytic gap by offering a methodology that integrates a theoretical foundation of a priori analytical categories informed by selected writings of the French cultural theorist Roland Barthes with three abductively derived phases (categorical analysis, content analysis, rhetorical analysis) for analysis of visual design of corporate reports. We apply this methodology in an examination of a Qantas Annual Review and articulate our contributions to the field of organizational research methods.</w:t>
      </w:r>
    </w:p>
    <w:p>
      <w:pPr/>
      <w:r>
        <w:rPr>
          <w:b/>
        </w:rPr>
        <w:t>POSSIBLE 2018:</w:t>
      </w:r>
      <w:r>
        <w:t xml:space="preserve"> Expanding Expressive Range: Evaluation Methodologies for Procedural Content Generation — https://doi.org/10.1609/aiide.v14i1.13012</w:t>
      </w:r>
    </w:p>
    <w:p>
      <w:pPr/>
      <w:r>
        <w:rPr>
          <w:b/>
        </w:rPr>
        <w:t>Shared claim-specific concepts:</w:t>
      </w:r>
      <w:r>
        <w:t xml:space="preserve"> content, systems, design, methodology; EU scope not established. This is a provisional connection, not an outcome finding.</w:t>
      </w:r>
    </w:p>
    <w:p>
      <w:pPr>
        <w:pStyle w:val="SourceNote"/>
      </w:pPr>
      <w:r>
        <w:rPr>
          <w:b/>
        </w:rPr>
        <w:t>Available abstract (not full text):</w:t>
      </w:r>
      <w:r>
        <w:t xml:space="preserve"> Procedural Content Generation (PCG) has been a part of video games for the majority of their existence and have been an area of active research over the past decade. How- ever, despite the interest in PCG there is no commonly ac- cepted methodology for assessing and analyzing a generator. Furthermore, the recent trend towards machine learned PCG techniques commonly state the goal of learning the design within the original content, but there has been little assess- ment of whether these techniques actually achieve this goal. This paper presents a number of techniques for the assess- ment and analysis of PCG systems, allowing practitioners and researchers better insight into the strengths and weaknesses of these systems, allowing for better comparison of systems, and reducing the reliance on ad-hoc, cherry-picking-prone tech- niques.</w:t>
      </w:r>
    </w:p>
    <w:p>
      <w:pPr>
        <w:pStyle w:val="Heading2"/>
      </w:pPr>
      <w:r>
        <w:t>775.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776.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2024:</w:t>
      </w:r>
      <w:r>
        <w:t xml:space="preserve"> Evaluation of the European Society of Cardiology Risk Assessment Score in Incident Systemic Sclerosis‐Associated Pulmonary Arterial Hypertension — https://doi.org/10.1002/acr.25328</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OBJECTIVE: Patients with pulmonary arterial hypertension (PAH) may be stratified as low, intermediate, or high risk of 1-year mortality. In 2022, the European Society of Cardiology (ESC) updated and simplified its risk stratification tool, based on three variables: World Health Organization functional class, serum N-terminal pro-brain type natriuretic peptide and six-minute walk distance, applied at follow-up visits, intended to guide therapy over time. METHODS: We applied the 2022 ESC risk assessment tool at baseline and follow-up (within 2 years) to a multinational incident cohort of systemic sclerosis-associated PAH (SSc-PAH). Kaplan-Meier curves, Cox hazards regression, and accelerated failure time models were used to evaluate survival by risk score. RESULTS: At baseline (n = 260), the majority of SSc-PAH (72.2%) were graded as intermediate risk of death according to the 2022 tool. At follow-up, according to 2022 tool, half (55.5%) of the cohort were classified as low or intermediate-low risk. The 2022 risk model at follow-up was able to differentiate survival between risk strata. All three individual parameters (World Health Organization functional class, N-terminal pro-brain type natriuretic peptide, six-minute walk distance) were significantly associated with mortality at baseline and/or follow-up. CONCLUSION: The 2022 ESC risk assessment strategy applied at baseline and</w:t>
      </w:r>
    </w:p>
    <w:p>
      <w:pPr/>
      <w:r>
        <w:rPr>
          <w:b/>
        </w:rPr>
        <w:t>POSSIBLE 2023:</w:t>
      </w:r>
      <w:r>
        <w:t xml:space="preserve"> Conceptual models of drought risks for Europe: a step towards a systemic perspective on drought — https://doi.org/10.5194/egusphere-egu23-7991</w:t>
      </w:r>
    </w:p>
    <w:p>
      <w:pPr/>
      <w:r>
        <w:rPr>
          <w:b/>
        </w:rPr>
        <w:t>Shared claim-specific concepts:</w:t>
      </w:r>
      <w:r>
        <w:t xml:space="preserve"> based, systemic, assessment, factors; EU scope visible. This is a provisional connection, not an outcome finding.</w:t>
      </w:r>
    </w:p>
    <w:p>
      <w:pPr>
        <w:pStyle w:val="SourceNote"/>
      </w:pPr>
      <w:r>
        <w:rPr>
          <w:b/>
        </w:rPr>
        <w:t>Available abstract (not full text):</w:t>
      </w:r>
      <w:r>
        <w:t xml:space="preserve"> In recent years, research on drought risk has expanded to include multiple types of drought hazards, various exposed elements and a multitude of factors that determine the vulnerability of a given system or sector. This has resulted in a call from the scientific community to adopt a systemic risk perspective on drought. However, a thorough understanding of how drought risks manifest, cascade and interact across different systems and sectors is still lacking, and methodological guidance on how to analyse and represent these interdependencies does not yet exist. In order to explore these gaps, we have developed conceptual models of drought risks for key selected systems and sectors in the European Union. For each system and sector considered (rain fed and irrigated agricultural systems, forest ecosystems, freshwater ecosystems, public water supply, inland water transport and the energy sector), a conceptual model was constructed to depict how drivers and root causes interact to create drought risk. The models are based on the impact chains methodology and are informed by literature review and multiple expert consultations (including a series of validation workshops). Subsequently, the system-specific models were used to build an overarching conceptual model of the critical interdependencies that exist between all the systems and sectors considered. The analysis has revealed that,</w:t>
      </w:r>
    </w:p>
    <w:p>
      <w:pPr/>
      <w:r>
        <w:rPr>
          <w:b/>
        </w:rPr>
        <w:t>POSSIBLE 2021:</w:t>
      </w:r>
      <w:r>
        <w:t xml:space="preserve"> You’ll never work alone: A systemic assessment of the European Arrest Warrant and judicial independence — https://doi.org/10.54648/cola2021047</w:t>
      </w:r>
    </w:p>
    <w:p>
      <w:pPr/>
      <w:r>
        <w:rPr>
          <w:b/>
        </w:rPr>
        <w:t>Shared claim-specific concepts:</w:t>
      </w:r>
      <w:r>
        <w:t xml:space="preserve"> based, systemic, assessment, framework; EU scope visible. This is a provisional connection, not an outcome finding.</w:t>
      </w:r>
    </w:p>
    <w:p>
      <w:pPr>
        <w:pStyle w:val="SourceNote"/>
      </w:pPr>
      <w:r>
        <w:rPr>
          <w:b/>
        </w:rPr>
        <w:t>Available abstract (not full text):</w:t>
      </w:r>
      <w:r>
        <w:t xml:space="preserve"> The adage is that the European Arrest Warrant (EAW) is built on the principle of mutual trust: the presumption that Member States comply with fundamental rights save in exceptional circumstances. However, the very existence of the EAW rests on the proper interpretation and application of fundamental rights standards, and on sincere cooperation between judicial authorities.With that in mind, the present article gives a systemic analysis of the EAW. After outlining the key features of its functioning, the paper discusses the system of exceptions to surrender: mandatory and optional grounds for refusal in the EAW Framework Decision (FD), the fundamental rights exception, and cases of invalidity. As the EAW is based on automaticity, the exceptions define the traits of its identity. The article’s conclusions reveal the importance of sincere cooperation to strengthen mutual trust, with judicial independence as an essential precondition. The article’s comprehensive assessment offers an original contribution to the debate about judicial independence in EU law, the operation of the EAW and its role in the wider context of the Union as a legal order.</w:t>
      </w:r>
    </w:p>
    <w:p>
      <w:pPr/>
      <w:r>
        <w:rPr>
          <w:b/>
        </w:rPr>
        <w:t>POSSIBLE 2020:</w:t>
      </w:r>
      <w:r>
        <w:t xml:space="preserve"> Consensus-based recommendations for the management of juvenile systemic sclerosis — https://doi.org/10.1093/rheumatology/keaa584</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Juvenile systemic sclerosis (JSSc) is a rare disease of childhood and currently no international consensus exists with regard to its assessment and treatment. This SHARE (Single Hub and Access point for paediatric Rheumatology in Europe) initiative, based on expert opinion informed by the best available evidence, provides recommendations for the assessment and treatment of patients with JSSc with a view to improving their outcome. Experts focused attention not only on the skin assessment but also on the early signs of internal organ involvement whose proper treatment can significantly affect the long-term outcome. A score for disease severity is proposed in order to perform a structured assessment of outcome over time but a validation in a wider patient population is recommended. Finally, a stepwise treatment approach is proposed in order to unify the standard of care throughout Europe with the aim to reduce morbidity and mortality in this disease.</w:t>
      </w:r>
    </w:p>
    <w:p>
      <w:pPr/>
      <w:r>
        <w:rPr>
          <w:b/>
        </w:rPr>
        <w:t>POSSIBLE 2020:</w:t>
      </w:r>
      <w:r>
        <w:t xml:space="preserve"> A review of nature-based solutions for urban water management in European circular cities: a critical assessment based on case studies and literature — https://doi.org/10.2166/bgs.2020.932</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Abstract Nature-based solutions (NBS) can protect, manage and restore natural or modified ecosystems. They are a multidisciplinary, integrated approach to address societal challenges and some natural hazards effectively and adaptively, simultaneously providing human well-being and biodiversity benefits. NBS applications can be easily noticed in circular cities, establishing an urban system that is regenerative and accessible. This paper aims to offer a review on NBS for urban water management from the literature and some relevant projects running within the COST Action ‘Implementing nature-based solutions for creating a resourceful circular city’. The method used in the study is based on a detailed tracking of specific keywords in the literature using Google Scholar, ResearchGate, Academia.edu, ScienceDirect and Scopus. Based on this review, three main applications were identified: (i) flood and drought protection; (ii) the water-food-energy nexus; and (iii) water purification. The paper shows that NBS provide additional benefits, such as improving water quality, increasing biodiversity, obtaining social co-benefits, improving urban microclimate, and the reduction of energy consumption by improving indoor climate. The paper concludes that a systemic change to NBS should be given a higher priority and be preferred over conventional water infrastructure.</w:t>
      </w:r>
    </w:p>
    <w:p>
      <w:pPr/>
      <w:r>
        <w:rPr>
          <w:b/>
        </w:rPr>
        <w:t>POSSIBLE 2020:</w:t>
      </w:r>
      <w:r>
        <w:t xml:space="preserve"> The SREP assessment of systemically important financial institutions: evidence from Europe — https://openalex.org/W3165877344</w:t>
      </w:r>
    </w:p>
    <w:p>
      <w:pPr/>
      <w:r>
        <w:rPr>
          <w:b/>
        </w:rPr>
        <w:t>Shared claim-specific concepts:</w:t>
      </w:r>
      <w:r>
        <w:t xml:space="preserve"> based, assessment, process; EU scope visible. This is a provisional connection, not an outcome finding.</w:t>
      </w:r>
    </w:p>
    <w:p>
      <w:pPr>
        <w:pStyle w:val="SourceNote"/>
      </w:pPr>
      <w:r>
        <w:rPr>
          <w:b/>
        </w:rPr>
        <w:t>Available abstract (not full text):</w:t>
      </w:r>
      <w:r>
        <w:t xml:space="preserve"> The supervisory review and evaluation process. What the SREP is: content and implementation. Regulatory steps toward the process. Empirical evidence on regulatory. SREP procedures and methodologies based on EBA’s guidelines. Overview of EBA’s guidelines. Categorization of an institution and periodic review thereof. Monitoring of key indicators. Assessment of internal governance and institution-wide controls. Assessment of risks to capital. The overall SREP assessment and application of supervisory measures. Supervisory reaction to a situation where TSCR/P2G is not met. Analysis of the SREP outcomes in the Eurozone.</w:t>
      </w:r>
    </w:p>
    <w:p>
      <w:pPr/>
      <w:r>
        <w:rPr>
          <w:b/>
        </w:rPr>
        <w:t>POSSIBLE 2018:</w:t>
      </w:r>
      <w:r>
        <w:t xml:space="preserve"> A strategy for systemic toxicity assessment based on non-animal approaches: The Cosmetics Europe Long Range Science Strategy programme — https://doi.org/10.1016/j.tiv.2018.02.017</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The Role of Urban Agriculture as a Nature-Based Solution: A Review for Developing a Systemic Assessment Framework — https://doi.org/10.3390/su10061937</w:t>
      </w:r>
    </w:p>
    <w:p>
      <w:pPr/>
      <w:r>
        <w:rPr>
          <w:b/>
        </w:rPr>
        <w:t>Shared claim-specific concepts:</w:t>
      </w:r>
      <w:r>
        <w:t xml:space="preserve"> based, systemic, assessment, framework; EU scope not established. This is a provisional connection, not an outcome finding.</w:t>
      </w:r>
    </w:p>
    <w:p>
      <w:pPr>
        <w:pStyle w:val="SourceNote"/>
      </w:pPr>
      <w:r>
        <w:rPr>
          <w:b/>
        </w:rPr>
        <w:t>Available abstract (not full text):</w:t>
      </w:r>
      <w:r>
        <w:t xml:space="preserve"> Urbanization and achieving sustainable agriculture are both major societal challenges. By reducing food miles and connecting people with nature, food cultivation in cities has several major advantages. However, due to further urban development (peri-) urban agriculture (UPA) is under threat. To strengthen UPA, we argue for considering UPA as a nature-based solution (NbS) supporting systemic approaches for societal challenges. However, academic knowledge on UPA’s contribution to various societal challenges of urbanization is still fragmented. This study addresses the gap by conducting a systemic literature review, incorporating 166 academic articles focusing on the global north. The results of the review show that UPA contributes to ten key societal challenges of urbanization: climate change, food security, biodiversity and ecosystem services, agricultural intensification, resource efficiency, urban renewal and regeneration, land management, public health, social cohesion, and economic growth. The value of UPA is its multifunctionality in providing social, economic and environmental co-benefits and ecosystem services. When implementing UPA, social, institutional, economic, technical, geographical, and ecological drivers and constraints need to be considered. To upscale UPA successfully, the study develops an integrative assessment framework for evaluating the implementation and </w:t>
      </w:r>
    </w:p>
    <w:p>
      <w:pPr/>
      <w:r>
        <w:rPr>
          <w:b/>
        </w:rPr>
        <w:t>POSSIBLE 2017:</w:t>
      </w:r>
      <w:r>
        <w:t xml:space="preserve"> Study of Flare Assessment in Systemic Lupus Erythematosus Based on Paper Patients — https://doi.org/10.1002/acr.23252</w:t>
      </w:r>
    </w:p>
    <w:p>
      <w:pPr/>
      <w:r>
        <w:rPr>
          <w:b/>
        </w:rPr>
        <w:t>Shared claim-specific concepts:</w:t>
      </w:r>
      <w:r>
        <w:t xml:space="preserve"> based, systemic, assessment, factors; EU scope not established. This is a provisional connection, not an outcome finding.</w:t>
      </w:r>
    </w:p>
    <w:p>
      <w:pPr>
        <w:pStyle w:val="SourceNote"/>
      </w:pPr>
      <w:r>
        <w:rPr>
          <w:b/>
        </w:rPr>
        <w:t>Available abstract (not full text):</w:t>
      </w:r>
      <w:r>
        <w:t xml:space="preserve"> OBJECTIVE: To determine the level of agreement of disease flare severity (distinguishing severe, moderate, and mild flare and persistent disease activity) in a large paper-patient exercise involving 988 individual cases of systemic lupus erythematosus. METHODS: A total of 988 individual lupus case histories were assessed by 3 individual physicians. Complete agreement about the degree of flare (or persistent disease activity) was obtained in 451 cases (46%), and these provided the reference standard for the second part of the study. This component used 3 flare activity instruments (the British Isles Lupus Assessment Group [BILAG] 2004, Safety of Estrogens in Lupus Erythematosus National Assessment [SELENA] flare index [SFI] and the revised SELENA flare index [rSFI]). The 451 patient case histories were distributed to 18 pairs of physicians, carefully randomized in a manner designed to ensure a fair case mix and equal distribution of flare according to severity. RESULTS: The 3-physician assessment of flare matched the level of flare using the 3 indices, with 67% for BILAG 2004, 72% for SFI, and 70% for rSFI. The corresponding weighted kappa coefficients for each instrument were 0.82, 0.59, and 0.74, respectively. We undertook a detailed analysis of the discrepant cases and several factors emerged, including a tendency to score moderate flares as severe and persistent activity as </w:t>
      </w:r>
    </w:p>
    <w:p>
      <w:pPr/>
      <w:r>
        <w:rPr>
          <w:b/>
        </w:rPr>
        <w:t>POSSIBLE 2017:</w:t>
      </w:r>
      <w:r>
        <w:t xml:space="preserve"> A systemic risk assessment of OTC derivatives reforms and skin‐in‐the‐game for CCPs — https://openalex.org/W2610571913</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G20 OTC (over-the-counter) derivatives reforms impose large collateral/liquidity demands on clearing members of Central Counterparty (CCP) clearing platforms in the form of initial margins, variation margins and contributions to the default fund. In Heath et al. (2016), it was shown how this introduces a trade-off between liquidity risk and solvency risk with the system manifesting considerable systemic risk from these two sources of risk while CCP penetration is at current levels. The authors extend this analysis to include the European Market Infrastructure Regulation (EMIR) skin-in-the-game requirements for CCPs, which aim to ameliorate the contributions to the default fund by clearing members and also to prevent moral hazard problems associated with the too-interconnected-to-fail (TITF) status of CCPs as more and more derivatives are centrally cleared. The authors provide a systemic risk assessment of these features of the OTC derivatives reforms using network analysis based on 2015-end data on the derivatives positions for 40 globally systemically important banks (G-SIBs).</w:t>
      </w:r>
    </w:p>
    <w:p>
      <w:pPr>
        <w:pStyle w:val="Heading2"/>
      </w:pPr>
      <w:r>
        <w:t>777.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r>
        <w:rPr>
          <w:b/>
        </w:rPr>
        <w:t>POSSIBLE 2020:</w:t>
      </w:r>
      <w:r>
        <w:t xml:space="preserve"> Theoretical background — https://doi.org/10.4324/9781003018353-2</w:t>
      </w:r>
    </w:p>
    <w:p>
      <w:pPr/>
      <w:r>
        <w:rPr>
          <w:b/>
        </w:rPr>
        <w:t>Shared claim-specific concepts:</w:t>
      </w:r>
      <w:r>
        <w:t xml:space="preserve"> gives, background, main, factors; EU scope visible. This is a provisional connection, not an outcome finding.</w:t>
      </w:r>
    </w:p>
    <w:p>
      <w:pPr>
        <w:pStyle w:val="SourceNote"/>
      </w:pPr>
      <w:r>
        <w:rPr>
          <w:b/>
        </w:rPr>
        <w:t>Available abstract (not full text):</w:t>
      </w:r>
      <w:r>
        <w:t xml:space="preserve"> This chapter gives an overview of the main literature used to form the theoretical background of this book. Being a small state, Lithuania is guided by a foreign policy that is characteristic to this category of states. The typical security and foreign policy strategies of small states discussed in this chapter will later serve to analyse the extent to which Lithuania’s foreign policy has conformed to the typical role of small states in international politics. Also discussed are the classic and modern dilemmas of structure and agent in international politics. These concepts help us to understand the role of the agent (President Grybauskaitė) and the opportunities to operate in the international system. Finally, this chapter examines the importance of leaders in international politics. The psychological factors and the behaviour of political leaders are embedded in foreign policy analysis, as it can assist in clarifying why certain agents make particular decisions, and how that may change a state’s foreign policy course and even international structures.</w:t>
      </w:r>
    </w:p>
    <w:p>
      <w:pPr/>
      <w:r>
        <w:rPr>
          <w:b/>
        </w:rPr>
        <w:t>POSSIBLE 2019:</w:t>
      </w:r>
      <w:r>
        <w:t xml:space="preserve"> Macroeconomic background — https://doi.org/10.1787/b7d2e31f-en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2018.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2018:</w:t>
      </w:r>
      <w:r>
        <w:t xml:space="preserve"> Macroeconomic background — https://doi.org/10.1787/tax_pol-2018-4-en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2017.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2018:</w:t>
      </w:r>
      <w:r>
        <w:t xml:space="preserve"> The background markernáin Barayin — https://doi.org/10.1515/jall-2018-0001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Abstract This article gives a first account of the background markernáin Barayin, an East Chadic language spoken in the Guera region of Chad. The article describes the marker’s syntactic distribution and the semantic and pragmatic contexts it occurs in. It commonly occurs following a sentence-initial noun phrase or adverbial, and it also commonly follows a sentence-initial dependent clause such as a conditional clause. The material precedingnáis background information which provides a context for the interpretation of the following proposition, which is the main point of the communication.</w:t>
      </w:r>
    </w:p>
    <w:p>
      <w:pPr/>
      <w:r>
        <w:rPr>
          <w:b/>
        </w:rPr>
        <w:t>POSSIBLE 2018:</w:t>
      </w:r>
      <w:r>
        <w:t xml:space="preserve"> Digital economy: backgrounds, main drivers and new challenges — https://doi.org/10.1051/shsconf/20184400006</w:t>
      </w:r>
    </w:p>
    <w:p>
      <w:pPr/>
      <w:r>
        <w:rPr>
          <w:b/>
        </w:rPr>
        <w:t>Shared claim-specific concepts:</w:t>
      </w:r>
      <w:r>
        <w:t xml:space="preserve"> main, factors; EU scope not established. This is a provisional connection, not an outcome finding.</w:t>
      </w:r>
    </w:p>
    <w:p>
      <w:pPr>
        <w:pStyle w:val="SourceNote"/>
      </w:pPr>
      <w:r>
        <w:rPr>
          <w:b/>
        </w:rPr>
        <w:t>Available abstract (not full text):</w:t>
      </w:r>
      <w:r>
        <w:t xml:space="preserve"> The industry development over the last hundred years has had a huge impact on the development of technological infrastructure and life change. Three main components of this development are related to personalization: a car as a personal vehicle and greater personal freedom; a personal computer as a means of intellectual autonomy; a personal phone as a means of freedom of communication and access to information. These three development factors significantly changed the employee psychology and created the conditions for diffusion of qualitatively new, synthesized (cyber-physical) technologies that became the basis of the Industry 4.0 and the Internet of Things – two main working concepts of industrial and infrastructural development for the next 20 years. The conventional or classical industrial systems that are dominant to the present day have mainly been based on the principles of human muscle energy replacement, but the technological changes of our days raise the question of the substantial scale of displacement of the living manpower both in production and in management and services. The process of technological and industrial transformation that has already begun will inevitably lead to the transformation of social and economic systems, and here the key problem will not only be the provision of a new quality of economic growth, but also the solution of the employment problem</w:t>
      </w:r>
    </w:p>
    <w:p>
      <w:pPr/>
      <w:r>
        <w:rPr>
          <w:b/>
        </w:rPr>
        <w:t>POSSIBLE 2017:</w:t>
      </w:r>
      <w:r>
        <w:t xml:space="preserve"> Macroeconomic background — https://doi.org/10.1787/9789264279919-4-en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from the end of the crisis until 2016.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2017:</w:t>
      </w:r>
      <w:r>
        <w:t xml:space="preserve"> Research Background on Ontology — https://doi.org/10.4018/978-1-5225-2058-0.ch011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The literature review gives the background to the research process, which consisted of three main aspects to find out the theoretical background essential to this project. These aspects were: ontological engineering, Information Science, and Communities of Practice within knowledge management. The following sections provide an overview of key literature relevant to this project. Firstly, however, the background starts with some basic definitions to establish what is meant by ontology and what the significance of creating ontology is. The survey will come back to the three key aspects of this study and review literature on these; firstly, ontology.</w:t>
      </w:r>
    </w:p>
    <w:p>
      <w:pPr/>
      <w:r>
        <w:rPr>
          <w:b/>
        </w:rPr>
        <w:t>POSSIBLE 2017:</w:t>
      </w:r>
      <w:r>
        <w:t xml:space="preserve"> The reform of the administrative jurisdiction in Austria - theoretical background and main features of the system — https://openalex.org/W2995068676</w:t>
      </w:r>
    </w:p>
    <w:p>
      <w:pPr/>
      <w:r>
        <w:rPr>
          <w:b/>
        </w:rPr>
        <w:t>Shared claim-specific concepts:</w:t>
      </w:r>
      <w:r>
        <w:t xml:space="preserve"> background, main; EU scope visible. This is a provisional connection, not an outcome finding.</w:t>
      </w:r>
    </w:p>
    <w:p>
      <w:pPr>
        <w:pStyle w:val="SourceNote"/>
      </w:pPr>
      <w:r>
        <w:rPr>
          <w:b/>
        </w:rPr>
        <w:t>Available abstract (not full text):</w:t>
      </w:r>
      <w:r>
        <w:t xml:space="preserve"> The Austrian Administrative Jurisdiction has undergone a decisive change by the “Verwaltungsgerichtsbarkeits-Novelle 2012”, BGBl. I 2012/51 (Amendment to the Federal Constitutional Law concerning the Administrative Jurisdiction). There was established a system of two instances of Administrative Courts. At the same time the possibility to lodge an appeal with the higher administrative authority has been abolished. The reform provides for 9 Administrative Courts of First Instance in the Länder (the Austrian Provinces; deciding upon appeals against decisions of authorities of the Länder) and two Administrative Courts of the Federation (deciding upon appeals against decisions of Federal authorities). The article aims at describing the contents of the reform and its main characteristics. For the sake of a better understanding of the background of the reform and the principle legal foundations of the new system a short description of the development of the Austrian Administrative Jurisdiction is given in the beginning. In the main part of the contribution the competences and tasks of the new Administrative Courts are described in detail. The focus of the description lies on the unique character of the system because of the competence of the Administrative Courts to decide on the substance of the (administrative) matter that makes it different from the ones in other European countries</w:t>
      </w:r>
    </w:p>
    <w:p>
      <w:pPr/>
      <w:r>
        <w:rPr>
          <w:b/>
        </w:rPr>
        <w:t>POSSIBLE 2017:</w:t>
      </w:r>
      <w:r>
        <w:t xml:space="preserve"> Hybrid method for background modeling and subtracting — https://doi.org/10.1109/isacv.2017.8054941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In this paper, we propose a hybrid method for background modeling, subtracting, and extracting moving objects, which is based on the use of W4and Extended Centre Symmetric Local Binary Pattern (XCS-LBP) approaches. Initially, we apply W4 to get the foreground mask of the video scene, after that we use XCS-LBP to clarify the results obtained. The main focus of this paper is to illustrate moving objects. In the evaluation section, we will prove that the proposed hybrid method gives better results than W4with the use of datasets contains a different background.</w:t>
      </w:r>
    </w:p>
    <w:p>
      <w:pPr>
        <w:pStyle w:val="Heading2"/>
      </w:pPr>
      <w:r>
        <w:t>778.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2021:</w:t>
      </w:r>
      <w:r>
        <w:t xml:space="preserve"> Networked foresight — https://doi.org/10.25932/publishup-50385</w:t>
      </w:r>
    </w:p>
    <w:p>
      <w:pPr/>
      <w:r>
        <w:rPr>
          <w:b/>
        </w:rPr>
        <w:t>Shared claim-specific concepts:</w:t>
      </w:r>
      <w:r>
        <w:t xml:space="preserve"> foresight, designed, based, systems; EU scope visible. This is a provisional connection, not an outcome finding.</w:t>
      </w:r>
    </w:p>
    <w:p>
      <w:pPr>
        <w:pStyle w:val="SourceNote"/>
      </w:pPr>
      <w:r>
        <w:rPr>
          <w:b/>
        </w:rPr>
        <w:t>Available abstract (not full text):</w:t>
      </w:r>
      <w:r>
        <w:t xml:space="preserve"> The goal of this dissertation is to contribute to the corporate foresight research field by investigating capabilities, practices, and challenges particularly in the context of interorganizational settings and networked organizations informed by the theoretical perspectives of the relational view and dynamic capabilities. Firms are facing an increasingly complex environment and highly complex product and service landscapes that often require multiple organizations to collaborate for innovation and offerings. Public-private partnerships that are targeted at supporting this have been introduced by policy-makers in the recent past. One example for such a partnership is the European Institute of Innovation and Technology (EIT) with multiple Knowledge and Innovation Communities (KICs). The EIT has been initiated by the European Commission in 2008 with the ambition of addressing grand societal challenges, driving innovativeness of European companies, and supporting systemic change. The resulting network organizations are managed similarly to corporations with managers, boards, and firm-like governance structures. EIT Digital as one of the EIT KICs are a central case of this work. Research in this dissertation was based on the expectation that corporate foresight activities will increasingly be embedded in such interorganizational settings and a) can draw on such settings for the bene</w:t>
      </w:r>
    </w:p>
    <w:p>
      <w:pPr/>
      <w:r>
        <w:rPr>
          <w:b/>
        </w:rPr>
        <w:t>POSSIBLE 2020:</w:t>
      </w:r>
      <w:r>
        <w:t xml:space="preserve"> Foresight for Career Development — https://doi.org/10.17323/2500-2597.2020.2.88.104</w:t>
      </w:r>
    </w:p>
    <w:p>
      <w:pPr/>
      <w:r>
        <w:rPr>
          <w:b/>
        </w:rPr>
        <w:t>Shared claim-specific concepts:</w:t>
      </w:r>
      <w:r>
        <w:t xml:space="preserve"> foresight, current; EU scope visible. This is a provisional connection, not an outcome finding.</w:t>
      </w:r>
    </w:p>
    <w:p>
      <w:pPr>
        <w:pStyle w:val="SourceNote"/>
      </w:pPr>
      <w:r>
        <w:rPr>
          <w:b/>
        </w:rPr>
        <w:t>Available abstract (not full text):</w:t>
      </w:r>
      <w:r>
        <w:t xml:space="preserve"> Career planning and development becomes a process of managing learning, experience and change in order to achieve a personally determined, preferred professional future. In the context of dynamic social, economic and technological changes, the role of career counselling services increases, although their character also evolves. New competences and abilities to use innovative tools that enable effective processes of creating career visions in a systemic manner are expected. In this context the adaptation of Futures Studies to both practice and education of career counselling seems to be an interesting prospect. Exploring the future not only develops individual planning and adaptation skills, but also allows detecting and identifying upcoming trends. It means the ability to adapt to new conditions, or proactive creation of the future, in a way that is favourable. The aim of the article is to present comprehensive methodology and the results of a nationwide survey conducted in Poland among practitioners in the field of career counselling. The scope of the study included exploring the potential of foresight methodology and future studies application for education and practice in the field of career counselling. The main focus of the research to examine the current quality and scope of education offer for career counsellors by the disconfirmation between the ideal features of the co</w:t>
      </w:r>
    </w:p>
    <w:p>
      <w:pPr/>
      <w:r>
        <w:rPr>
          <w:b/>
        </w:rPr>
        <w:t>POSSIBLE 2017:</w:t>
      </w:r>
      <w:r>
        <w:t xml:space="preserve"> Envisioning future innovative experimental ecosystems through the foresight approach. Case: Design Factory — https://doi.org/10.1007/s40309-017-0128-2</w:t>
      </w:r>
    </w:p>
    <w:p>
      <w:pPr/>
      <w:r>
        <w:rPr>
          <w:b/>
        </w:rPr>
        <w:t>Shared claim-specific concepts:</w:t>
      </w:r>
      <w:r>
        <w:t xml:space="preserve"> foresight, drivers; EU scope visible. This is a provisional connection, not an outcome finding.</w:t>
      </w:r>
    </w:p>
    <w:p>
      <w:pPr>
        <w:pStyle w:val="SourceNote"/>
      </w:pPr>
      <w:r>
        <w:rPr>
          <w:b/>
        </w:rPr>
        <w:t>Available abstract (not full text):</w:t>
      </w:r>
      <w:r>
        <w:t xml:space="preserve"> Change makers are visionaries who wish to bring change to their respective fields. As technological change is accelerating, it is relevant to consider, how the way and what we teach can evolve with the future to remain meaningful and pioneering. Design Factory at Aalto University, as an innovative experimental ecosystem with interdisciplinary principles and new teaching methodologies has been successful in and at the forefront in educating the students to be change-makers. The paper presents a case study of holistically anticipating plausible futures for innovative experimental ecosystems utilizing a foresight approach. We analyze how the ways of working, spaces, and teaching methods of one such ecosystem, Design Factory at Aalto University in Finland, could support students learning in the year 20 × 6 {x = 2, 3}. We present the process of drawing virtual lines that connect trends, future drivers, visions, and scenarios using a contemporary approach that fuses qualitative and quantitative methods. The results from the study are six future scenarios for the Design Factory, that have implications for innovation ecosystems in general. These results are expected to further foster or trigger new research and development experiments, directions for building radical environments, new teaching methods and ways of working.</w:t>
      </w:r>
    </w:p>
    <w:p>
      <w:pPr>
        <w:pStyle w:val="Heading2"/>
      </w:pPr>
      <w:r>
        <w:t>779.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2020:</w:t>
      </w:r>
      <w:r>
        <w:t xml:space="preserve"> Law, biomedical technoscience, and imaginaries — https://doi.org/10.1093/jlb/lsaa088</w:t>
      </w:r>
    </w:p>
    <w:p>
      <w:pPr/>
      <w:r>
        <w:rPr>
          <w:b/>
        </w:rPr>
        <w:t>Shared claim-specific concepts:</w:t>
      </w:r>
      <w:r>
        <w:t xml:space="preserve"> concept, imaginary, investigate, constructed; EU scope visible. This is a provisional connection, not an outcome finding.</w:t>
      </w:r>
    </w:p>
    <w:p>
      <w:pPr>
        <w:pStyle w:val="SourceNote"/>
      </w:pPr>
      <w:r>
        <w:rPr>
          <w:b/>
        </w:rPr>
        <w:t>Available abstract (not full text):</w:t>
      </w:r>
      <w:r>
        <w:t xml:space="preserve"> This special issue advances understanding of the way in which imaginaries underpin law’s engagement with biomedical technologies and science. It is the first collection of law-led interdisciplinary accounts of imaginaries. The articles draw upon examples from biomedical technoscience to illuminate the hitherto unseen or underappreciated roles of imaginaries in the relationships between law and biomedical technoscience. We have conceptualized ‘law’, ‘biomedical technoscience’, and ‘imaginaries’ in broad, inclusive, and dynamic ways. ‘Law’ and ‘biomedical technoscience’ (biomedical technology and science) require no further clarification. ‘Imaginaries’, though, is a relatively novel concept within legal, socio-legal, and regulatory studies scholarship,1 and as such it requires an introduction. In the following, we introduce imaginaries before explaining how this special issue aims to address the dearth of legal scholarship on them. Subsequently, we note the conceptualizations of imaginaries in the articles, where imaginaries can be found in law and legal discourse, and finally what it is that imaginaries do and why they matter for law. Conceptualizations of imaginaries are found in several disciplines. Beckert, working within economics, formulates imaginaries as ‘imagined futures’.2 Jasanoff and Kim, from science and technology studies (STS), conceive sociotechnical imaginaries a</w:t>
      </w:r>
    </w:p>
    <w:p>
      <w:pPr/>
      <w:r>
        <w:rPr>
          <w:b/>
        </w:rPr>
        <w:t>POSSIBLE 2019:</w:t>
      </w:r>
      <w:r>
        <w:t xml:space="preserve"> The Circular Economy in Europe: Critical Perspectives on Policies and Imaginaries — https://doi.org/10.4324/9780429061028</w:t>
      </w:r>
    </w:p>
    <w:p>
      <w:pPr/>
      <w:r>
        <w:rPr>
          <w:b/>
        </w:rPr>
        <w:t>Shared claim-specific concepts:</w:t>
      </w:r>
      <w:r>
        <w:t xml:space="preserve"> authors, ideas; EU scope visible. This is a provisional connection, not an outcome finding.</w:t>
      </w:r>
    </w:p>
    <w:p>
      <w:pPr>
        <w:pStyle w:val="SourceNote"/>
      </w:pPr>
      <w:r>
        <w:rPr>
          <w:b/>
        </w:rPr>
        <w:t>Available abstract (not full text):</w:t>
      </w:r>
      <w:r>
        <w:t xml:space="preserve"> The Circular Economy in Europe presents an overview and a critical discussion on how circularity is conceived, imagined, and enacted in current EU policy-making. In 2013, the idea of a circular economy entered the stage of European policy-making in the efforts to reconcile environmental and economic policy objectives. In 2019 the European Commission declared in a press release that the Circular Economy Action Plan has been delivered. The level of circularity in the European economy, however, has remained the same. Bringing together perspectives from social sciences, environmental economics and policy analysis, The Circular Economy in Europe provides a critical analysis of policies and promises of the next panacea for growth and sustainability. The authors provide a theoretical and empirical basis to discuss how contemporary societies conceive their need to re-organise production and consumption and explores the messy assemblage of institutions, actors, waste streams, biophysical flows, policy objectives, scientific disciplines, values, expectations, promises and aspirations involved. This book is essential reading for all those interested in understanding how ideas about the circular economy emerged historically, how they gained traction and are used in policy processes, and what the practical challenges in implementing this policy are.</w:t>
      </w:r>
    </w:p>
    <w:p>
      <w:pPr/>
      <w:r>
        <w:rPr>
          <w:b/>
        </w:rPr>
        <w:t>POSSIBLE 2019:</w:t>
      </w:r>
      <w:r>
        <w:t xml:space="preserve"> The social imaginaries of data activism — https://doi.org/10.1177/2053951718821146</w:t>
      </w:r>
    </w:p>
    <w:p>
      <w:pPr/>
      <w:r>
        <w:rPr>
          <w:b/>
        </w:rPr>
        <w:t>Shared claim-specific concepts:</w:t>
      </w:r>
      <w:r>
        <w:t xml:space="preserve"> imaginary, structures, political; EU scope visible. This is a provisional connection, not an outcome finding.</w:t>
      </w:r>
    </w:p>
    <w:p>
      <w:pPr>
        <w:pStyle w:val="SourceNote"/>
      </w:pPr>
      <w:r>
        <w:rPr>
          <w:b/>
        </w:rPr>
        <w:t>Available abstract (not full text):</w:t>
      </w:r>
      <w:r>
        <w:t xml:space="preserve"> Data activism, promoting new forms of civic and political engagement, has emerged as a response to problematic aspects of datafication that include tensions between data openness and data ownership, and asymmetries in terms of data usage and distribution. In this article, we discuss MyData, a data activism initiative originating in Finland, which aims to shape a more sustainable citizen-centric data economy by means of increasing individuals' control of their personal data. Using data gathered during long-term participant-observation in collaborative projects with data activists, we explore the internal tensions of data activism by first outlining two different social imaginaries – technological and socio-critical – within MyData, and then merging them to open practical and analytical space for engaging with the socio-technical futures currently in the making. While the technological imaginary favours data infrastructures as corrective measures, the socio-critical imaginary questions the effectiveness of technological correction. Unpacking them clarifies the kinds of political and social alternatives that different social imaginaries ascribe to the notions underlying data activism, and highlights the need to consider the social structures in play. The more far-reaching goal of our exercise is to provide practical and analytical resources for critical engagement in the context o</w:t>
      </w:r>
    </w:p>
    <w:p>
      <w:pPr>
        <w:pStyle w:val="Heading2"/>
      </w:pPr>
      <w:r>
        <w:t>780.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The Impact of COVID-19 in Europe: A Comprehensive Analysis — https://doi.org/10.54783/ijsoc.v5i4.787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pPr/>
      <w:r>
        <w:rPr>
          <w:b/>
        </w:rPr>
        <w:t>POSSIBLE 2023:</w:t>
      </w:r>
      <w:r>
        <w:t xml:space="preserve"> A Study on the Interpretation and Application of Article 2 of the European Convention on Human Rights: Focusing on the Case Law of the European Court of Human Rights — https://doi.org/10.21592/eucj.2023.42.99</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study examines the interpretation and application of Article 2, the right to life, which is one of the most central rights guaranteed by the European Convention on Human Rights. It is universally recognized that the right to life represents a fundamental right of all human beings and that its proper understanding and protection is a fundamental basis for individual freedom and respect for human rights. The European Convention on Human Rights is an important document that ensures that individuals in Europe are guaranteed their fundamental rights and freedoms as human beings. Article 2, the right to life, is at the heart of the Convention and guarantees one of the most fundamental rights that every human being has. However, the understanding and application of this right to life can raise complex issues in different social and political contexts. For this reason, this study aims to provide an in-depth examination of the complexities of the right to life. The aim is to examine the role of the right to life in ensuring human dignity and promoting social justice through the case law of the European Court of Human Rights. Based on this, the general concept of the right to life and the interpretation of the right to life by the European Court of Human Rights will be introduced in the next chapter, followed by an analysis of the Court's main decisions, with the aim of bridging the</w:t>
      </w:r>
    </w:p>
    <w:p>
      <w:pPr/>
      <w:r>
        <w:rPr>
          <w:b/>
        </w:rPr>
        <w:t>POSSIBLE 2023:</w:t>
      </w:r>
      <w:r>
        <w:t xml:space="preserve"> The Impact of COVID-19 in Europe: An Overview of the Pandemic's Challenges and Responses — https://openalex.org/W7217768397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has emerged as one of the most significant global health crises in recent history, affecting nearly every corner of the world, including Europe. This article aims to provide a comprehensive overview of the impact of COVID-19 in Europe, focusing on the challenges faced by the region and the responses adopted by various countries to combat the spread of the virus. By examining the epidemiological trends, healthcare infrastructure, socio-economic implications, and public health strategies, this study aims to shed light on the lessons learned from the pandemic and the way forward for Europe's health systems.</w:t>
      </w:r>
    </w:p>
    <w:p>
      <w:pPr/>
      <w:r>
        <w:rPr>
          <w:b/>
        </w:rPr>
        <w:t>POSSIBLE 2022:</w:t>
      </w:r>
      <w:r>
        <w:t xml:space="preserve"> The Regional Development Trap in Europe — https://doi.org/10.1080/00130095.2022.2080655</w:t>
      </w:r>
    </w:p>
    <w:p>
      <w:pPr/>
      <w:r>
        <w:rPr>
          <w:b/>
        </w:rPr>
        <w:t>Shared claim-specific concepts:</w:t>
      </w:r>
      <w:r>
        <w:t xml:space="preserve"> article, indicators;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European Investigation Order and the Right to a Trial Consecrated in Article 47 of the Charter of Fundamental Rights of the European Union. — https://doi.org/10.51389/sxtm4110</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In 2019, the Court of Justice of the European Union (CJEU) delivered its first decision on the European Investigation Order (EIO) adopted by Directive 2014/41/EU in Case C-324/17, Gavanozov, 24th of October. Following a request for a preliminary ruling, the CJEU stated that "Article 5(1) of Directive 2014/41/EU of the European Parliament and the Council, of 3 April 2014, on the European Investigation Order (EIO), read in conjunction with Section J of the form in Annex A to that directive, must be interpreted as meaning that the judicial authority of a Member State does not, at the time of issuing a European investigative decision, have to include in this section a description of any legal remedies in its Member State against the issuing of that decision". However, the Advocate General of the Union, Yves Bot, considered that the Bulgarian judicial authority could not have issued the EIO because the national legislation did not provide for any legal remedy against the investigative measures that were requested, which is contrary to what is foreseen in Article 47 of the Charter of Fundamental Rights of the European Union (CFREU). In view of the opposite readings regarding this instrument of judicial cooperation in criminal matters, this presentation aims to examine the Court of Justice’s decision and the AG’s conclusions to substantiate a position on the possible need for the EU l</w:t>
      </w:r>
    </w:p>
    <w:p>
      <w:pPr/>
      <w:r>
        <w:rPr>
          <w:b/>
        </w:rPr>
        <w:t>POSSIBLE 2021:</w:t>
      </w:r>
      <w:r>
        <w:t xml:space="preserve"> The Integrated Carbon Observation System in Europe — https://doi.org/10.1175/bams-d-19-0364.1</w:t>
      </w:r>
    </w:p>
    <w:p>
      <w:pPr/>
      <w:r>
        <w:rPr>
          <w:b/>
        </w:rPr>
        <w:t>Shared claim-specific concepts:</w:t>
      </w:r>
      <w:r>
        <w:t xml:space="preserve"> article, aims, provide, information; EU scope visible. This is a provisional connection, not an outcome finding.</w:t>
      </w:r>
    </w:p>
    <w:p>
      <w:pPr>
        <w:pStyle w:val="SourceNote"/>
      </w:pPr>
      <w:r>
        <w:rPr>
          <w:b/>
        </w:rPr>
        <w:t>Available abstract (not full text):</w:t>
      </w:r>
      <w:r>
        <w:t xml:space="preserve">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pPr/>
      <w:r>
        <w:rPr>
          <w:b/>
        </w:rPr>
        <w:t>POSSIBLE 2019:</w:t>
      </w:r>
      <w:r>
        <w:t xml:space="preserve"> Challenges to the sustainability of climate services in Europe — https://doi.org/10.1002/wcc.587</w:t>
      </w:r>
    </w:p>
    <w:p>
      <w:pPr/>
      <w:r>
        <w:rPr>
          <w:b/>
        </w:rPr>
        <w:t>Shared claim-specific concepts:</w:t>
      </w:r>
      <w:r>
        <w:t xml:space="preserve"> article, aims, provide, role; EU scope visible. This is a provisional connection, not an outcome finding.</w:t>
      </w:r>
    </w:p>
    <w:p>
      <w:pPr>
        <w:pStyle w:val="SourceNote"/>
      </w:pPr>
      <w:r>
        <w:rPr>
          <w:b/>
        </w:rPr>
        <w:t>Available abstract (not full text):</w:t>
      </w:r>
      <w:r>
        <w:t xml:space="preserve"> Abstract Climate services have emerged as a research and operational field in recent years. This development has been underpinned and supported by significant research, funding and agenda‐setting efforts such as the Global Framework for Climate Services internationally and the Roadmap for Climate Services and the Copernicus Climate Change Service in Europe. The fast pace at which this field is developing raises a number of key challenges that need to be critically examined and addressed to ensure the future development and sustainability of climate services in Europe. This opinion piece highlights a number of challenges currently threatening the viability of climate services including the complexity of the concept of climate services; the complex landscape of complementary research and development areas relevant to climate services; existing rights to freely access and use climate services; current limitations to funding structures and mechanisms and how that impacts on the development of climate services; the emphasis on co‐production as a precondition to climate services development; and the limited role of the social sciences in the research and operational field of climate services. Effectively addressing these challenges will require a commitment from the scientific and practitioner communities to engage in critical and reflective debates around the future conceptualizatio</w:t>
      </w:r>
    </w:p>
    <w:p>
      <w:pPr/>
      <w:r>
        <w:rPr>
          <w:b/>
        </w:rPr>
        <w:t>POSSIBLE 2018:</w:t>
      </w:r>
      <w:r>
        <w:t xml:space="preserve"> The Race-Religion Constellation: A European Contribution to the Critical Philosophy of Race — https://doi.org/10.5325/critphilrace.6.1.0058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Abstract This article traces the hidden race-religion constellation in Europe. The term “race-religion constellation” refers to the connection or co-constitution of the categories of race and “religion.” Specifically, the term “race-religion constellation” is used to refer to the practice of classifying people into races according to categories we now associate with the term “religion.” This calls for a consideration of European history and forms of racism in Europe, such as anti-Semitism and Islamophobia. This article aims to provide an alternative non-secularized or biological account of the origins of the socially constructed category of race in Europe. The alternative story begins in the sixteenth century, when the category of “religion” as a means for classifying peoples was both constructed and politicized. In tracing this alternative story, this article seeks to outline a framework for a critical philosophy of race focused on a European religion line that intersects with Du Bois's color line.</w:t>
      </w:r>
    </w:p>
    <w:p>
      <w:pPr/>
      <w:r>
        <w:rPr>
          <w:b/>
        </w:rPr>
        <w:t>POSSIBLE 2017:</w:t>
      </w:r>
      <w:r>
        <w:t xml:space="preserve"> Policies for biosimilar uptake in Europe: An overview — https://doi.org/10.1371/journal.pone.0190147</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BACKGROUND: Across European countries, differences exist in biosimilar policies, leading to variations in uptake of biosimilars and divergences in savings all over Europe. OBJECTIVES: The aim of this article is to provide an overview of different initiatives and policies that may influence the uptake of biosimilars in different European countries. Recommendations will be formulated on how to create sustainable uptake. METHODS: An overview of policies on biosimilars was obtained via a questionnaire, supplemented with relevant articles. Topics were organized in five themes: availability, pricing, reimbursement, demand-side policies, and recommendations to enhance uptake. RESULTS: In all countries studied, biological medicines are available. Restrictions are mainly dependent on local organization of the healthcare system. Countries are willing to include biosimilars for reimbursement, but for commercial reasons they are not always marketed. In two thirds of countries, originator and biosimilar products may be subjected to internal reference pricing systems. Few countries have implemented specific incentives targeting physicians. Several countries are implementing pharmacist substitution; however, the scope and rules governing such substitution tend to vary between these countries. Reported educational policies tend to target primarily physicians, whereas fewer initiatives were rep</w:t>
      </w:r>
    </w:p>
    <w:p>
      <w:pPr/>
      <w:r>
        <w:rPr>
          <w:b/>
        </w:rPr>
        <w:t>POSSIBLE 2017:</w:t>
      </w:r>
      <w:r>
        <w:t xml:space="preserve"> Export Promotion Aims and Reality: A Comparison of the Iberian, Baltic and Central European Region — https://doi.org/10.1515/bjes-2017-0004</w:t>
      </w:r>
    </w:p>
    <w:p>
      <w:pPr/>
      <w:r>
        <w:rPr>
          <w:b/>
        </w:rPr>
        <w:t>Shared claim-specific concepts:</w:t>
      </w:r>
      <w:r>
        <w:t xml:space="preserve"> article, aims, provide, role; EU scope visible. This is a provisional connection, not an outcome finding.</w:t>
      </w:r>
    </w:p>
    <w:p>
      <w:pPr>
        <w:pStyle w:val="SourceNote"/>
      </w:pPr>
      <w:r>
        <w:rPr>
          <w:b/>
        </w:rPr>
        <w:t>Available abstract (not full text):</w:t>
      </w:r>
      <w:r>
        <w:t xml:space="preserve"> Abstract As a consequence of the international crisis in 2008-2009, the role of exports in economic growth came into focus in most countries. Exports of EU Member States gained momentum from 2010 onward but with certain changes in their structure and direction. In several countries, the turn towards non-EU areas, such as China or Latin America was part of the state export strategy. On the one hand, our article describes these foreign trade strategies and their institutional framework of the Iberian, Baltic and Central European governments, detecting possible similarities. On the other hand, we analyse recent export data. This way we can get a picture on the structure and direction of exports of periphery economies and this can be compared to the aims of the given states. Our hypothesis is that there is a gap between the reality and the intentions of the governments. The size of this gap varies and is influenced by certain factors such as the different involvement of multinational companies in foreign trade or the different economic structure of these countries. In our paper we list which countries adopted a government strategy and with what aim. We provide a short literature review on state trade promotion policies and discuss these policies and their institutions in the Baltic, Visegrád and Iberian countries.</w:t>
      </w:r>
    </w:p>
    <w:p>
      <w:pPr>
        <w:pStyle w:val="Heading2"/>
      </w:pPr>
      <w:r>
        <w:t>781.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2021:</w:t>
      </w:r>
      <w:r>
        <w:t xml:space="preserve"> Escalating incidence of infective endocarditis in Europe in the 21st century — https://doi.org/10.1136/openhrt-2021-001846</w:t>
      </w:r>
    </w:p>
    <w:p>
      <w:pPr/>
      <w:r>
        <w:rPr>
          <w:b/>
        </w:rPr>
        <w:t>Shared claim-specific concepts:</w:t>
      </w:r>
      <w:r>
        <w:t xml:space="preserve"> aim, factors, past, trends; EU scope visible. This is a provisional connection, not an outcome finding.</w:t>
      </w:r>
    </w:p>
    <w:p>
      <w:pPr>
        <w:pStyle w:val="SourceNote"/>
      </w:pPr>
      <w:r>
        <w:rPr>
          <w:b/>
        </w:rPr>
        <w:t>Available abstract (not full text):</w:t>
      </w:r>
      <w:r>
        <w:t xml:space="preserve"> AIM: To provide a contemporary analysis of incidence trends of infective endocarditis (IE) with its changing epidemiology over the past two decades in Europe. METHODS: A systematic review was conducted at the Mayo Clinic, Rochester. Ovid EBM Reviews, Ovid Embase, Ovid Medline, Scopus and Web of Science were searched for studies published between 1 January 2000 and 30 November 2020. All studies were independently reviewed by four referees and those that included a population-based incidence of IE in patients, irrespective of age, in Europe were included. Least squares regression was used to estimate pooled temporal trends in IE incidence. RESULTS: Of 9138 articles screened, 18 studies were included in the review. Elderly men predominated in all studies. IE incidence increased 4.1% per year (95% CI 1.8% to 6.4%) in the pooled regression analysis of eight studies that included comprehensive and consistent trends data. When trends data were weighted according to population size of individual countries, an increase in yearly incidence of 0.27 cases per 100 000 people was observed. Staphylococci and streptococci were the most common pathogens identified. The rate of surgical intervention ranged from 10.2% to 60.0%, and the rate of inpatient mortality ranged from 14.3% to 17.5%. In six studies that examined the rate of injection drug use, five of them reported a rate of less than 10%.</w:t>
      </w:r>
    </w:p>
    <w:p>
      <w:pPr/>
      <w:r>
        <w:rPr>
          <w:b/>
        </w:rPr>
        <w:t>POSSIBLE 2020:</w:t>
      </w:r>
      <w:r>
        <w:t xml:space="preserve"> Stressors, coping and symptoms of adjustment disorder in the course of the COVID-19 pandemic – study protocol of the European Society for Traumatic Stress Studies (ESTSS) pan-European study — https://doi.org/10.1080/20008198.2020.1780832</w:t>
      </w:r>
    </w:p>
    <w:p>
      <w:pPr/>
      <w:r>
        <w:rPr>
          <w:b/>
        </w:rPr>
        <w:t>Shared claim-specific concepts:</w:t>
      </w:r>
      <w:r>
        <w:t xml:space="preserve"> examine, factors, current, framework; EU scope visible. This is a provisional connection, not an outcome finding.</w:t>
      </w:r>
    </w:p>
    <w:p>
      <w:pPr>
        <w:pStyle w:val="SourceNote"/>
      </w:pPr>
      <w:r>
        <w:rPr>
          <w:b/>
        </w:rPr>
        <w:t>Available abstract (not full text):</w:t>
      </w:r>
      <w:r>
        <w:t xml:space="preserve"> BACKGROUND: During the current COVID-19 pandemic, the people in Europe are exposed to self-isolation, quarantine, job loss, risk of contracting COVID-19, or grief of loved ones. Such a complex array of stressors may lead to symptoms of adjustment disorder or posttraumatic stress disorder. This research protocol describes a study launched by the European Society of Traumatic Stress Studies (ESTSS) to investigate the impact of the COVID-19 pandemic on symptoms of adjustment disorder across European countries. OBJECTIVE: The longitudinal online cohort study aims (1) to explore psychosocial reactions to the COVID-19 pandemic across ten European countries; (2) to examine the relationships between risk and resilience factors, stressors and symptoms of adjustment disorder during the pandemic; and (3) to investigate whether these relationships are moderated by coping behaviours. METHOD: In ten countries (Austria, Croatia, Georgia, Germany, Italy, Lithuania, Netherlands, Poland, Portugal, and Sweden), between 1,000 and 2,000 participants will be recruited, depending on the size of the country. Participants will be assessed at two timepoints with a six-month interval. Following a conceptual framework based on the WHO's social framework of health, an assessment of risk and resilience factors, COVID-19 related stressors and pandemic-specific coping behaviours will be measured to estimate t</w:t>
      </w:r>
    </w:p>
    <w:p>
      <w:pPr/>
      <w:r>
        <w:rPr>
          <w:b/>
        </w:rPr>
        <w:t>POSSIBLE 2019:</w:t>
      </w:r>
      <w:r>
        <w:t xml:space="preserve"> Spatial and Seasonal Patterns in Vegetation Growth-Limiting Factors over Europe — https://doi.org/10.3390/rs11202406</w:t>
      </w:r>
    </w:p>
    <w:p>
      <w:pPr/>
      <w:r>
        <w:rPr>
          <w:b/>
        </w:rPr>
        <w:t>Shared claim-specific concepts:</w:t>
      </w:r>
      <w:r>
        <w:t xml:space="preserve"> factors, current, long-term; EU scope visible. This is a provisional connection, not an outcome finding.</w:t>
      </w:r>
    </w:p>
    <w:p>
      <w:pPr>
        <w:pStyle w:val="SourceNote"/>
      </w:pPr>
      <w:r>
        <w:rPr>
          <w:b/>
        </w:rPr>
        <w:t>Available abstract (not full text):</w:t>
      </w:r>
      <w:r>
        <w:t xml:space="preserve"> Water and energy are recognized as the most influential climatic vegetation growth-limiting factors. These factors are usually measured from ground meteorological stations. However, since both vary in space, time, and scale, they can be assessed by satellite-derived biophysical indicators. Energy, represented by land surface temperature (LST), is assumed to resemble air temperature; and water availability, related to precipitation, is represented by the normalized difference vegetation index (NDVI). It is hypothesized that positive correlations between LST and NDVI indicate energy-limited conditions, while negative correlations indicate water-limited conditions. The current project aimed to quantify the spatial and seasonal (spring and summer) distributions of LST–NDVI relations over Europe, using long-term (2000–2017) MODIS images. Overlaying the LST–NDVI relations on the European biome map revealed that relations between LST and NDVI were highly diverse among the various biomes and throughout the entire study period (March–August). During the spring season (March–May), 80% of the European domain, across all biomes, showed the dominance of significant positive relations. However, during the summer season (June–August), most of the biomes—except the northern ones—turned to negative correlation. This study demonstrates that the drought/vegetation/stress spectral indices, based o</w:t>
      </w:r>
    </w:p>
    <w:p>
      <w:pPr/>
      <w:r>
        <w:rPr>
          <w:b/>
        </w:rPr>
        <w:t>POSSIBLE 2018:</w:t>
      </w:r>
      <w:r>
        <w:t xml:space="preserve"> Dietary Patterns in European and Brazilian Adolescents: Comparisons and Associations with Socioeconomic Factors — https://doi.org/10.3390/nu10010057</w:t>
      </w:r>
    </w:p>
    <w:p>
      <w:pPr/>
      <w:r>
        <w:rPr>
          <w:b/>
        </w:rPr>
        <w:t>Shared claim-specific concepts:</w:t>
      </w:r>
      <w:r>
        <w:t xml:space="preserve"> aim, examine, factors; EU scope visible. This is a provisional connection, not an outcome finding.</w:t>
      </w:r>
    </w:p>
    <w:p>
      <w:pPr>
        <w:pStyle w:val="SourceNote"/>
      </w:pPr>
      <w:r>
        <w:rPr>
          <w:b/>
        </w:rPr>
        <w:t>Available abstract (not full text):</w:t>
      </w:r>
      <w:r>
        <w:t xml:space="preserve"> Associations between dietary patterns (DP) and socioeconomic factors have been little explored in adolescents. The aim of this study was to identify DP in European and Brazilian adolescents and to investigate their associations with a range of socioeconomic indicators. Adolescents from the HELENA-study and the Household Budget Survey were analyzed. Factor analysis was used to obtain DP. Linear regression was used to examine the association between DP and SES. In Europeans, the Western DP was associated with low education of the mother, high socioeconomic status (boys), older age (boys), and living in cities of the Northern Europe; in Brazilians, the Western DP was associated with high secondary education of the mother, high socioeconomic status and living in Southern areas of the country. The Traditional European DP, in both genders, was associated with high secondary education of the mother and inversely associated with a high socioeconomic status; the Traditional Brazilian DP, was associated with university level education of the mother and older age (boys). The association between DP and socioeconomic factors is relevant for the understanding of food-related practices and highlight the importance of performing a complete assessment of the socioeconomic influence in adolescent's DP from developed and developing countries.</w:t>
      </w:r>
    </w:p>
    <w:p>
      <w:pPr/>
      <w:r>
        <w:rPr>
          <w:b/>
        </w:rPr>
        <w:t>POSSIBLE 2017:</w:t>
      </w:r>
      <w:r>
        <w:t xml:space="preserve"> Socioeconomic inequality in clusters of health-related behaviours in Europe: latent class analysis of a cross-sectional European survey — https://doi.org/10.1186/s12889-017-4440-3</w:t>
      </w:r>
    </w:p>
    <w:p>
      <w:pPr/>
      <w:r>
        <w:rPr>
          <w:b/>
        </w:rPr>
        <w:t>Shared claim-specific concepts:</w:t>
      </w:r>
      <w:r>
        <w:t xml:space="preserve"> examine, factors, three; EU scope visible. This is a provisional connection, not an outcome finding.</w:t>
      </w:r>
    </w:p>
    <w:p>
      <w:pPr>
        <w:pStyle w:val="SourceNote"/>
      </w:pPr>
      <w:r>
        <w:rPr>
          <w:b/>
        </w:rPr>
        <w:t>Available abstract (not full text):</w:t>
      </w:r>
      <w:r>
        <w:t xml:space="preserve"> BACKGROUND: Modifiable health-related behaviours tend to cluster among most vulnerable sectors of the population, particularly those at the bottom of the social hierarchy. This study aimed to identify the clusters of health-related behaviours in 27 European countries and to examine the socioeconomic inequalities in these clusters. METHODS: Data were from Eurobarometer 72.3-2009, a cross-sectional survey of 27 European countries. The analyses were conducted in 2016. The main sections of the survey included questions pertaining to sociodemographic factors, health-related behaviours, and use of services. In this study, those aged 18 years and older were included. We selected five health-related behaviours, namely smoking, excessive alcohol consumption, frequent fresh fruit consumption, physical activity and dental check-ups. Socioeconomic position was indicated by education, subjective social status and difficulty in paying bills. Latent class analysis was conducted to explore the clusters of these five behaviours. Multinomial logistic regression model was used to examine the relationships between the clusters and socioeconomic positions adjusting for age, gender, marital status and urbanisation. RESULTS: The eligible total population was 23,842. Latent class analysis identified three clusters; healthy, moderate and risky clusters in this European population. Individuals with the </w:t>
      </w:r>
    </w:p>
    <w:p>
      <w:pPr/>
      <w:r>
        <w:rPr>
          <w:b/>
        </w:rPr>
        <w:t>POSSIBLE 2017:</w:t>
      </w:r>
      <w:r>
        <w:t xml:space="preserve"> The Style As a Factor of Office Building Concentration Locations in European Cities — https://doi.org/10.1515/ceer-2017-0001</w:t>
      </w:r>
    </w:p>
    <w:p>
      <w:pPr/>
      <w:r>
        <w:rPr>
          <w:b/>
        </w:rPr>
        <w:t>Shared claim-specific concepts:</w:t>
      </w:r>
      <w:r>
        <w:t xml:space="preserve"> aim, examine, factors, structures; EU scope visible. This is a provisional connection, not an outcome finding.</w:t>
      </w:r>
    </w:p>
    <w:p>
      <w:pPr>
        <w:pStyle w:val="SourceNote"/>
      </w:pPr>
      <w:r>
        <w:rPr>
          <w:b/>
        </w:rPr>
        <w:t>Available abstract (not full text):</w:t>
      </w:r>
      <w:r>
        <w:t xml:space="preserve"> Where should office building concentrations be located in cities? What kind of factors has an influence on its locations? The aim of the research is to examine factors of office locations in cities. Selected office building concentrations in European cities were investigated as case studies. The research method was the spatial decision paradigm. The style, one of the main elements of the paradigm, was selected to answer the research question. The style was defined a composition of existing urban structures. Basic elements of urban composition in selected European cities were examined closely. Research results are conditions of office building concentration locations in European cities in term of urban composition. Such knowledge should be a base of decision-making processe during preparing master plans and city development plans.</w:t>
      </w:r>
    </w:p>
    <w:p>
      <w:pPr>
        <w:pStyle w:val="Heading2"/>
      </w:pPr>
      <w:r>
        <w:t>782.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2020:</w:t>
      </w:r>
      <w:r>
        <w:t xml:space="preserve"> Identity Politics and Populism in Europe — https://doi.org/10.1146/annurev-polisci-050718-033542</w:t>
      </w:r>
    </w:p>
    <w:p>
      <w:pPr/>
      <w:r>
        <w:rPr>
          <w:b/>
        </w:rPr>
        <w:t>Shared claim-specific concepts:</w:t>
      </w:r>
      <w:r>
        <w:t xml:space="preserve"> since, main, political; EU scope visible. This is a provisional connection, not an outcome finding.</w:t>
      </w:r>
    </w:p>
    <w:p>
      <w:pPr>
        <w:pStyle w:val="SourceNote"/>
      </w:pPr>
      <w:r>
        <w:rPr>
          <w:b/>
        </w:rPr>
        <w:t>Available abstract (not full text):</w:t>
      </w:r>
      <w:r>
        <w:t xml:space="preserve"> We review the literature on the rise of identity politics and populism in Europe. Populist parties have gained large vote shares since the Great Recession of 2008. We observe in many countries, and even in the European Parliament, a transformation of the main dimension of politics from the left–right cleavage to a new cleavage opposing the mainstream parties to populist parties. We examine how this transformation relates to changes in voter attitudes and the adjustment of political parties to these changes. Two main types of causes for the rise of populism have emerged: economic and cultural. In reviewing the evidence, we find a complex interaction between economic and cultural factors. Economic anxiety among large groups of voters related to the Great Recession and austerity policies triggers a heightened receptivity to the messages of cultural backlash from populist parties.</w:t>
      </w:r>
    </w:p>
    <w:p>
      <w:pPr/>
      <w:r>
        <w:rPr>
          <w:b/>
        </w:rPr>
        <w:t>POSSIBLE 2019:</w:t>
      </w:r>
      <w:r>
        <w:t xml:space="preserve"> Causes and main routes of the mass immigration to Europe in 2015 — https://doi.org/10.18778/1231-1952.26.2.01</w:t>
      </w:r>
    </w:p>
    <w:p>
      <w:pPr/>
      <w:r>
        <w:rPr>
          <w:b/>
        </w:rPr>
        <w:t>Shared claim-specific concepts:</w:t>
      </w:r>
      <w:r>
        <w:t xml:space="preserve"> since, one, main, after, political, place; EU scope visible. This is a provisional connection, not an outcome finding.</w:t>
      </w:r>
    </w:p>
    <w:p>
      <w:pPr>
        <w:pStyle w:val="SourceNote"/>
      </w:pPr>
      <w:r>
        <w:rPr>
          <w:b/>
        </w:rPr>
        <w:t>Available abstract (not full text):</w:t>
      </w:r>
      <w:r>
        <w:t xml:space="preserve"> The flow of immigrants into Europe is a phenomenon commonly known since the end of the Second World War. To a large extent it was the result of a colonial and then post-colonial relationship between metropolises and their overseas territories. Migration movements in Europe intensified after 1989 along with systemic changes in the eastern part of the continent. The phenomenon of increased migration to Europe observed since March 2015 combines both processes: economic migration, which undoubtedly dominates in terms of number, and exiles, of a much smaller scale, but given as the cause of migration by almost all migrants. A new phenomenon is the fact that a large part of migrants constitutes uncontrolled migration, which in previous years was marginal. In 2015, asylum applications were submitted in EU countries by as many as 1.25 million people. The influx of refugees to Europe has become not only a demographic phenomenon, but also a political one, evoking strong political emotions. Mass migrations also seem to be an instrument of international policy implementation by key world powers. The main purpose of the article was to present the background of the mass migration to Europe that took place in 2015. The main reasons for the decision to emigrate by the citizens of origin countries were shown, as well as the routes by which refugees flow into Europe.</w:t>
      </w:r>
    </w:p>
    <w:p>
      <w:pPr/>
      <w:r>
        <w:rPr>
          <w:b/>
        </w:rPr>
        <w:t>POSSIBLE 2019:</w:t>
      </w:r>
      <w:r>
        <w:t xml:space="preserve"> Is social transnationalism fusing European societies into one? — https://doi.org/10.46692/9781447334217.010</w:t>
      </w:r>
    </w:p>
    <w:p>
      <w:pPr/>
      <w:r>
        <w:rPr>
          <w:b/>
        </w:rPr>
        <w:t>Shared claim-specific concepts:</w:t>
      </w:r>
      <w:r>
        <w:t xml:space="preserve"> since, one, main, they, tourism; EU scope visible. This is a provisional connection, not an outcome finding.</w:t>
      </w:r>
    </w:p>
    <w:p>
      <w:pPr>
        <w:pStyle w:val="SourceNote"/>
      </w:pPr>
      <w:r>
        <w:rPr>
          <w:b/>
        </w:rPr>
        <w:t>Available abstract (not full text):</w:t>
      </w:r>
      <w:r>
        <w:t xml:space="preserve"> Introduction: one Europe for whom? ‘Europe’ – as such – is the main intercontinental travel destination of Chinese tourists. In 2016, 12 million visited from Mainland China, six times their number in 2000 (Artl 2016). The rise continues, as 2018 was announced by the EU and the Chinese government as the ‘EU–China Year of Tourism’ (whatever this may mean). More sophisticated and diversified than in the early 2000s, still the majority of Chinese tourists set foot on the Old Continent as part of an organised group package trip. On average they stay between one and three nights per country – overall visiting between five and ten different nations (Croce 2016). The Schengen visa (which costs €60) favours such cross-border travel, as it allows access to more than 20 countries with a single authorisation, and removes the perception of frontiers. On their way from one destination to the other, typically under strict timelines, Chinese tourists hardly have the impression of crossing national borders. In their eyes, Europe is one. Contrast this with the experience of European movers. Their perceptions along with their hosts’ resonate with persisting cultural differences, language barriers, diverse cuisines, bureaucratic rules, sexual and family mores. It is true that passport controls have been removed since the 1990s (but have been reinstated more or less systematically since the Islamis</w:t>
      </w:r>
    </w:p>
    <w:p>
      <w:pPr/>
      <w:r>
        <w:rPr>
          <w:b/>
        </w:rPr>
        <w:t>POSSIBLE 2019:</w:t>
      </w:r>
      <w:r>
        <w:t xml:space="preserve"> European Journal of Preventive Cardiology — https://doi.org/10.1093/eurheartj/ehz546</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If there is one thing more relevant than maintaining the current health status, it is improving it. This should be one of the main objectives of the preventive cardiologist when it comes to cardiovascular health. Sharing and disseminating the supporting knowledge to that end is the object of the European Journal of Preventive Cardiology (EJPC), published by Sage (@SAGEClinMed). Whether primary, secondary, or tertiary prevention, the goal is always to improve the state of health. The various disciplines that the EJPC embraces include primary care and risk factor management, public health and epidemiology, rehabilitation, exercise physiology, and sports cardiology. These also represent the main sections of the European Association of Preventive Cardiology (EAPC-#EAPC_ESC), of which the EJPC is the official journal. Unlike other cardiovascular journals, the EJPC instead of focusing on a specific area of cardiology provides the reader with a unique perspective of medicine, traversing all fields and sub-specialities. That is prevention. An approach that is able to include the whole spectrum of cardiovascular medicine, with topics that vary from a general population and epidemiological approach, to the molecular effects of medications and basic science. There is no doubt that interest in preventive cardiology is increasing. Numbers confirm the increase as can be seen in the EJPC’s in</w:t>
      </w:r>
    </w:p>
    <w:p>
      <w:pPr/>
      <w:r>
        <w:rPr>
          <w:b/>
        </w:rPr>
        <w:t>POSSIBLE 2019:</w:t>
      </w:r>
      <w:r>
        <w:t xml:space="preserve"> Morphogenesis of New Straits and Islands Originated in the European Arctic Since the 1980s — https://doi.org/10.3390/geosciences9110476</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Several new islands and many islets have appeared in the European Arctic since the end of the 20th century due to glacial recession under climate warming. The specificity of the formation of each individual strait and island is shown in the paper (apart from its location and timing of its origin). Analysis of available maps and satellite images of all three European Arctic archipelagos, from different times since 1909–1910, was the main research method. There are three pathways of the morphogenesis of the new islands: (1) simultaneous recession of glaciers from both sides of a depression in bedrock being a potential strait (typical in Franz Josef Land), (2) uncovering a rocky hill (which protrudes from a depression in bedrock) from under a receding glacier, (3) recession of one glacier which had reached a rocky fragment of a coastline (e.g., headland or peninsula), being a potential new island, during a maximum extent of this glacier during the Little Ice Age (in the beginning of the 20th century). Additional straits and islands are currently at the stage of formation and will continue to form in the European Arctic in the case of further warming or stabilization of the current climate conditions.</w:t>
      </w:r>
    </w:p>
    <w:p>
      <w:pPr>
        <w:pStyle w:val="Heading2"/>
      </w:pPr>
      <w:r>
        <w:t>783.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2021:</w:t>
      </w:r>
      <w:r>
        <w:t xml:space="preserve"> Relevant aspects of carbon storage activities’ liability in paradigmatic countries: Australia, Brazil, Canada, European Union, Japan, Norway, United Kingdom, and United States — https://doi.org/10.1016/b978-0-323-85250-0.00013-x</w:t>
      </w:r>
    </w:p>
    <w:p>
      <w:pPr/>
      <w:r>
        <w:rPr>
          <w:b/>
        </w:rPr>
        <w:t>Shared claim-specific concepts:</w:t>
      </w:r>
      <w:r>
        <w:t xml:space="preserve"> countries, australia, brazil, canada, japan, united;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Comparison of Prices and Affordability of Cancer Medicines in 16 Countries in Europe and Latin America — https://doi.org/10.1007/s40258-021-00670-4</w:t>
      </w:r>
    </w:p>
    <w:p>
      <w:pPr/>
      <w:r>
        <w:rPr>
          <w:b/>
        </w:rPr>
        <w:t>Shared claim-specific concepts:</w:t>
      </w:r>
      <w:r>
        <w:t xml:space="preserve"> countries, brazil, france, germany, mexico, national; EU scope visible. This is a provisional connection, not an outcome finding.</w:t>
      </w:r>
    </w:p>
    <w:p>
      <w:pPr>
        <w:pStyle w:val="SourceNote"/>
      </w:pPr>
      <w:r>
        <w:rPr>
          <w:b/>
        </w:rPr>
        <w:t>Available abstract (not full text):</w:t>
      </w:r>
      <w:r>
        <w:t xml:space="preserve"> BACKGROUND: There are concerns that high prices of cancer medicines may limit patient access. Since information on prices for cancer medicines and their impact on affordability is lacking for several countries, particularly for lower income countries, this study surveys prices of originator cancer medicines in Europe and Latin America and assesses their affordability. METHODS: For 19 cancer medicines, public procurement and ex-factory prices, as of 2017, were surveyed in five Latin American (LATAM) countries (Brazil, Chile, Colombia, Mexico, and Peru) and 11 European countries (Austria, France, Germany, Greece, Hungary, the Netherlands, Poland, Romania, Spain, Sweden, and the UK). Price data (public procurement prices in LATAM and ex-factory prices in Europe) in US dollar purchasing power parities (PPP) were analyzed per defined daily dose. Affordability was measured by setting medicines prices in relation to national minimum wages. RESULTS: The prices of cancer medicines varied considerably between countries. In European countries with higher levels of income, PPP-adjusted prices tended to be lower than in European countries of lower income and LATAM countries. Except for one medicine, all surveyed medicines were considered unaffordable in most countries. In European countries of lower income and LATAM countries, more than 15 days' worth of minimum wages would be required by a</w:t>
      </w:r>
    </w:p>
    <w:p>
      <w:pPr/>
      <w:r>
        <w:rPr>
          <w:b/>
        </w:rPr>
        <w:t>POSSIBLE 2021:</w:t>
      </w:r>
      <w:r>
        <w:t xml:space="preserve"> Clinical practices related to high-flow nasal cannulas in pediatric critical care in Brazil compared to other countries: a Brazilian survey — https://doi.org/10.5935/0103-507x.20210055</w:t>
      </w:r>
    </w:p>
    <w:p>
      <w:pPr/>
      <w:r>
        <w:rPr>
          <w:b/>
        </w:rPr>
        <w:t>Shared claim-specific concepts:</w:t>
      </w:r>
      <w:r>
        <w:t xml:space="preserve"> countries, australia, brazil, canada, india, south; EU scope visible. This is a provisional connection, not an outcome finding.</w:t>
      </w:r>
    </w:p>
    <w:p>
      <w:pPr>
        <w:pStyle w:val="SourceNote"/>
      </w:pPr>
      <w:r>
        <w:rPr>
          <w:b/>
        </w:rPr>
        <w:t>Available abstract (not full text):</w:t>
      </w:r>
      <w:r>
        <w:t xml:space="preserve"> OBJECTIVE: To describe current clinical practices related to the use of high-flow nasal cannula therapy by Brazilian pediatric intensivists and compare them with those in other countries. METHODS: A questionnaire was administered to pediatric intensivists in North and South America, Asia, Europe, and Australia/New Zealand for the main study. We compared the Brazilian cohort with cohorts in the United States of America, Canada, the United Kingdom, and India. RESULTS: Overall, 501 physicians responded, 127 of which were in Brazil. Only 63.8% of respondents in Brazil had a high-flow nasal cannula available, in contrast to 100% of respondents in the United Kingdom, Canada, and the United States. The attending physician was responsible for the decision to start a high-flow nasal cannula according to 61.2% respondents in Brazil, 95.5% in the United Kingdom, 96.6% in the United States, 96.8% in Canada, and 84.7% in India. A total of 62% of respondents in Brazil, 96.3% in the United Kingdom, 96.6% in the United States, 96.8% in Canada, and 84.7% in India reported that the attending physician was responsible for the decision to wean or modify the high-flow nasal cannula settings. When high-flow nasal cannula therapy failed due to respiratory distress/failure, 82% of respondents in Brazil would consider a trial of noninvasive ventilation before endotracheal intubation, compared to 93% in</w:t>
      </w:r>
    </w:p>
    <w:p>
      <w:pPr/>
      <w:r>
        <w:rPr>
          <w:b/>
        </w:rPr>
        <w:t>POSSIBLE 2021:</w:t>
      </w:r>
      <w:r>
        <w:t xml:space="preserve"> Evolution of Medical Device Sector in India and Comparison of Registration Processes of Medical Devices in India with Countries like China, Australia, U.S. and Europe — https://doi.org/10.23880/pdraj-16000127</w:t>
      </w:r>
    </w:p>
    <w:p>
      <w:pPr/>
      <w:r>
        <w:rPr>
          <w:b/>
        </w:rPr>
        <w:t>Shared claim-specific concepts:</w:t>
      </w:r>
      <w:r>
        <w:t xml:space="preserve"> countries, australia, china, india, national; EU scope visible. This is a provisional connection, not an outcome finding.</w:t>
      </w:r>
    </w:p>
    <w:p>
      <w:pPr>
        <w:pStyle w:val="SourceNote"/>
      </w:pPr>
      <w:r>
        <w:rPr>
          <w:b/>
        </w:rPr>
        <w:t>Available abstract (not full text):</w:t>
      </w:r>
      <w:r>
        <w:t xml:space="preserve"> The medical device market in India is a sunrise sector in the pharmaceutical industry and has achieved a milestone in the last few years securing 4th position in the medical device market in Asia with increasing foreign direct investments through governments Make in India Campaign 2017, and PLI (Product linked incentive) schemes. To enter the medical device market in any country, one has to go through different procedures and regulatory requirements of that country. Medical devices are regulated in India by the DCGI (Drug Controller General of India) under the CDSCO (Central Drug Standard Control Organization). In China, the registration approval process is under NMPA (National Medical Product Administration) and requires complying with Chinese regulatory standard notice No. 218. Europe and Australian regulations are bit same and require a CE (Conformité Européenne) mark for manufacturing and marketing. U.S. regulations for approving medical devices are stringent and 510 (k) and PMA (pre-market authorization) is compulsory. In this review, the reader would get an idea about the evolution of medical devices and legislative changes in India and also about international standards and auditing programs. There is a comparison of Indian, Chinese, Australian, U.S., and European medical device registration processes for understanding the similarities and differences.</w:t>
      </w:r>
    </w:p>
    <w:p>
      <w:pPr/>
      <w:r>
        <w:rPr>
          <w:b/>
        </w:rPr>
        <w:t>POSSIBLE 2021:</w:t>
      </w:r>
      <w:r>
        <w:t xml:space="preserve"> AUSTRALIA AND BRAZIL: A DIALOGUE ON CITIZENSHIP EDUCATIONAL IN THE SCHOOL CURRICULA — https://doi.org/10.18224/educ.v24i1.8259</w:t>
      </w:r>
    </w:p>
    <w:p>
      <w:pPr/>
      <w:r>
        <w:rPr>
          <w:b/>
        </w:rPr>
        <w:t>Shared claim-specific concepts:</w:t>
      </w:r>
      <w:r>
        <w:t xml:space="preserve"> countries, australia, brazil, debate; EU scope not established. This is a provisional connection, not an outcome finding.</w:t>
      </w:r>
    </w:p>
    <w:p>
      <w:pPr>
        <w:pStyle w:val="SourceNote"/>
      </w:pPr>
      <w:r>
        <w:rPr>
          <w:b/>
        </w:rPr>
        <w:t>Available abstract (not full text):</w:t>
      </w:r>
      <w:r>
        <w:t xml:space="preserve"> The debate on citizenship education has impacted the area of education in several aspects, mainly in the introduction of changes in school curricula. Therefore, it is timely to identify, analyse and discuss the implications that such changes have had on curricula. The present study was carried out to understand the contents, skills, attitudes and values the Australian Curriculum and the Brazilian Curriculum have incorporated to develop citizenship education. This qualitative research highlights the relevance attributed to citizenship in the curriculum of several countries and in the proposals of international organizations. Therefore, it explains the main features of the curricula in focus. Finally, the results are discussed.</w:t>
      </w:r>
    </w:p>
    <w:p>
      <w:pPr/>
      <w:r>
        <w:rPr>
          <w:b/>
        </w:rPr>
        <w:t>POSSIBLE 2020:</w:t>
      </w:r>
      <w:r>
        <w:t xml:space="preserve"> Psychosocial Experiences of African Migrants in Six European Countries — https://doi.org/10.1007/978-3-030-48347-0</w:t>
      </w:r>
    </w:p>
    <w:p>
      <w:pPr/>
      <w:r>
        <w:rPr>
          <w:b/>
        </w:rPr>
        <w:t>Shared claim-specific concepts:</w:t>
      </w:r>
      <w:r>
        <w:t xml:space="preserve"> countries, france, germany, italy; EU scope visible. This is a provisional connection, not an outcome finding.</w:t>
      </w:r>
    </w:p>
    <w:p>
      <w:pPr>
        <w:pStyle w:val="SourceNote"/>
      </w:pPr>
      <w:r>
        <w:rPr>
          <w:b/>
        </w:rPr>
        <w:t>Available abstract (not full text):</w:t>
      </w:r>
      <w:r>
        <w:t xml:space="preserve"> This open access book is an empirical narrative of the psychological and social experiences of 3500 African migrants who migrated to 6 European countries: Germany, Spain, Italy, The Netherlands, France, and the UK. It is the only book that reports a cross-cultural study of African migrants to Europe</w:t>
      </w:r>
    </w:p>
    <w:p>
      <w:pPr/>
      <w:r>
        <w:rPr>
          <w:b/>
        </w:rPr>
        <w:t>POSSIBLE 2020:</w:t>
      </w:r>
      <w:r>
        <w:t xml:space="preserve"> A qualitative meta-synthesis study of the convergence between organic crop regulations in the United States, Brazil, and Europe — https://doi.org/10.1016/j.tifs.2020.10.044</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Brazilian consumers’ perception of edible insects — https://doi.org/10.1590/0103-8478cr20180960</w:t>
      </w:r>
    </w:p>
    <w:p>
      <w:pPr/>
      <w:r>
        <w:rPr>
          <w:b/>
        </w:rPr>
        <w:t>Shared claim-specific concepts:</w:t>
      </w:r>
      <w:r>
        <w:t xml:space="preserve"> countries, australia, south, africa; EU scope visible. This is a provisional connection, not an outcome finding.</w:t>
      </w:r>
    </w:p>
    <w:p>
      <w:pPr>
        <w:pStyle w:val="SourceNote"/>
      </w:pPr>
      <w:r>
        <w:rPr>
          <w:b/>
        </w:rPr>
        <w:t>Available abstract (not full text):</w:t>
      </w:r>
      <w:r>
        <w:t xml:space="preserve"> ABSTRACT: It is estimated that by 2050 the world population will be 9 billion people; and therefore, the need for alternative sources of protein is inevitable, since conventional sources, such as beef, pork and poultry, will not be sufficient to meet the demand of population growth. Food that includes alternative sources of protein, such as insects, is a reality in countries of Latin America, Asia, Australia, Europe and Africa. This research presents the results of an exploratory study that analysed the food profile of 1,619 consumers in the five Brazilian regions (North, Northeast, Midwest, Southeast and South) as well as their perception, motivation and preferred form of edible insects. The data were analysed by cross-tabulation and expressed as frequencies. Our results show that women are more reluctant than men to consume insects. In general, there is a preference for consumption of insects in the form of flour. However, those with more familiarity with this type of consumption prefer the whole insect. Most Brazilian consumers have no opinion about the safety of consuming insects; however, consumers with higher levels of education and familiarity consider it safe.</w:t>
      </w:r>
    </w:p>
    <w:p>
      <w:pPr/>
      <w:r>
        <w:rPr>
          <w:b/>
        </w:rPr>
        <w:t>POSSIBLE 2018:</w:t>
      </w:r>
      <w:r>
        <w:t xml:space="preserve"> Global burden of hypoglycaemia-related mortality in 109 countries, from 2000 to 2014: an analysis of death certificates — https://doi.org/10.1007/s00125-018-4626-y</w:t>
      </w:r>
    </w:p>
    <w:p>
      <w:pPr/>
      <w:r>
        <w:rPr>
          <w:b/>
        </w:rPr>
        <w:t>Shared claim-specific concepts:</w:t>
      </w:r>
      <w:r>
        <w:t xml:space="preserve"> countries, australia, brazil, canada, japan, south; EU scope visible. This is a provisional connection, not an outcome finding.</w:t>
      </w:r>
    </w:p>
    <w:p>
      <w:pPr>
        <w:pStyle w:val="SourceNote"/>
      </w:pPr>
      <w:r>
        <w:rPr>
          <w:b/>
        </w:rPr>
        <w:t>Available abstract (not full text):</w:t>
      </w:r>
      <w:r>
        <w:t xml:space="preserve"> AIMS/HYPOTHESIS: In the context of increasing prevalence of diabetes in elderly people with multimorbidity, intensive glucose control may increase the risk of severe hypoglycaemia, potentially leading to death. While rising trends of severe hypoglycaemia rates have been reported in some European, North American and Asian countries, the global burden of hypoglycaemia-related mortality is unknown. We aimed to investigate global differences and trends of hypoglycaemia-related mortality. METHODS: We used the WHO mortality database to extract information on death certificates reporting hypoglycaemia or diabetes as the underlying cause of death, and the United Nations demographic database to obtain data on mid-year population estimates from 2000 to 2014. We calculated crude and age-standardised proportions (defined as number of hypoglycaemia-related deaths divided by total number of deaths from diabetes [i.e. the sum of hypoglycaemia- and diabetes-related deaths]) and rates (hypoglycaemia-related deaths divided by mid-year population) of hypoglycaemia-related mortality and compared estimates across countries and over time. RESULTS: Data for proportions were extracted from 109 countries (31 had data from all years analysed [2000-2014] available). Combining all countries, the age-standardised proportion of hypoglycaemia-related deaths was 4.49 (95% CI 4.44, 4.55) per 1000 total diabete</w:t>
      </w:r>
    </w:p>
    <w:p>
      <w:pPr>
        <w:pStyle w:val="Heading2"/>
      </w:pPr>
      <w:r>
        <w:t>784.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2020:</w:t>
      </w:r>
      <w:r>
        <w:t xml:space="preserve"> European heart health survey 2019 — https://doi.org/10.1002/clc.23478</w:t>
      </w:r>
    </w:p>
    <w:p>
      <w:pPr/>
      <w:r>
        <w:rPr>
          <w:b/>
        </w:rPr>
        <w:t>Shared claim-specific concepts:</w:t>
      </w:r>
      <w:r>
        <w:t xml:space="preserve"> driven, awareness, potential; EU scope visible. This is a provisional connection, not an outcome finding.</w:t>
      </w:r>
    </w:p>
    <w:p>
      <w:pPr>
        <w:pStyle w:val="SourceNote"/>
      </w:pPr>
      <w:r>
        <w:rPr>
          <w:b/>
        </w:rPr>
        <w:t>Available abstract (not full text):</w:t>
      </w:r>
      <w:r>
        <w:t xml:space="preserve"> BACKGROUND: Rising life expectancy in the western population is increasing the prevalence of heart valve diseases (HVD). HYPOTHESIS: The level of awareness and initial screening for HVD should be sufficient. The potential impact of HVD on the daily activities of the elderly population in Europe might affect our society. METHODS AND RESULTS: A survey was conducted, including a total of 12 832 people aged ≥ 60 years in 11 European countries. Of all the people surveyed, 5.6% could correctly describe aortic valve stenosis. Most participants (75.0%) claimed they regularly do activities like sports or social activities, 29.2% provide care for a family member, friend or acquaintance. The majority (69.2%) would be prevented from doing these activities by symptoms such as chest pain, fatigue or shortness of breath. Having chest pain (76.5%) and shortness of breath (57.8%) were reasons for most people to arrange an appointment with their GP, whereas only 26.2% would visit a GP for fatigue. 67.6% of respondents claimed to be checked with a stethoscope by their GP occasionally, never, or only when they ask. The preferred treatment option for HVD is a keyhole procedure (45.8%), whereas open heart surgery would only be preferred by 7.0%. CONCLUSION: Knowledge about HVD is still low. Neither appointments with a GP driven by symptoms nor regular use of a stethoscope are a reliable guarantee fo</w:t>
      </w:r>
    </w:p>
    <w:p>
      <w:pPr/>
      <w:r>
        <w:rPr>
          <w:b/>
        </w:rPr>
        <w:t>POSSIBLE 2019:</w:t>
      </w:r>
      <w:r>
        <w:t xml:space="preserve"> Social Innovation in Community Energy in Europe: A Review of the Evidence — https://doi.org/10.3389/fenrg.2019.00031</w:t>
      </w:r>
    </w:p>
    <w:p>
      <w:pPr/>
      <w:r>
        <w:rPr>
          <w:b/>
        </w:rPr>
        <w:t>Shared claim-specific concepts:</w:t>
      </w:r>
      <w:r>
        <w:t xml:space="preserve"> production, economy, worldwide;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pStyle w:val="Heading2"/>
      </w:pPr>
      <w:r>
        <w:t>785.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2022:</w:t>
      </w:r>
      <w:r>
        <w:t xml:space="preserve"> Effects of Immigrants, Health, and Ageing on Economic Growth in the European Union — https://doi.org/10.3390/ijerph20010224</w:t>
      </w:r>
    </w:p>
    <w:p>
      <w:pPr/>
      <w:r>
        <w:rPr>
          <w:b/>
        </w:rPr>
        <w:t>Shared claim-specific concepts:</w:t>
      </w:r>
      <w:r>
        <w:t xml:space="preserve"> population, union, number, modeled; EU scope visible. This is a provisional connection, not an outcome finding.</w:t>
      </w:r>
    </w:p>
    <w:p>
      <w:pPr>
        <w:pStyle w:val="SourceNote"/>
      </w:pPr>
      <w:r>
        <w:rPr>
          <w:b/>
        </w:rPr>
        <w:t>Available abstract (not full text):</w:t>
      </w:r>
      <w:r>
        <w:t xml:space="preserve"> Population ageing and low birth rates are two problems of the EU that have an impact on employment, production, and economic growth. Against this background, immigration, health expenditure, and the health of migrants must become a key element of European policy. For this reason, this paper focused on identifying the effect of immigration, health, and ageing on economic growth in order to highlight their importance from an economic perspective. We constructed different econometric models with Eurostat data for 27 countries and 13 years (2008-2020), whose dependent variable was gross domestic product. Independent variables were the number of immigrants by gender and age, health expenditure per capita (total and by function), immigrants' perception of their health as very good, and the proportion of the population aged 65 years and over. The model selected to analyze the results was Prais-Winsten regression heteroskedastic panels corrected standard errors modeled by applying the option (ar1) to correct for autocorrelation, using Stata software (version 16). The results show that health expenditure has a significant positive effect on economic growth, higher in hospital services, followed by medical products; immigrants' perception as very good is only significant in some models. The number of immigrants has a (positive) effect, although less significant than public expenditure on</w:t>
      </w:r>
    </w:p>
    <w:p>
      <w:pPr/>
      <w:r>
        <w:rPr>
          <w:b/>
        </w:rPr>
        <w:t>POSSIBLE 2021:</w:t>
      </w:r>
      <w:r>
        <w:t xml:space="preserve"> Unveiling the local determinants of population growth in the European Union — https://doi.org/10.1111/grow.12469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paper studies the population growth dynamics in European NUTS3 regions over the period of 2000–2015 and offers generalizable evidence on the main drivers of population change at this sub‐level of analysis, which is so far rather unexplored. Results obtained by means of a spatial Durbin model highlight the roles of economic and demographic regional conditions in shaping population dynamics and the minor role of geography and environmental conditions. The fact that geographical polarization of population is occurring, which might result in an increase in regional imbalances, calls for policy actions in mitigating this phenomenon.</w:t>
      </w:r>
    </w:p>
    <w:p>
      <w:pPr/>
      <w:r>
        <w:rPr>
          <w:b/>
        </w:rPr>
        <w:t>POSSIBLE 2021:</w:t>
      </w:r>
      <w:r>
        <w:t xml:space="preserve"> Determinants of economic growth in the European Union. An empirical analysis of conditional convergence — https://doi.org/10.21272/sec.5(2).26-34.2021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Being established from the initiative of six visionary countries in the second half of the 20th century, the European Economic Community has shifted the history of the European continent by promoting economic collaboration and political stability. Given its initial success, the regional group has quickly evolved from customs union to Economic and Monetary Union, comprising nowadays twenty-seven European countries. Although the European Union has successfully managed political, economic, social and even sanitary turmoil, the stability of the European architecture continues to be threatened by the heterogeneity of its members. In this respect, one of the main challenges for the European Union in its current composition aims the convergence of the economic performance between countries and regions. The purpose of this paper is to study the economic growth patterns in the European Union during 2000 and 2019, also conducting a comparative analysis between New and Old Member States. In order to capture the European economic landscape, the methodology was based on conditional β-convergence and the estimates were conducted by using ordinary least squares and generalized least squares with fixed effects. We have tried to find the relationship between the lagged value of GDP per capita and the subsequent growth rates, but also to study the influence of macroeconomic and social-related va</w:t>
      </w:r>
    </w:p>
    <w:p>
      <w:pPr/>
      <w:r>
        <w:rPr>
          <w:b/>
        </w:rPr>
        <w:t>POSSIBLE 2019:</w:t>
      </w:r>
      <w:r>
        <w:t xml:space="preserve"> Taxation and economic growth in the European Union: a quantile approach — https://doi.org/10.33776/rem.v0i51.3909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The available literature on the relationship between taxation and economic growth is mixed, although some consensus exists on the negative effects of some taxes on growth. In this paper we study the relationship between taxation and growth for the European Union in 2004?2016 through a quantile regression approach to detect different patterns along the distribution. The results show a negative effect of the tax burden, with higher impact at the last quantiles, evidencing a non-linear relationship between tax burden and economic growth in the European Union. In contrast, the top corporate tax rate appears as non-significant in this study. In addition, population growth, with negative impact, and investment and human capital, with positive effect, also explain the economic growth in the period.</w:t>
      </w:r>
    </w:p>
    <w:p>
      <w:pPr/>
      <w:r>
        <w:rPr>
          <w:b/>
        </w:rPr>
        <w:t>POSSIBLE 2019:</w:t>
      </w:r>
      <w:r>
        <w:t xml:space="preserve"> ECONOMIC GROWTH PROJECTION FOR EUROPEAN UNION BY 2030 — https://doi.org/10.5755/j01.eis.0.13.23709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The paper contributes to a discussion on developments in output for the EU-27 group over the next 11 years, up to year 2030. It departs from a discussion on arguments of the production function, with focus on sudden changes to population in Europe, its growth rate and composition. A brief study of population-decreasing events in the European historical perspective may represent an inspiring part. Reasons for inconsistency in estimated parameters of production function for European countries seems to be well-explained this way. The projection for the next 11 years, up to 2030 has employed the production function framework. Parameters have been estimated on the period 2004 – 2016 that matches most closely conditions that one may expect over the projection horizon. Feeding the estimated production function for the 2018-2030 forecast has employed projected population by Eurostat, while private capital investment has been generated by an ARIMA model. Projection is offered in two forms: (1) aggregated real output for the whole EU, and (2) the same category for each of the EU-27 countries.</w:t>
      </w:r>
    </w:p>
    <w:p>
      <w:pPr>
        <w:pStyle w:val="Heading2"/>
      </w:pPr>
      <w:r>
        <w:t>786.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pStyle w:val="Heading2"/>
      </w:pPr>
      <w:r>
        <w:t>787.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2020:</w:t>
      </w:r>
      <w:r>
        <w:t xml:space="preserve"> A primer on model selection using the Akaike Information Criterion — https://doi.org/10.1016/j.idm.2019.12.010</w:t>
      </w:r>
    </w:p>
    <w:p>
      <w:pPr/>
      <w:r>
        <w:rPr>
          <w:b/>
        </w:rPr>
        <w:t>Shared claim-specific concepts:</w:t>
      </w:r>
      <w:r>
        <w:t xml:space="preserve"> then, different; EU scope not established. This is a provisional connection, not an outcome finding.</w:t>
      </w:r>
    </w:p>
    <w:p>
      <w:pPr>
        <w:pStyle w:val="SourceNote"/>
      </w:pPr>
      <w:r>
        <w:rPr>
          <w:b/>
        </w:rPr>
        <w:t>Available abstract (not full text):</w:t>
      </w:r>
      <w:r>
        <w:t xml:space="preserve"> A powerful investigative tool in biology is to consider not a single mathematical model but a collection of models designed to explore different working hypotheses and select the best model in that collection. In these lecture notes, the usual workflow of the use of mathematical models to investigate a biological problem is described and the use of a collection of model is motivated. Models depend on parameters that must be estimated using observations; and when a collection of models is considered, the best model has then to be identified based on available observations. Hence, model calibration and selection, which are intrinsically linked, are essential steps of the workflow. Here, some procedures for model calibration and a criterion, the Akaike Information Criterion, of model selection based on experimental data are described. Rough derivation, practical technique of computation and use of this criterion are detailed.</w:t>
      </w:r>
    </w:p>
    <w:p>
      <w:pPr/>
      <w:r>
        <w:rPr>
          <w:b/>
        </w:rPr>
        <w:t>POSSIBLE 2019:</w:t>
      </w:r>
      <w:r>
        <w:t xml:space="preserve"> A note on model selection using information criteria for general linear models estimated using REML — https://doi.org/10.1111/anzs.12254</w:t>
      </w:r>
    </w:p>
    <w:p>
      <w:pPr/>
      <w:r>
        <w:rPr>
          <w:b/>
        </w:rPr>
        <w:t>Shared claim-specific concepts:</w:t>
      </w:r>
      <w:r>
        <w:t xml:space="preserve"> then, used, different, estimates; EU scope not established. This is a provisional connection, not an outcome finding.</w:t>
      </w:r>
    </w:p>
    <w:p>
      <w:pPr>
        <w:pStyle w:val="SourceNote"/>
      </w:pPr>
      <w:r>
        <w:rPr>
          <w:b/>
        </w:rPr>
        <w:t>Available abstract (not full text):</w:t>
      </w:r>
      <w:r>
        <w:t xml:space="preserve"> It is common practice to compare the fit of non‐nested models using the Akaike (AIC) or Bayesian (BIC) information criteria. The basis of these criteria is the log‐likelihood evaluated at the maximum likelihood estimates of the unknown parameters. For the general linear model (and the linear mixed model, which is a special case), estimation is usually carried out using residual or restricted maximum likelihood (REML). However, for models with different fixed effects, the residual likelihoods are not comparable and hence information criteria based on the residual likelihood cannot be used. For model selection, it is often suggested that the models are refitted using maximum likelihood to enable the criteria to be used. The first aim of this paper is to highlight that both the AIC and BIC can be used for the general linear model by using the full log‐likelihood evaluated at the REML estimates. The second aim is to provide a derivation of the criteria under REML estimation. This aim is achieved by noting that the full likelihood can be decomposed into a marginal (residual) and conditional likelihood and this decomposition then incorporates aspects of both the fixed effects and variance parameters. Using this decomposition, the appropriate information criteria for model selection of models which differ in their fixed effects specification can be derived. An example is presented to </w:t>
      </w:r>
    </w:p>
    <w:p>
      <w:pPr/>
      <w:r>
        <w:rPr>
          <w:b/>
        </w:rPr>
        <w:t>POSSIBLE 2017:</w:t>
      </w:r>
      <w:r>
        <w:t xml:space="preserve"> Model selection using information criteria, but is the “best” model any good? — https://doi.org/10.1111/1365-2664.13060</w:t>
      </w:r>
    </w:p>
    <w:p>
      <w:pPr/>
      <w:r>
        <w:rPr>
          <w:b/>
        </w:rPr>
        <w:t>Shared claim-specific concepts:</w:t>
      </w:r>
      <w:r>
        <w:t xml:space="preserve"> used, leading; EU scope not established. This is a provisional connection, not an outcome finding.</w:t>
      </w:r>
    </w:p>
    <w:p>
      <w:pPr>
        <w:pStyle w:val="SourceNote"/>
      </w:pPr>
      <w:r>
        <w:rPr>
          <w:b/>
        </w:rPr>
        <w:t>Available abstract (not full text):</w:t>
      </w:r>
      <w:r>
        <w:t xml:space="preserve"> Abstract Information criteria ( IC s) are used widely for data summary and model building in ecology, especially in applied ecology and wildlife management. Although IC s are useful for distinguishing among rival candidate models, IC s do not necessarily indicate whether the “best” model (or a model‐averaged version) is a good representation of the data or whether the model has useful “explanatory” or “predictive” ability. As editors and reviewers, we have seen many submissions that did not evaluate whether the nominal “best” model(s) found using IC is a useful model in the above sense. We scrutinized six leading ecological journals for papers that used IC to compare models. More than half of papers using IC for model comparison did not evaluate the adequacy of the best model(s) in either “explaining” or “predicting” the data. Synthesis and applications . Authors need to evaluate the adequacy of the model identified as the “best” model by using information criteria methods to provide convincing evidence to readers and users that inferences from the best models are useful and reliable.</w:t>
      </w:r>
    </w:p>
    <w:p>
      <w:pPr/>
      <w:r>
        <w:rPr>
          <w:b/>
        </w:rPr>
        <w:t>POSSIBLE 2017:</w:t>
      </w:r>
      <w:r>
        <w:t xml:space="preserve"> AraVec: A set of Arabic Word Embedding Models for use in Arabic NLP — https://doi.org/10.1016/j.procs.2017.10.117</w:t>
      </w:r>
    </w:p>
    <w:p>
      <w:pPr/>
      <w:r>
        <w:rPr>
          <w:b/>
        </w:rPr>
        <w:t>Shared claim-specific concepts:</w:t>
      </w:r>
      <w:r>
        <w:t xml:space="preserve"> used, three, different; EU scope not established. This is a provisional connection, not an outcome finding.</w:t>
      </w:r>
    </w:p>
    <w:p>
      <w:pPr>
        <w:pStyle w:val="SourceNote"/>
      </w:pPr>
      <w:r>
        <w:rPr>
          <w:b/>
        </w:rPr>
        <w:t>Available abstract (not full text):</w:t>
      </w:r>
      <w:r>
        <w:t xml:space="preserve"> Advancements in neural networks have led to developments in fields like computer vision, speech recognition and natural language processing (NLP). One of the most influential recent developments in NLP is the use of word embeddings, where words are represented as vectors in a continuous space, capturing many syntactic and semantic relations among them. AraVec is a pre-trained distributed word representation (word embedding) open source project which aims to provide the Arabic NLP research community with free to use and powerful word embedding models. The first version of AraVec provides six different word embedding models built on top of three different Arabic content domains; Tweets, World Wide Web pages and Wikipedia Arabic articles. The total number of tokens used to build the models amounts to more than 3,300,000,000. This paper describes the resources used for building the models, the employed data cleaning techniques, the carried out preprocessing step, as well as the details of the employed word embedding creation techniques.</w:t>
      </w:r>
    </w:p>
    <w:p>
      <w:pPr/>
      <w:r>
        <w:rPr>
          <w:b/>
        </w:rPr>
        <w:t>POSSIBLE 2017:</w:t>
      </w:r>
      <w:r>
        <w:t xml:space="preserve"> Modelling isoscapes using mixed models — https://doi.org/10.1101/207662</w:t>
      </w:r>
    </w:p>
    <w:p>
      <w:pPr/>
      <w:r>
        <w:rPr>
          <w:b/>
        </w:rPr>
        <w:t>Shared claim-specific concepts:</w:t>
      </w:r>
      <w:r>
        <w:t xml:space="preserve"> used, framework; EU scope visible. This is a provisional connection, not an outcome finding.</w:t>
      </w:r>
    </w:p>
    <w:p>
      <w:pPr>
        <w:pStyle w:val="SourceNote"/>
      </w:pPr>
      <w:r>
        <w:rPr>
          <w:b/>
        </w:rPr>
        <w:t>Available abstract (not full text):</w:t>
      </w:r>
      <w:r>
        <w:t xml:space="preserve"> Isoscapes are maps depicting the continuous spatial (and sometimes temporal) variation in isotope composition. They have various applications ranging from the study of isotope circulation in the main earth systems to the determination of the provenance of migratory animals. Isoscapes can be produced from the fit of statistical models to observations originating from a set of discrete locations. Mixed models are powerful tools for drawing inferences from correlated data. While they are widely used to study non-spatial variation, they are often overlooked in spatial analyses. In particular, they have not been used to study the spatial variation of isotope composition. Here, we introduce this statistical framework and illustrate the methodology by building isoscapes of the isotope composition of hydrogen for precipitation water in Europe. For this example, the approach based on mixed models presents a higher predictive power than a widespread alternative approach. We discuss other advantages offered by mixed models including: the ability to model the residual variance in isotope composition, the quantification of prediction uncertainty, and the simplicity of model comparison and selection using an adequate information criterion: the conditional AIC (cAIC). We provide all source code required for the replication of the results of this paper as a small R package to foster a transpar</w:t>
      </w:r>
    </w:p>
    <w:p>
      <w:pPr/>
      <w:r>
        <w:rPr>
          <w:b/>
        </w:rPr>
        <w:t>POSSIBLE 2017:</w:t>
      </w:r>
      <w:r>
        <w:t xml:space="preserve"> Mining Logs to Model the Use of a System — https://doi.org/10.1109/esem.2017.47</w:t>
      </w:r>
    </w:p>
    <w:p>
      <w:pPr/>
      <w:r>
        <w:rPr>
          <w:b/>
        </w:rPr>
        <w:t>Shared claim-specific concepts:</w:t>
      </w:r>
      <w:r>
        <w:t xml:space="preserve"> used, different; EU scope not established. This is a provisional connection, not an outcome finding.</w:t>
      </w:r>
    </w:p>
    <w:p>
      <w:pPr>
        <w:pStyle w:val="SourceNote"/>
      </w:pPr>
      <w:r>
        <w:rPr>
          <w:b/>
        </w:rPr>
        <w:t>Available abstract (not full text):</w:t>
      </w:r>
      <w:r>
        <w:t xml:space="preserve"> Background. Process mining is a technique to build process models from "execution logs" (i.e., events triggered by the execution of a process). State-of-the-art tools can provide process managers with different graphical representations of such models. Managers use these models to compare them with an ideal process model or to support process improvement. They typically select the representation based on their experience and knowledge of the system. Aim. This work studies how to automatically build process models representing the actual intents (or uses) of users while interacting with a software system. Such intents are expressed as a set of actions performed by a user to a system to achieve specific use goals. Method. This work applies the theory of Hidden Markov Models to mine use logs and automatically model the use of a system. Results. Unlike the models generated with process mining tools, the Hidden Markov Models automatically generated in this study provide the intents of a user and can be used to recommend managers with a faithful representation of the use of their systems. Conclusions. The automatic generation of the Hidden Markov Models can achieve a good level of accuracy in representing the actual user's intents provided the log dataset is carefully chosen. In our study, the information contained in one-month set of logs helped automatically build Hidden Markov Mod</w:t>
      </w:r>
    </w:p>
    <w:p>
      <w:pPr>
        <w:pStyle w:val="Heading2"/>
      </w:pPr>
      <w:r>
        <w:t>788.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projections, highly, uncertain;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climate, projections, area, not;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climate, projections, past;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2023:</w:t>
      </w:r>
      <w:r>
        <w:t xml:space="preserve"> Climate Change Projections of Agricultural Droughts in Europe: A Comparison between Standardized Drought Indices — https://doi.org/10.5194/ems2023-289</w:t>
      </w:r>
    </w:p>
    <w:p>
      <w:pPr/>
      <w:r>
        <w:rPr>
          <w:b/>
        </w:rPr>
        <w:t>Shared claim-specific concepts:</w:t>
      </w:r>
      <w:r>
        <w:t xml:space="preserve"> climate, projections, precipitation, uncertain, droughts; EU scope visible. This is a provisional connection, not an outcome finding.</w:t>
      </w:r>
    </w:p>
    <w:p>
      <w:pPr>
        <w:pStyle w:val="SourceNote"/>
      </w:pPr>
      <w:r>
        <w:rPr>
          <w:b/>
        </w:rPr>
        <w:t>Available abstract (not full text):</w:t>
      </w:r>
      <w:r>
        <w:t xml:space="preserve"> Drought is one of the most devastating natural hazards, affecting ecosystems, communities, and their economies worldwide. According to the last IPCC report, is expected, indeed, an increase in severity and frequency of drought under a changing climate, at least over Mediterranean regions. However, is still more uncertain the effect of climate change in other regions in the world. To analyze the effect of this extreme phenomenon, many drought indices have been developed in recent years based on different hydroclimatic variables and depending on the type of drought under study. Among these indices it is worth mentioning, for meteorological droughts, the Standardized Precipitation Index (SPI) or the Standardized Precipitation Evapotranspiration Index (SPEI), agricultural drought indices such as the Standardized Soil moisture Index (SSI), or those that make use of different variables or multivariate indices such as the Multivariate Standardized Drought Index (MSDI) that combines soil moisture and precipitation, and the Standardized Precipitation Evapotranspiration Soil Moisture Index (SPESMI), an adaptation of the MSDI that incorporates the effect of potential evapotranspiration on the water balance. This work aims to analyze from meteorological to agricultural droughts projections over Europe using standardized drought indices. For this, we evaluate drought characteristics (i.e., </w:t>
      </w:r>
    </w:p>
    <w:p>
      <w:pPr/>
      <w:r>
        <w:rPr>
          <w:b/>
        </w:rPr>
        <w:t>POSSIBLE 2022:</w:t>
      </w:r>
      <w:r>
        <w:t xml:space="preserve"> Attribution of streamflow changes to future climate projections across Europe — https://doi.org/10.5194/iahs2022-569</w:t>
      </w:r>
    </w:p>
    <w:p>
      <w:pPr/>
      <w:r>
        <w:rPr>
          <w:b/>
        </w:rPr>
        <w:t>Shared claim-specific concepts:</w:t>
      </w:r>
      <w:r>
        <w:t xml:space="preserve"> climate, projections, century, droughts; EU scope visible. This is a provisional connection, not an outcome finding.</w:t>
      </w:r>
    </w:p>
    <w:p>
      <w:pPr>
        <w:pStyle w:val="SourceNote"/>
      </w:pPr>
      <w:r>
        <w:rPr>
          <w:b/>
        </w:rPr>
        <w:t>Available abstract (not full text):</w:t>
      </w:r>
      <w:r>
        <w:t xml:space="preserve"> Ongoing warming strongly influences the water cycle at the regional scale and increases concerns about future streamflow changes with consequences for water availability and potential intensification of hydrological extremes, i.e. floods and droughts. Detecting and identifying controlling factors of future streamflow changes is a key point to understand the hydrological response to changing climate and develop tailored strategies for the water resources management and risk adaption. In this study we investigate the streamflow changes, including extremes, across Europe in the mid (2041-2070) and late (2070-2099) century. We used streamflow simulations from the E-HYPE hydrological model and the EURO-CORDEX climate model projections. The sensitivity of streamflow changes to the climatic factors compared to the reference period (1981-2010) is evaluated with the climatic elasticity method based on the Budyko framework. Moreover, we assess the spatial consistency and uncertainty of the streamflow changes due to the ensemble variability. Results show that the sensitivity of streamflow changes to climatic change varies depending on the climatic gradient and physiographic properties of the domain.</w:t>
      </w:r>
    </w:p>
    <w:p>
      <w:pPr/>
      <w:r>
        <w:rPr>
          <w:b/>
        </w:rPr>
        <w:t>POSSIBLE 2021:</w:t>
      </w:r>
      <w:r>
        <w:t xml:space="preserve"> Climate change and infectious disease in Europe: Impact, projection and adaptation — https://doi.org/10.1016/j.lanepe.2021.100230</w:t>
      </w:r>
    </w:p>
    <w:p>
      <w:pPr/>
      <w:r>
        <w:rPr>
          <w:b/>
        </w:rPr>
        <w:t>Shared claim-specific concepts:</w:t>
      </w:r>
      <w:r>
        <w:t xml:space="preserve"> climate, precipitation, not; EU scope visible. This is a provisional connection, not an outcome finding.</w:t>
      </w:r>
    </w:p>
    <w:p>
      <w:pPr>
        <w:pStyle w:val="SourceNote"/>
      </w:pPr>
      <w:r>
        <w:rPr>
          <w:b/>
        </w:rPr>
        <w:t>Available abstract (not full text):</w:t>
      </w:r>
      <w:r>
        <w:t xml:space="preserve"> Europeans are not only exposed to direct effects from climate change, but also vulnerable to indirect effects from infectious disease, many of which are climate sensitive, which is of concern because of their epidemic potential. Climatic conditions have facilitated vector-borne disease outbreaks like chikungunya, dengue, and West Nile fever and have contributed to a geographic range expansion of tick vectors that transmit Lyme disease and tick-borne encephalitis. Extreme precipitation events have caused waterborne outbreaks and longer summer seasons have contributed to increases in foodborne diseases. Under the Green Deal, The European Union aims to support climate change health policy, in order to be better prepared for the next health security threat, particularly in the aftermath of the traumatic COVID-19 experience. To bolster this policy process we discuss climate change-related hazards, exposures and vulnerabilities to infectious disease and describe observed impacts, projected risks, with policy entry points for adaptation to reduce these risks or avoid them altogether.</w:t>
      </w:r>
    </w:p>
    <w:p>
      <w:pPr/>
      <w:r>
        <w:rPr>
          <w:b/>
        </w:rPr>
        <w:t>POSSIBLE 2021:</w:t>
      </w:r>
      <w:r>
        <w:t xml:space="preserve"> How does the CMIP6 ensemble change the picture for European climate projections? — https://doi.org/10.1088/1748-9326/ac1ed9</w:t>
      </w:r>
    </w:p>
    <w:p>
      <w:pPr/>
      <w:r>
        <w:rPr>
          <w:b/>
        </w:rPr>
        <w:t>Shared claim-specific concepts:</w:t>
      </w:r>
      <w:r>
        <w:t xml:space="preserve"> climate, projections, warmer, temperatures, precipitation; EU scope visible. This is a provisional connection, not an outcome finding.</w:t>
      </w:r>
    </w:p>
    <w:p>
      <w:pPr>
        <w:pStyle w:val="SourceNote"/>
      </w:pPr>
      <w:r>
        <w:rPr>
          <w:b/>
        </w:rPr>
        <w:t>Available abstract (not full text):</w:t>
      </w:r>
      <w:r>
        <w:t xml:space="preserve"> Abstract We compare Coupled Model Intercomparison Project (CMIP) ensemble (CMIP6) projections for seasonal mean temperature and precipitation to CMIP5 for northern Europe, central Europe and the Mediterranean. The CMIP6 ensemble shows increased projected summer warming compared to CMIP5, which was found to be statistically significant in central Europe and the Mediterranean. Precipitation projections for Central Europe in CMIP6 were found to have a stronger drying trend in the summer months, there was also a substantially narrower projection range. Spatial comparisons indicate that this stronger drying trend also extends into a large part northern Europe. We show that warmer projected summer temperatures in northern Europe and the Mediterranean are largely driven by the higher global climate sensitivities in CMIP6 models, while regional changes are broadly similar. In central Europe a significant difference in the regional responses was found and in these cases the picture can be said to have changed. We find the difference in regional sensitivity is important in central Europe where it accounts for roughly 40 % of the differences between ensembles in projected regional temperature.</w:t>
      </w:r>
    </w:p>
    <w:p>
      <w:pPr/>
      <w:r>
        <w:rPr>
          <w:b/>
        </w:rPr>
        <w:t>POSSIBLE 2021:</w:t>
      </w:r>
      <w:r>
        <w:t xml:space="preserve"> High-resolution projections of the aridity in Europe under climate change — https://doi.org/10.1016/b978-0-12-822184-6.00009-0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789.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2023:</w:t>
      </w:r>
      <w:r>
        <w:t xml:space="preserve"> Decoding ChatGPT: A taxonomy of existing research, current challenges, and possible future directions — https://doi.org/10.1016/j.jksuci.2023.101675</w:t>
      </w:r>
    </w:p>
    <w:p>
      <w:pPr/>
      <w:r>
        <w:rPr>
          <w:b/>
        </w:rPr>
        <w:t>Shared claim-specific concepts:</w:t>
      </w:r>
      <w:r>
        <w:t xml:space="preserve"> possible, directions; EU scope not established. This is a provisional connection, not an outcome finding.</w:t>
      </w:r>
    </w:p>
    <w:p>
      <w:pPr>
        <w:pStyle w:val="SourceNote"/>
      </w:pPr>
      <w:r>
        <w:rPr>
          <w:b/>
        </w:rPr>
        <w:t>Available abstract (not full text):</w:t>
      </w:r>
      <w:r>
        <w:t xml:space="preserve"> Chat Generative Pre-trained Transformer (ChatGPT) has gained significant interest and attention since its launch in November 2022. It has shown impressive performance in various domains, including passing exams and creative writing. However, challenges and concerns related to biases and trust persist. In this work, we present a comprehensive review of over 100 Scopus-indexed publications on ChatGPT, aiming to provide a taxonomy of ChatGPT research and explore its applications. We critically analyze the existing literature, identifying common approaches employed in the studies. Additionally, we investigate diverse application areas where ChatGPT has found utility, such as healthcare, marketing and financial services, software engineering, academic and scientific writing, research and education, environmental science, and natural language processing. Through examining these applications, we gain valuable insights into the potential of ChatGPT in addressing real-world challenges. We also discuss crucial issues related to ChatGPT, including biases and trustworthiness, emphasizing the need for further research and development in these areas. Furthermore, we identify potential future directions for ChatGPT research, proposing solutions to current challenges and speculating on expected advancements. By fully leveraging the capabilities of ChatGPT, we can unlock its potential across va</w:t>
      </w:r>
    </w:p>
    <w:p>
      <w:pPr/>
      <w:r>
        <w:rPr>
          <w:b/>
        </w:rPr>
        <w:t>POSSIBLE 2023:</w:t>
      </w:r>
      <w:r>
        <w:t xml:space="preserve"> Directions and risks for the recovery of Ukraine in the context of European integration during the recovery period — https://doi.org/10.24144/2788-6018.2023.03.15</w:t>
      </w:r>
    </w:p>
    <w:p>
      <w:pPr/>
      <w:r>
        <w:rPr>
          <w:b/>
        </w:rPr>
        <w:t>Shared claim-specific concepts:</w:t>
      </w:r>
      <w:r>
        <w:t xml:space="preserve"> analyzes, possible, directions, terms, adaptation, domestic; EU scope visible. This is a provisional connection, not an outcome finding.</w:t>
      </w:r>
    </w:p>
    <w:p>
      <w:pPr>
        <w:pStyle w:val="SourceNote"/>
      </w:pPr>
      <w:r>
        <w:rPr>
          <w:b/>
        </w:rPr>
        <w:t>Available abstract (not full text):</w:t>
      </w:r>
      <w:r>
        <w:t xml:space="preserve"> The work highlights directions for the restoration of Ukraine in the modern and post-war period. The main principles of the country’s recovery plan have been defined and analyzed, including the immediate start and gradual development of building up fair welfare, integration into the EU, restoration and building up of the economy for, the fight against corruption, and the stimulation of private investments. It has been determined that the institutional reforms discussed at the domestic and international level in Ukraine will become prerequisites for economic development, but appropriate measures aimed at the development of international trade and the attraction of direct foreign investment, the creation of a favorable business climate and an inclusive and sustainable financial system will also be required. For example, war risk insurance (similar to what is done by the World Bank-run Multilateral Investment Guarantee Agency (MIGA)) will be necessary to address security concerns that Ukrainian and foreign investors may have. While the process of preparation for the negotiations on Ukraine’s accession to the European Union continues, our country must carry out extensive preparatory work, including in terms of adapting national legislation to the norms of the Union, which, by the way, are also constantly changing, and prevent the occurrence of numerous risks along the way. Of cours</w:t>
      </w:r>
    </w:p>
    <w:p>
      <w:pPr/>
      <w:r>
        <w:rPr>
          <w:b/>
        </w:rPr>
        <w:t>POSSIBLE 2023:</w:t>
      </w:r>
      <w:r>
        <w:t xml:space="preserve"> Legal Regulation of the Status of Ukrainian Refugees in the European Union: Prospective Directions Concerning Reform — https://doi.org/10.52244/c.2023.11.10</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The report is devoted to the important topic of modern migration policy and legal regulation of the status of refugees from Ukraine in the context of European integration. In connection with the complex events on the territory of Ukraine and the rapid increase in the number of Ukrainian refugees, new challenges and opportunities are opening up for their legal status and integration into the countries of the European Union. The report analyzes the current state of legal regulation of the status of Ukrainian refugees in the European Union and identifies the problems faced by these refugees. Next, the article highlights promising directions and possible ways of reforming and improving this legal regulation with the aim of ensuring better protection of the rights and interests of Ukrainian refugees, as well as promoting their effective integration into European society. One of the key directions is to improve procedures for assessing refugee status, reduce administrative barriers to obtaining this status, and establish fast and effective appeal mechanisms. It is also important to consider the possibility of expanding the list of bases on the basis of which refugee status can be granted, taking into account the specific situations faced by Ukrainian refugees. The next important aspect is the support and integration of refugees once they have been granted status. This includes provid</w:t>
      </w:r>
    </w:p>
    <w:p>
      <w:pPr/>
      <w:r>
        <w:rPr>
          <w:b/>
        </w:rPr>
        <w:t>POSSIBLE 2022:</w:t>
      </w:r>
      <w:r>
        <w:t xml:space="preserve"> Directions of green transformation of the European Union countries — https://doi.org/10.1016/j.ecolind.2022.108601</w:t>
      </w:r>
    </w:p>
    <w:p>
      <w:pPr/>
      <w:r>
        <w:rPr>
          <w:b/>
        </w:rPr>
        <w:t>Shared claim-specific concepts:</w:t>
      </w:r>
      <w:r>
        <w:t xml:space="preserve"> directions, different, energy; EU scope visible. This is a provisional connection, not an outcome finding.</w:t>
      </w:r>
    </w:p>
    <w:p>
      <w:pPr>
        <w:pStyle w:val="SourceNote"/>
      </w:pPr>
      <w:r>
        <w:rPr>
          <w:b/>
        </w:rPr>
        <w:t>Available abstract (not full text):</w:t>
      </w:r>
      <w:r>
        <w:t xml:space="preserve"> Green transformation has become one of the most important directions in the further development of the world. It involves the development of green technologies and the creation of legal regulations enforcing, for example, saving energy or reducing the emissions of greenhouse gases, as well as any other activities aimed at changing society’s attitude towards the acceptance of – frequently more expensive but more environment-friendly – technological solutions and legal norms. Thus green transformation can be defined as combining economic growth with caring about the environment in order to guarantee a high quality of life for present and future generations at the level which is attainable due to civilisational development, as well as to an effective and rational use of the available resources. Still, there is no single globally accepted way to this transformation. It is proceeding in a variety of ways and depends on many different factors. The main purpose of the paper is a comparative analysis of the directions of changes occurring in the process of green transformation in EU countries. The added value of the research presented in the paper and its novelty is the analysis of the current patterns of green transformation in EU countries. The paper concentrated on recognizing them and drawing attention to the unfavourable directions of this transformation as well as to its positive</w:t>
      </w:r>
    </w:p>
    <w:p>
      <w:pPr/>
      <w:r>
        <w:rPr>
          <w:b/>
        </w:rPr>
        <w:t>POSSIBLE 2022:</w:t>
      </w:r>
      <w:r>
        <w:t xml:space="preserve"> 11.A. Workshop: Leveraging meso-level data to advance population health in Europe: further directions — https://doi.org/10.1093/eurpub/ckac129.687</w:t>
      </w:r>
    </w:p>
    <w:p>
      <w:pPr/>
      <w:r>
        <w:rPr>
          <w:b/>
        </w:rPr>
        <w:t>Shared claim-specific concepts:</w:t>
      </w:r>
      <w:r>
        <w:t xml:space="preserve"> possible, directions, terms, conditions; EU scope visible. This is a provisional connection, not an outcome finding.</w:t>
      </w:r>
    </w:p>
    <w:p>
      <w:pPr>
        <w:pStyle w:val="SourceNote"/>
      </w:pPr>
      <w:r>
        <w:rPr>
          <w:b/>
        </w:rPr>
        <w:t>Available abstract (not full text):</w:t>
      </w:r>
      <w:r>
        <w:t xml:space="preserve"> Abstract Health services and public health researchers provide timely and critical evidence to answer real-world policy questions and work extensively with policymakers at the macro, meso and micro levels of government. One goal shared by researchers and policymakers is to foster evidence-informed policy and program development to ensure that policy initiatives provide the greatest benefit possible to individuals and society. Among other sources of data, meso-level datasets are usually comprising contextual data aggregated at various geographical areas such as cities, counties, and regions. Although meso-level data are sometimes used as proxies for individual level data, they can also be used to explore complex questions at the population level. This workshop aims to provide a unique, interprofessional, European conversation about how to translate meso-level research evidence into meaningful insights or recommendations. It brings together a group of high-level people from academia, think tanks, and companies who are involved in generating, transferring, or using meso-level evidence to inform public health and health care policy in Germany and France. In the first presentation, Schüttig et al. use district-level data from Germany to suggest that increased spending and improved continuity of care may be effective ways to reduce the rate of potentially avoidable hospitalizations a</w:t>
      </w:r>
    </w:p>
    <w:p>
      <w:pPr/>
      <w:r>
        <w:rPr>
          <w:b/>
        </w:rPr>
        <w:t>POSSIBLE 2022:</w:t>
      </w:r>
      <w:r>
        <w:t xml:space="preserve"> The Conference on the Future of Europe: possible scenarios of the forthcoming European Perestroika — https://doi.org/10.21128/1812-7126-2022-1-14-42</w:t>
      </w:r>
    </w:p>
    <w:p>
      <w:pPr/>
      <w:r>
        <w:rPr>
          <w:b/>
        </w:rPr>
        <w:t>Shared claim-specific concepts:</w:t>
      </w:r>
      <w:r>
        <w:t xml:space="preserve"> possible, directions, different; EU scope visible. This is a provisional connection, not an outcome finding.</w:t>
      </w:r>
    </w:p>
    <w:p>
      <w:pPr>
        <w:pStyle w:val="SourceNote"/>
      </w:pPr>
      <w:r>
        <w:rPr>
          <w:b/>
        </w:rPr>
        <w:t>Available abstract (not full text):</w:t>
      </w:r>
      <w:r>
        <w:t xml:space="preserve"> A Pan-European discussion on the future of Europe was officially initiated by European authorities after Brexit — the shocking decision by the UK to withdraw from the European Union after its referendum of June 23, 2016. This debate covered all the most vital aspects of the European integration project: the nature of European identity, the prospects for integration, democracy deficits, the future of multi-layer constitutionalism, mechanisms of power and the decision-making process, conflicts between European institutions and national governments and elites, and the problem of uneven European leadership. At the core of the debate is the question of the legitimacy of the whole integration project — the eroding support for that idea in society and among elites and experts; the growing divide between Euro-optimist, Euro-pessimist, and Euro-realist trends; and the varying interpretations of an “ever closer union”.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 In some way, this problem-set is similar to that of the Soviet Union</w:t>
      </w:r>
    </w:p>
    <w:p>
      <w:pPr/>
      <w:r>
        <w:rPr>
          <w:b/>
        </w:rPr>
        <w:t>POSSIBLE 2022:</w:t>
      </w:r>
      <w:r>
        <w:t xml:space="preserve"> Strategies of European Energy Producers: Directions of Evolution — https://doi.org/10.3390/en15020609</w:t>
      </w:r>
    </w:p>
    <w:p>
      <w:pPr/>
      <w:r>
        <w:rPr>
          <w:b/>
        </w:rPr>
        <w:t>Shared claim-specific concepts:</w:t>
      </w:r>
      <w:r>
        <w:t xml:space="preserve"> directions, sector, energy, climate; EU scope visible. This is a provisional connection, not an outcome finding.</w:t>
      </w:r>
    </w:p>
    <w:p>
      <w:pPr>
        <w:pStyle w:val="SourceNote"/>
      </w:pPr>
      <w:r>
        <w:rPr>
          <w:b/>
        </w:rPr>
        <w:t>Available abstract (not full text):</w:t>
      </w:r>
      <w:r>
        <w:t xml:space="preserve"> The article presents an innovative method of analyzing energy companies’ strategies, which aims to identify the strategic orientation of the entities subject to the research and, thus, to initially define the directions of strategic changes in the analyzed sector. The aim of the research, the results of which were used in this publication, was to identify the features of energy sector companies’ strategies in the European Union in the period of sector transformation caused by the new climate policy. The analysis area is the energy sector, i.e., the sector whose fundamental strategic goal is energy production. The research used a critical analysis of the subject literature and desk research method with the use of the researchers’ own analytical equipment, developed for the needs of this analysis. It was assumed in the conducted research that the primary source of information in the empirical study, the information subject to subsequent analysis, was the analysis of official documents (strategies, financial reports, etc.) posted on the websites of the surveyed corporations. The research results indicate the dominance of the resource-based approach in implementing strategic postulates of the surveyed companies. Nevertheless, the operational activity focuses on the implementation of innovative solutions towards decarbonization and climate neutrality.</w:t>
      </w:r>
    </w:p>
    <w:p>
      <w:pPr/>
      <w:r>
        <w:rPr>
          <w:b/>
        </w:rPr>
        <w:t>POSSIBLE 2022:</w:t>
      </w:r>
      <w:r>
        <w:t xml:space="preserve"> Short Food Supply Chains in Europe: Scientific Research Directions — https://doi.org/10.3390/su14063602</w:t>
      </w:r>
    </w:p>
    <w:p>
      <w:pPr/>
      <w:r>
        <w:rPr>
          <w:b/>
        </w:rPr>
        <w:t>Shared claim-specific concepts:</w:t>
      </w:r>
      <w:r>
        <w:t xml:space="preserve"> directions, sector, performed;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2022:</w:t>
      </w:r>
      <w:r>
        <w:t xml:space="preserve"> CURRENT STATE AND DIRECTIONS OF INTEGRATION OF UKRAINE’S PENSION SYSTEM INTO THE EUROPEAN AND WORLD PENSION SYSTEM — https://doi.org/10.30525/978-9934-26-193-0-6</w:t>
      </w:r>
    </w:p>
    <w:p>
      <w:pPr/>
      <w:r>
        <w:rPr>
          <w:b/>
        </w:rPr>
        <w:t>Shared claim-specific concepts:</w:t>
      </w:r>
      <w:r>
        <w:t xml:space="preserve"> possible, directions, conditions; EU scope visible. This is a provisional connection, not an outcome finding.</w:t>
      </w:r>
    </w:p>
    <w:p>
      <w:pPr>
        <w:pStyle w:val="SourceNote"/>
      </w:pPr>
      <w:r>
        <w:rPr>
          <w:b/>
        </w:rPr>
        <w:t>Available abstract (not full text):</w:t>
      </w:r>
      <w:r>
        <w:t xml:space="preserve"> In Ukraine, the problem of building an effective system of social protection that can respond quickly to modern economic processes, provide citizens with a decent life, guarantee pensions and other social benefits at the level of market realities and state social standards remains one of the important objectives of public policy. The subject of the study is the pension insurance system in Ukraine, the activities of insurance companies in the pension system. The aim of the research is to study the theoretical foundations and practical aspects of pension insurance, the functioning of the Pension Fund of Ukraine and private pension funds, the formation and use of their funds and justify possible ways to improve the pension insurance system in Ukraine. to international standards. In accordance with the set goal, the following tasks were identified: to characterize the theoretical foundations of the functioning and development of pension insurance in Ukraine; to study the experience of reforming the pension systems of foreign countries, to analyze the current state of the pension system in Ukraine; to characterize the problems of development of non-state pension insurance and to develop measures to intensify pension insurance programs taking into account international experience; to determine the directions of integration of the pension system of Ukraine into the European and world </w:t>
      </w:r>
    </w:p>
    <w:p>
      <w:pPr/>
      <w:r>
        <w:rPr>
          <w:b/>
        </w:rPr>
        <w:t>POSSIBLE 2021:</w:t>
      </w:r>
      <w:r>
        <w:t xml:space="preserve"> New Energy Policy Directions in the European Union Developing the Concept of Smart Cities — https://doi.org/10.3390/smartcities4010015</w:t>
      </w:r>
    </w:p>
    <w:p>
      <w:pPr/>
      <w:r>
        <w:rPr>
          <w:b/>
        </w:rPr>
        <w:t>Shared claim-specific concepts:</w:t>
      </w:r>
      <w:r>
        <w:t xml:space="preserve"> directions, different, technology, energy, conditions, climate; EU scope visible. This is a provisional connection, not an outcome finding.</w:t>
      </w:r>
    </w:p>
    <w:p>
      <w:pPr>
        <w:pStyle w:val="SourceNote"/>
      </w:pPr>
      <w:r>
        <w:rPr>
          <w:b/>
        </w:rPr>
        <w:t>Available abstract (not full text):</w:t>
      </w:r>
      <w:r>
        <w:t xml:space="preserve"> In the context of the European Union promoting clean energy, sustainability and better living conditions for its citizens, the development of smarts cities is an initiative supported at the European Union level, in line with the new energy policies of the European Union promoted by the package “Clean Energy for All Europeans”. The concept of smart cities gains increasing importance in the European Union, a fact that is reflected in the project “European Innovation Partnership on Smart Cities and Communities” of the European Commission. Smart cities are a practical example of how the new energy policies shape the lives of the European Union citizens, trying to improve it. As a consequence, new business models arise in big cities, involving the use of technology for better living conditions. These new, technology-based business models are important, as they improve the life quality of the inhabitants, they reduce the climate change impact, and they contribute as well to job creation in the IT-industry, promoting innovation. They have as well a social impact, as they bring experts from energy policies, business, economics, legal and IT together in order to project a new type of city—the smart city. The research hypothesis of the present article is that there is a high acceptance towards the concept of smart cities at the European Union level and that this concept could be implemen</w:t>
      </w:r>
    </w:p>
    <w:p>
      <w:pPr/>
      <w:r>
        <w:rPr>
          <w:b/>
        </w:rPr>
        <w:t>POSSIBLE 2020:</w:t>
      </w:r>
      <w:r>
        <w:t xml:space="preserve"> Analyzing Similarities between the European Union Countries in Terms of the Structure and Volume of Energy Production from Renewable Energy Sources — https://doi.org/10.3390/en13040913</w:t>
      </w:r>
    </w:p>
    <w:p>
      <w:pPr/>
      <w:r>
        <w:rPr>
          <w:b/>
        </w:rPr>
        <w:t>Shared claim-specific concepts:</w:t>
      </w:r>
      <w:r>
        <w:t xml:space="preserve"> possible, directions, sector, terms, energy, domestic; EU scope visible. This is a provisional connection, not an outcome finding.</w:t>
      </w:r>
    </w:p>
    <w:p>
      <w:pPr>
        <w:pStyle w:val="SourceNote"/>
      </w:pPr>
      <w:r>
        <w:rPr>
          <w:b/>
        </w:rPr>
        <w:t>Available abstract (not full text):</w:t>
      </w:r>
      <w:r>
        <w:t xml:space="preserve"> The European Union (EU) countries, as one of the most economically developed regions in the world, are taking increasingly decisive actions to reduce the emission of harmful substances into the natural environment. This can be exemplified by a new climate strategy referred to as “The European Green Deal”. Its basic assumption is that the EU countries will have achieved climate neutrality by 2050. To do so, it is necessary to make an energy transition involving the widest possible use of renewable energy sources (RES) for energy production. However, activities in this area should be preceded by analyses due to the large diversity of the EU countries in terms of economic development, the number of inhabitants and their wealth as well as geographical location and area. The results of such analyses should support the implementation of adopted strategies. In order to assess the current state of the energy sector in the EU and indicate future directions of activities, research was carried out to analyze the structure and volume of energy production from RES in the EU countries. The aim of the study was to divide the EU countries into similar groups by the structure and volume of energy production from RES. This production was compared with the number of inhabitants of each EU country, its area and the value of Gross Domestic Product (GDP). This approach allows a new and broader view </w:t>
      </w:r>
    </w:p>
    <w:p>
      <w:pPr>
        <w:pStyle w:val="Heading2"/>
      </w:pPr>
      <w:r>
        <w:t>790.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2022:</w:t>
      </w:r>
      <w:r>
        <w:t xml:space="preserve"> Health Inequalities: To What Extent are Decision-Makers and Economic Evaluations on the Same Page? An English Case Study — https://doi.org/10.1007/s40258-022-00739-8</w:t>
      </w:r>
    </w:p>
    <w:p>
      <w:pPr/>
      <w:r>
        <w:rPr>
          <w:b/>
        </w:rPr>
        <w:t>Shared claim-specific concepts:</w:t>
      </w:r>
      <w:r>
        <w:t xml:space="preserve"> extent, case, explore, within, evolved; EU scope not established. This is a provisional connection, not an outcome finding.</w:t>
      </w:r>
    </w:p>
    <w:p>
      <w:pPr>
        <w:pStyle w:val="SourceNote"/>
      </w:pPr>
      <w:r>
        <w:rPr>
          <w:b/>
        </w:rPr>
        <w:t>Available abstract (not full text):</w:t>
      </w:r>
      <w:r>
        <w:t xml:space="preserve"> Economic evaluations have increasingly sought to understand how funding decisions within care sectors impact health inequalities. However, there is a disconnect between the methods used by researchers (e.g., within universities) and analysts (e.g., within publicly funded commissioning agencies), compared to evidence needs of decision makers in regard to how health inequalities are accounted for and presented. Our objective is to explore how health inequality is defined and quantified in different contexts. We focus on how specific approaches have developed, what similarities and differences have emerged, and consider how disconnects can be bridged. We explore existing methodological research regarding the incorporation of inequality considerations into economic evaluation in order to understand current best practice. In parallel, we explore how localised decision makers incorporate inequality considerations into their commissioning processes. We use the English care setting as a case study, from which we make inference as how local commissioning has evolved internationally. We summarise the recent development of distributional cost-effectiveness analysis in the economic evaluation literature: a method that makes explicit the trade-off between efficiency and equity. In the parallel decision-making setting, while the alleviation of health inequality is regularly the focus of remi</w:t>
      </w:r>
    </w:p>
    <w:p>
      <w:pPr/>
      <w:r>
        <w:rPr>
          <w:b/>
        </w:rPr>
        <w:t>POSSIBLE 2022:</w:t>
      </w:r>
      <w:r>
        <w:t xml:space="preserve"> Determinants of the extent and quality of corporate social responsibility disclosure in the industrial and services sectors: the case of Jordan — https://doi.org/10.1108/jfra-05-2021-0133</w:t>
      </w:r>
    </w:p>
    <w:p>
      <w:pPr/>
      <w:r>
        <w:rPr>
          <w:b/>
        </w:rPr>
        <w:t>Shared claim-specific concepts:</w:t>
      </w:r>
      <w:r>
        <w:t xml:space="preserve"> extent, case, authors, corporate; EU scope not established. This is a provisional connection, not an outcome finding.</w:t>
      </w:r>
    </w:p>
    <w:p>
      <w:pPr>
        <w:pStyle w:val="SourceNote"/>
      </w:pPr>
      <w:r>
        <w:rPr>
          <w:b/>
        </w:rPr>
        <w:t>Available abstract (not full text):</w:t>
      </w:r>
      <w:r>
        <w:t xml:space="preserve"> Purpose This study aims to investigate the determinants of the extent and quality of corporate social responsibility disclosure (CSRD) in Jordan. The study examines a number of factors that influence the extent and quality of CSR disclosure, such as corporate characteristics, corporate governance and ownership structure. Design/methodology/approach A quantitative approach and a content analysis technique is used to measure the extent and quality of CSRD from annual reports. The sample is drawn from the annual reports of 118 Jordanian companies between 2010 and 2015. A CSRD index is constructed, which includes the disclosures of the following categories: environmental, human resources, product and consumers, and community involvement. This is the first study that presents a new measurement for CSR disclosure quality by using images and charts in a seven-point scale measurement. Findings The result reveals that the extent of CSRD is higher than quality in Jordan. Regarding the determinants of CSR disclosures, the following factors were found to have a significant relationship with both the extent and quality of CSRD: board size, non-executive directors, age of firm, foreign members on the board, number of boards meetings, the presence of audit committees, big 4, government ownership, size of firm and industry type. Non-executive directors was found to have a significant correlati</w:t>
      </w:r>
    </w:p>
    <w:p>
      <w:pPr/>
      <w:r>
        <w:rPr>
          <w:b/>
        </w:rPr>
        <w:t>POSSIBLE 2022:</w:t>
      </w:r>
      <w:r>
        <w:t xml:space="preserve"> Assessing annual thermal comfort extent in central courtyards: Baghdad as a case study — https://doi.org/10.1108/sasbe-09-2021-0154</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Purpose Traditional central courtyards have been advocated for being thermally efficient for hot-climate regions. However, exploring previous literature shows that it is not clear to what extent courtyards are truly thermally comfortable. This study determines the level of thermal comfort in residential courtyards in hot-climate regions, taking Baghdad as a case study. Design/methodology/approach This study develops a novel Courtyard Thermal Usability Index (CTUI) to quantify the ability of courtyards to provide thermal comfort to occupants. CTUI is the fraction of useable thermally comfortable hours in courtyards of the total occupation hours during a specific period. To operationalise CTUI, the research employs the Envi-met 4.2 simulation tool to determine the annual thermal conditions of 360 courtyards. An adaptive thermal comfort model developed by Al-Hafith in 2020 for Iraq is used to judge simulated thermal conditions and determine CTUI. Findings CTUI enables determining the level of thermal comfort courtyards offer to occupants by showing the ratio of the thermally comfortable period versus the occupation period. Results show that, in Iraq, annually, courtyards offer up to 38% comfortable hours out of the total potential occupation hours. The rest of the time the courtyard will not be comfortable, mostly due to overheating. When designing courtyards, the most effective g</w:t>
      </w:r>
    </w:p>
    <w:p>
      <w:pPr/>
      <w:r>
        <w:rPr>
          <w:b/>
        </w:rPr>
        <w:t>POSSIBLE 2021:</w:t>
      </w:r>
      <w:r>
        <w:t xml:space="preserve"> Pathways to Sexual Assault Case Attrition: Culture, Context, and Case Clearance — https://doi.org/10.1080/15564886.2021.1970661</w:t>
      </w:r>
    </w:p>
    <w:p>
      <w:pPr/>
      <w:r>
        <w:rPr>
          <w:b/>
        </w:rPr>
        <w:t>Shared claim-specific concepts:</w:t>
      </w:r>
      <w:r>
        <w:t xml:space="preserve"> considers, extent, case, context; EU scope not established. This is a provisional connection, not an outcome finding.</w:t>
      </w:r>
    </w:p>
    <w:p>
      <w:pPr>
        <w:pStyle w:val="SourceNote"/>
      </w:pPr>
      <w:r>
        <w:rPr>
          <w:b/>
        </w:rPr>
        <w:t>Available abstract (not full text):</w:t>
      </w:r>
      <w:r>
        <w:t xml:space="preserve"> Sexual assault case attrition research has been consistent in documenting that sexual assault complaints fall out of the system at disturbing rates. In this article, we describe a pathway to attrition where managerial concerns incentivize case processing outcomes that remove cases early in the system and scaffolds a decision-making context where rape myth adherence provides sustained rationalizations for closing cases. Using data on sexual assault incidents reported to the police, we present a quantitative analysis that investigates such a pathway to attrition that considers how police and prosecutors work together at the pre-arrest stage and the extent to which this practice facilitates the use of exceptional clearance police classification to close sexual assault investigations.</w:t>
      </w:r>
    </w:p>
    <w:p>
      <w:pPr/>
      <w:r>
        <w:rPr>
          <w:b/>
        </w:rPr>
        <w:t>POSSIBLE 2019:</w:t>
      </w:r>
      <w:r>
        <w:t xml:space="preserve"> 7. Using cases — https://doi.org/10.1093/he/9780198831273.003.0007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the means by which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2018:</w:t>
      </w:r>
      <w:r>
        <w:t xml:space="preserve"> An extent analysis of 3PL provider selection criteria: A case on Turkey cement sector — https://doi.org/10.1080/23311975.2018.1469183</w:t>
      </w:r>
    </w:p>
    <w:p>
      <w:pPr/>
      <w:r>
        <w:rPr>
          <w:b/>
        </w:rPr>
        <w:t>Shared claim-specific concepts:</w:t>
      </w:r>
      <w:r>
        <w:t xml:space="preserve"> considers, extent, case; EU scope not established. This is a provisional connection, not an outcome finding.</w:t>
      </w:r>
    </w:p>
    <w:p>
      <w:pPr>
        <w:pStyle w:val="SourceNote"/>
      </w:pPr>
      <w:r>
        <w:rPr>
          <w:b/>
        </w:rPr>
        <w:t>Available abstract (not full text):</w:t>
      </w:r>
      <w:r>
        <w:t xml:space="preserve"> Outsourcing has become an increasingly popular means for businesses to improve their efficiency. Logistics outsourcing can be described as transferring some of the logistics functions to an external firm. This paper aims to identify the selection criteria that are used by logistics service providers in Turkey’s cement sector in choosing the third-party service provider. By drawing focus on Chang’s Extent Analysis on Fuzzy Analytical Hierarchy Process (FAHP), the present paper evaluates cost, service/operation quality, competencies, general attributes of firms and relational factors as the main criteria, and considers explanatory 29 sub-criteria. In doing so, a questionnaire that was prepared in the pairwise comparison model was used as a large sample to collect data from a total of 25 experts working in 14 cement companies. As a result, the analysis identifies service/operation quality as the most important one among the main criteria, and determines the service price as the most preferred criterion among the sub-criteria. The study and results both provides particular insight into a specific sector as it is based on the data collected from a large number of experts in one sector, and offers an opportunity for other sectors from the same point of view.</w:t>
      </w:r>
    </w:p>
    <w:p>
      <w:pPr/>
      <w:r>
        <w:rPr>
          <w:b/>
        </w:rPr>
        <w:t>POSSIBLE 2018:</w:t>
      </w:r>
      <w:r>
        <w:t xml:space="preserve"> The Nature of Theology and the Extent of the Atonement — https://doi.org/10.2478/perc-2018-0020</w:t>
      </w:r>
    </w:p>
    <w:p>
      <w:pPr/>
      <w:r>
        <w:rPr>
          <w:b/>
        </w:rPr>
        <w:t>Shared claim-specific concepts:</w:t>
      </w:r>
      <w:r>
        <w:t xml:space="preserve"> considers, extent, case, explore, reference, context; EU scope not established. This is a provisional connection, not an outcome finding.</w:t>
      </w:r>
    </w:p>
    <w:p>
      <w:pPr>
        <w:pStyle w:val="SourceNote"/>
      </w:pPr>
      <w:r>
        <w:rPr>
          <w:b/>
        </w:rPr>
        <w:t>Available abstract (not full text):</w:t>
      </w:r>
      <w:r>
        <w:t xml:space="preserve"> Abstract This article considers the post-Reformation debates over the extent of the Atonement. It traces the origins of these debates from the articles of the Arminian Remonstrance of 1610 through the declarations of the supporters of the Synod of Dort in 1618-19. The debate is then considered in relation to an English Baptist context, and specifically the exegetical dispute over the meaning of the word ‘all’ in 2 Corinthians 5:14-15 and Romans 3:23-4. Three options are examined and the various difficulties in arbitrating between these various interpretations. Recognising these difficulties, the article goes on to explore the relationship between scriptural exegesis and theology with reference to the formulation of the ecumenical doctrine of the Trinity in the fourth century. It argues that while theology should always attempt to be consistent with the exegetical data on occasion it proves inconclusive, as in the case of the debate over the extent of the atonement. In such cases the role of theology becomes one of mediation as it seeks a way of reading the texts of Scripture that allows them to be heard without contradicting each other. Again, this is illustrated from the fourth century and the Christology of Basil of Caesarea and Gregory of Nyssa. Returning to the question of atonement with this understanding of the task of theology the article seeks to propose a way to reconc</w:t>
      </w:r>
    </w:p>
    <w:p>
      <w:pPr/>
      <w:r>
        <w:rPr>
          <w:b/>
        </w:rPr>
        <w:t>POSSIBLE 2017:</w:t>
      </w:r>
      <w:r>
        <w:t xml:space="preserve"> The Extent and Implications of the Microclimatic Conditions in the Urban Environment: A Vienna Case Study — https://doi.org/10.3390/su9020177</w:t>
      </w:r>
    </w:p>
    <w:p>
      <w:pPr/>
      <w:r>
        <w:rPr>
          <w:b/>
        </w:rPr>
        <w:t>Shared claim-specific concepts:</w:t>
      </w:r>
      <w:r>
        <w:t xml:space="preserve"> extent, case, conditions; EU scope visible. This is a provisional connection, not an outcome finding.</w:t>
      </w:r>
    </w:p>
    <w:p>
      <w:pPr>
        <w:pStyle w:val="SourceNote"/>
      </w:pPr>
      <w:r>
        <w:rPr>
          <w:b/>
        </w:rPr>
        <w:t>Available abstract (not full text):</w:t>
      </w:r>
      <w:r>
        <w:t xml:space="preserve"> Recent challenges in the realm of urban studies concern better understanding of microclimatic conditions. Changes in urban climate affect cities at local and global scales, with consequences for human health, thermal comfort, building energy use, and anthropogenic emissions. The extent of these impacts may vary due to different morphologies and materials of the built environment. The present contribution summarizes the results of a multi-year effort concerned with the extent and implications of urban heat in Vienna, Austria. For this purpose, high-resolution weather data across six locations are obtained and analyzed. This allowed for an objective assessment of urban-level climatic circumstances across distinct low-density and high-density typologies. Subsequently, a systematic framework was developed for identification of essential properties of the built environment (geometric and material-related) that are hypothesized to influence microclimate variation. Results point to a number of related (positive and negative) correlations with microclimatic tendencies. Additionally, the impact of this location-specific weather data on building performance simulation results is evaluated. The results suggest that buildings' thermal performance is significantly influenced by location-specific microclimatic conditions with variation of mean annual heating load across locations of up to 16</w:t>
      </w:r>
    </w:p>
    <w:p>
      <w:pPr/>
      <w:r>
        <w:rPr>
          <w:b/>
        </w:rPr>
        <w:t>POSSIBLE 2017:</w:t>
      </w:r>
      <w:r>
        <w:t xml:space="preserve"> The extent of female unpaid work in India: A case of rural agricultural households — https://doi.org/10.18356/5e29aba4-en</w:t>
      </w:r>
    </w:p>
    <w:p>
      <w:pPr/>
      <w:r>
        <w:rPr>
          <w:b/>
        </w:rPr>
        <w:t>Shared claim-specific concepts:</w:t>
      </w:r>
      <w:r>
        <w:t xml:space="preserve"> considers, extent, case, context; EU scope not established. This is a provisional connection, not an outcome finding.</w:t>
      </w:r>
    </w:p>
    <w:p>
      <w:pPr>
        <w:pStyle w:val="SourceNote"/>
      </w:pPr>
      <w:r>
        <w:rPr>
          <w:b/>
        </w:rPr>
        <w:t>Available abstract (not full text):</w:t>
      </w:r>
      <w:r>
        <w:t xml:space="preserve"> This study analyses the extent and nature of female unpaid work in the context of rural households in India. In particular, the study looks at the relationship between land ownership and the extent of domestic duties performed by females, adjusted by family size, in rural agricultural households. Further, the study considers the role of socioeconomic and socio-religious class and the engagement of women in domestic duties. The study uses the Indian National Sample Survey quinquennial round of employment and unemployment survey data for the period 2011-2012. To find out the relationship between various land ownership modalities and domestic duties performed by females, the study makes use of the fractional logit regression model. The empirical result suggests that there is a greater probability of more women workers getting involved in unpaid work as the land-ownership size of the household increases. Further, it is seen that the probability that females engaged in unpaid work is greater for those in casual agricultural households with large land cultivated than for those who are in self-employed households. The study finds that the proportion of rural women engaged in domestic duties is 34 per cent, and the majority of them want to work either on a regular or part-time basis (74 per cent) as well as be able to attend to domestic duties. These results suggest that more effective</w:t>
      </w:r>
    </w:p>
    <w:p>
      <w:pPr>
        <w:pStyle w:val="Heading2"/>
      </w:pPr>
      <w:r>
        <w:t>791.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2023:</w:t>
      </w:r>
      <w:r>
        <w:t xml:space="preserve"> Morocco’s Quest for Stronger and Inclusive Growth — https://doi.org/10.5089/9798400225406.071</w:t>
      </w:r>
    </w:p>
    <w:p>
      <w:pPr/>
      <w:r>
        <w:rPr>
          <w:b/>
        </w:rPr>
        <w:t>Shared claim-specific concepts:</w:t>
      </w:r>
      <w:r>
        <w:t xml:space="preserve"> stronger, not, but; EU scope not established. This is a provisional connection, not an outcome finding.</w:t>
      </w:r>
    </w:p>
    <w:p>
      <w:pPr>
        <w:pStyle w:val="SourceNote"/>
      </w:pPr>
      <w:r>
        <w:rPr>
          <w:b/>
        </w:rPr>
        <w:t>Available abstract (not full text):</w:t>
      </w:r>
      <w:r>
        <w:t xml:space="preserve"> Throughout the past two decades, Morocco has faced several external and domestic shocks, including large swings in international oil prices, regional geopolitical tensions, severe droughts, and most recently the impact of the pandemic and the economic fallout from Russia’s invasion of Ukraine. Despite rough waters, the government stayed the course and remained focused not only on immediate stability, but also on the long-term needs of the Moroccan economy. This involved the adoption of a series of difficult measures, like the elimination of energy subsidies, and a strategy aimed at improving the country’s infrastructure, diversifying the production and export bases by attracting foreign investment, and modernizing the governance structure of the public administration. The road to higher and more inclusive growth, however, remains steep. Despite gains in poverty reduction, literacy and lifespans, Morocco economy continues to face a high share of inactive youth, large gaps in economic opportunities for women, a fragmented social protection system, and remaining barriers to private sector development. An ambitious reform agenda is needed to better meet the aspirations of Moroccans, by making economic growth stronger, more resilient and more inclusive, particularly to provide greater opportunities for young, women, and entrepreneurs. Morocco appears well positioned to address these</w:t>
      </w:r>
    </w:p>
    <w:p>
      <w:pPr/>
      <w:r>
        <w:rPr>
          <w:b/>
        </w:rPr>
        <w:t>POSSIBLE 2023:</w:t>
      </w:r>
      <w:r>
        <w:t xml:space="preserve"> Strong Inhibition of Ice Growth by Biomimetic Crowding Coacervates — https://doi.org/10.1002/anie.202311047</w:t>
      </w:r>
    </w:p>
    <w:p>
      <w:pPr/>
      <w:r>
        <w:rPr>
          <w:b/>
        </w:rPr>
        <w:t>Shared claim-specific concepts:</w:t>
      </w:r>
      <w:r>
        <w:t xml:space="preserve"> not, activity, strong, but; EU scope not established. This is a provisional connection, not an outcome finding.</w:t>
      </w:r>
    </w:p>
    <w:p>
      <w:pPr>
        <w:pStyle w:val="SourceNote"/>
      </w:pPr>
      <w:r>
        <w:rPr>
          <w:b/>
        </w:rPr>
        <w:t>Available abstract (not full text):</w:t>
      </w:r>
      <w:r>
        <w:t xml:space="preserve"> The freezing of biological fluids is intensively studied but remains elusive as it is affected not only by the various components but also by the crowding nature of the biological fluids. Herein, we constructed spherical crowders, fibrous crowders, and coacervates by various components ranging from surfactants to polymers and proteins, to mimic three typical crowders in biological fluids, i.e., globular proteins, fibrous networks, and condensates of biomolecules. It is elucidated that the three crowders exhibit low, moderate, and strong ice growth inhibition activity, respectively, resulting from their different abilities in slowing down water dynamics. Intriguingly, the coacervate consisting of molecules without obvious ice growth inhibition activity strongly inhibits ice growth, which is firstly employed as a highly-potent cryoprotectant. This work provides new insights into the survival of freezing-tolerant organisms and opens an avenue for the design of ice-controlling materials.</w:t>
      </w:r>
    </w:p>
    <w:p>
      <w:pPr/>
      <w:r>
        <w:rPr>
          <w:b/>
        </w:rPr>
        <w:t>POSSIBLE 2020:</w:t>
      </w:r>
      <w:r>
        <w:t xml:space="preserve"> Peatland warming strongly increases fine-root growth — https://doi.org/10.1073/pnas.2003361117</w:t>
      </w:r>
    </w:p>
    <w:p>
      <w:pPr/>
      <w:r>
        <w:rPr>
          <w:b/>
        </w:rPr>
        <w:t>Shared claim-specific concepts:</w:t>
      </w:r>
      <w:r>
        <w:t xml:space="preserve"> stronger, but; EU scope not established. This is a provisional connection, not an outcome finding.</w:t>
      </w:r>
    </w:p>
    <w:p>
      <w:pPr>
        <w:pStyle w:val="SourceNote"/>
      </w:pPr>
      <w:r>
        <w:rPr>
          <w:b/>
        </w:rPr>
        <w:t>Available abstract (not full text):</w:t>
      </w:r>
      <w:r>
        <w:t xml:space="preserve"> Significance Peatlands store up to two-thirds of the world’s soil carbon, but this carbon may be released under warmer conditions, creating an important climate feedback. The belowground warming response of peatlands is particularly uncertain even though factors such as plant root growth regulate ecosystem water, carbon, and nutrient cycles. We studied how peatland fine roots respond to warming in a whole-ecosystem experiment. Fine-root growth increased dramatically, +130% for a degree of warming, primarily driven by soil drying. This warming response is 20 times stronger than in other ecosystem experiments, highlighting peatland vulnerability to warming. Our study elucidates large and rapid belowground changes that will affect peatlands of a warmer world and their ability to store carbon into the future.</w:t>
      </w:r>
    </w:p>
    <w:p>
      <w:pPr/>
      <w:r>
        <w:rPr>
          <w:b/>
        </w:rPr>
        <w:t>POSSIBLE 2020:</w:t>
      </w:r>
      <w:r>
        <w:t xml:space="preserve"> Strong Social Distancing Measures In The United States Reduced The COVID-19 Growth Rate — https://doi.org/10.1377/hlthaff.2020.00608</w:t>
      </w:r>
    </w:p>
    <w:p>
      <w:pPr/>
      <w:r>
        <w:rPr>
          <w:b/>
        </w:rPr>
        <w:t>Shared claim-specific concepts:</w:t>
      </w:r>
      <w:r>
        <w:t xml:space="preserve"> over, four, activity, strong; EU scope not established. This is a provisional connection, not an outcome finding.</w:t>
      </w:r>
    </w:p>
    <w:p>
      <w:pPr>
        <w:pStyle w:val="SourceNote"/>
      </w:pPr>
      <w:r>
        <w:rPr>
          <w:b/>
        </w:rPr>
        <w:t>Available abstract (not full text):</w:t>
      </w:r>
      <w:r>
        <w:t xml:space="preserve"> State and local governments imposed social distancing measures in March and April 2020 to contain the spread of the novel coronavirus disease (COVID-19). These measures included bans on large social gatherings; school closures; closures of entertainment venues, gyms, bars, and restaurant dining areas; and shelter-in-place orders. We evaluated the impact of these measures on the growth rate of confirmed COVID-19 cases across US counties between March 1, 2020, and April 27, 2020. An event study design allowed each policy's impact on COVID-19 case growth to evolve over time. Adoption of government-imposed social distancing measures reduced the daily growth rate of confirmed COVID-19 cases by 5.4 percentage points after one to five days, 6.8 percentage points after six to ten days, 8.2 percentage points after eleven to fifteen days, and 9.1 percentage points after sixteen to twenty days. Holding the amount of voluntary social distancing constant, these results imply that there would have been ten times greater spread of COVID-19 by April 27 without shelter-in-place orders (ten million cases) and more than thirty-five times greater spread without any of the four measures (thirty-five million cases). Our article illustrates the potential danger of exponential spread in the absence of interventions, providing information relevant to strategies for restarting economic activity.</w:t>
      </w:r>
    </w:p>
    <w:p>
      <w:pPr/>
      <w:r>
        <w:rPr>
          <w:b/>
        </w:rPr>
        <w:t>POSSIBLE 2018:</w:t>
      </w:r>
      <w:r>
        <w:t xml:space="preserve"> Moderate Growth with a Stronger Industrial Sector — https://openalex.org/W2811409944</w:t>
      </w:r>
    </w:p>
    <w:p>
      <w:pPr/>
      <w:r>
        <w:rPr>
          <w:b/>
        </w:rPr>
        <w:t>Shared claim-specific concepts:</w:t>
      </w:r>
      <w:r>
        <w:t xml:space="preserve"> stronger, not, period, but; EU scope not established. This is a provisional connection, not an outcome finding.</w:t>
      </w:r>
    </w:p>
    <w:p>
      <w:pPr>
        <w:pStyle w:val="SourceNote"/>
      </w:pPr>
      <w:r>
        <w:rPr>
          <w:b/>
        </w:rPr>
        <w:t>Available abstract (not full text):</w:t>
      </w:r>
      <w:r>
        <w:t xml:space="preserve"> Nebraska will record solid economic growth during the forecast period but will lag U.S. growth. While Nebraska’s large farming sector has stabilized, it will not contribute much to economic growth during the forecast period. Job growth also will be sluggish in transportation, retail trade and state and local government. Job growth, however, will be stronger in the services, finance, manufacturing and construction. Projected growth rates for 2018 to 2020 are presented in Table 1. Employment will grow by 0.8% to 1.0% per year, below the national rate. Non-farm income will grow between 3.6% and 3.8% each year. This growth is sufficient to exceed inflation and population growth, implying growth in real per capita income in Nebraska from 2018 through 2020.</w:t>
      </w:r>
    </w:p>
    <w:p>
      <w:pPr>
        <w:pStyle w:val="Heading2"/>
      </w:pPr>
      <w:r>
        <w:t>792.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pStyle w:val="Heading2"/>
      </w:pPr>
      <w:r>
        <w:t>793.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r>
        <w:rPr>
          <w:b/>
        </w:rPr>
        <w:t>POSSIBLE 2019:</w:t>
      </w:r>
      <w:r>
        <w:t xml:space="preserve"> Social Innovation in Community Energy in Europe: A Review of the Evidence — https://doi.org/10.3389/fenrg.2019.00031</w:t>
      </w:r>
    </w:p>
    <w:p>
      <w:pPr/>
      <w:r>
        <w:rPr>
          <w:b/>
        </w:rPr>
        <w:t>Shared claim-specific concepts:</w:t>
      </w:r>
      <w:r>
        <w:t xml:space="preserve"> identify, opportunities, government;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The populist citizen: Empirical evidence from Europe and Latin America — https://doi.org/10.1017/s1755773919000262</w:t>
      </w:r>
    </w:p>
    <w:p>
      <w:pPr/>
      <w:r>
        <w:rPr>
          <w:b/>
        </w:rPr>
        <w:t>Shared claim-specific concepts:</w:t>
      </w:r>
      <w:r>
        <w:t xml:space="preserve"> identify, between, government; EU scope visible. This is a provisional connection, not an outcome finding.</w:t>
      </w:r>
    </w:p>
    <w:p>
      <w:pPr>
        <w:pStyle w:val="SourceNote"/>
      </w:pPr>
      <w:r>
        <w:rPr>
          <w:b/>
        </w:rPr>
        <w:t>Available abstract (not full text):</w:t>
      </w:r>
      <w:r>
        <w:t xml:space="preserve"> Abstract Scholars are increasingly interested in ‘populist attitudes’, which – studies show – can explain party support and vote choice. However, current research has not yet analyzed in detail the characteristics of those individuals with populist proclivities, or so-called populist citizens . To address this research gap, we harmonize survey data on populist attitudes for nine European countries, five Latin American countries, and Turkey in order to uncover shared or distinct features of populist citizens. Our findings are threefold. First, we identify differences in the sociodemographic characteristics of populist citizens, notably between Europe and Latin America. Second, we find similar patterns of heterogeneity in the political features of populist citizens. Third, we show that populist citizens across all countries have the same democratic profile. They systematically support democracy over other forms of government, while being dissatisfied with its implementation. This suggests populist attitudes are intrinsic to the political culture of contemporary democracies.</w:t>
      </w:r>
    </w:p>
    <w:p>
      <w:pPr>
        <w:pStyle w:val="Heading2"/>
      </w:pPr>
      <w:r>
        <w:t>794.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r>
        <w:rPr>
          <w:b/>
        </w:rPr>
        <w:t>POSSIBLE 2021:</w:t>
      </w:r>
      <w:r>
        <w:t xml:space="preserve"> Customer Work Practices and the Productive Third Place — https://doi.org/10.1177/10946705211014278</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Third places—communal or socializing places such as coffee shops—are confronted with a rising customer segment: customers who use them for work. Prior research is divided on this trend: customer-workers are seen either as a source of added value or a major threat to third places. Relying on a multimethod, qualitative study, we investigate the strategic implications of the rise of customer-workers in third places. We extend prior research by considering customer-workers as a new and valuable segment, with its specific motivations and practices. Building on the co-constitution of practices and places, we show that the rise of the customer-worker segment has fostered market differentiation. We identify four types of third places (archetypal, status quo, compromise, and productive) depending on their targeting strategy and their servicescape adaptation. We delineate how customer-workers transform third places’ value proposition and bring challenges to each type. Specifically, we show that status quo third places are most prone to customer conflicts while compromise third places generate managerial struggles. In contrast, productive third places adapt their servicescape to become work accelerators and a source of professional identity for customer-workers. We provide recommendations for managers to overcome conflicts and benefit from this growing customer base.</w:t>
      </w:r>
    </w:p>
    <w:p>
      <w:pPr/>
      <w:r>
        <w:rPr>
          <w:b/>
        </w:rPr>
        <w:t>POSSIBLE 2021:</w:t>
      </w:r>
      <w:r>
        <w:t xml:space="preserve"> Work, family life and recovery: An exploratory study of “the third shift” — https://doi.org/10.3233/wor-213624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BACKGROUND: Using 24-hour narratives as a starting-point, the present study examines conditions for recovery from work. The third shift concept forms the explorative starting point for highlighting the interplay between work, family responsibilities, leisure time and recovery. OBJECTIVE: The aim of the study is to explore how the third shift affects possibilities for recovery. METHOD: The material was gathered by group interviews and diaries. Thirty employees participated in the study. Ten participants where women between 30 and 45 years of age with children living at home. RESULTS: Being solely responsible for the third shift reduced the chances of recovery during work-free time. The material showed that women aged 30-45 years had to a greater extent than others the main responsibility in a complex third shift. CONCLUSION: As a precondition for external recovery, this study show how theoretically beneficial the breakdown of the second shift and development of the third shift is for understanding different preconditions and the way they affect the possibility of recovery.</w:t>
      </w:r>
    </w:p>
    <w:p>
      <w:pPr/>
      <w:r>
        <w:rPr>
          <w:b/>
        </w:rPr>
        <w:t>POSSIBLE 2019:</w:t>
      </w:r>
      <w:r>
        <w:t xml:space="preserve"> Show Your Work: Improved Reporting of Experimental Results — https://doi.org/10.18653/v1/d19-1224</w:t>
      </w:r>
    </w:p>
    <w:p>
      <w:pPr/>
      <w:r>
        <w:rPr>
          <w:b/>
        </w:rPr>
        <w:t>Shared claim-specific concepts:</w:t>
      </w:r>
      <w:r>
        <w:t xml:space="preserve"> show, work, methods; EU scope not established. This is a provisional connection, not an outcome finding.</w:t>
      </w:r>
    </w:p>
    <w:p>
      <w:pPr>
        <w:pStyle w:val="SourceNote"/>
      </w:pPr>
      <w:r>
        <w:rPr>
          <w:b/>
        </w:rPr>
        <w:t>Available abstract (not full text):</w:t>
      </w:r>
      <w:r>
        <w:t xml:space="preserve"> Jesse Dodge, Suchin Gururangan, Dallas Card, Roy Schwartz, Noah A. Smith. Proceedings of the 2019 Conference on Empirical Methods in Natural Language Processing and the 9th International Joint Conference on Natural Language Processing (EMNLP-IJCNLP). 2019.</w:t>
      </w:r>
    </w:p>
    <w:p>
      <w:pPr>
        <w:pStyle w:val="Heading2"/>
      </w:pPr>
      <w:r>
        <w:t>795.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2020:</w:t>
      </w:r>
      <w:r>
        <w:t xml:space="preserve"> Light opens a new window for N-heterocyclic carbene catalysis — https://doi.org/10.1039/d0sc03595e</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N-Heterocyclic carbenes (NHCs) are efficient Lewis basic catalysts for the umpolung of various polarized unsaturated compounds usually including aldehydes, imines, acyl chlorides and activated esters. NHC catalysis involving electron pair transfer steps has been extensively studied; however, NHC catalysis through single-electron transfer (SET) processes, despite having the potential to achieve chemical transformations of inert chemical bonds and using green reagents, has long been a challenging task in organic synthesis. In parallel, visible-light-induced photocatalysis and photoexcitation have been established as powerful tools to facilitate sustainable organic synthesis, as they enable the generation of various reactive radical intermediates under extremely mild conditions. Recently, a number of elegant visible-light-induced, NHC-catalyzed transformations were developed for accessing valuable organic compounds. As a result, this minireview will highlight the recent advances in this field.</w:t>
      </w:r>
    </w:p>
    <w:p>
      <w:pPr/>
      <w:r>
        <w:rPr>
          <w:b/>
        </w:rPr>
        <w:t>POSSIBLE 2019:</w:t>
      </w:r>
      <w:r>
        <w:t xml:space="preserve"> Developing a vector light sensor — https://openalex.org/W2947760590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Over the past few decades, numerous sensors have been invented for the measurement of light intensity.In most cases, a setup external to the sensor is required to detect the direction of an incoming beam of light.In this work, the design, fabrication, and characterization of a novel light sensor is described.The three-dimensional structure of the sensor allows it to detect both the intensity as well as the direction of the incident light beam, hence becoming a vector light sensor (VLS).The sensor structure is based on creating photodiodes on sidewalls of miniaturized raised or inverted pyramids etched in silicon.Each photodiode was formed by selective doping of the material on each facet of the pyramid, forming a photodiode with the P-type substrate.A set of signal processing algorithms was developed to estimate the direction and the distance of a light source from the sensors.The light sensing devices with both raised and inverted pyramid structures were then fabricated in a cleanroom based on silicon microfabrication technologies.Throughout the process, the lithography step for the textured surface needed to be optimized.An interface circuit was designed and used to amplify and process the signals from the devices.The device operation was verified experimentally to estimate the direction of a light beam.The small size and low power consumption of the individual sensors make t</w:t>
      </w:r>
    </w:p>
    <w:p>
      <w:pPr/>
      <w:r>
        <w:rPr>
          <w:b/>
        </w:rPr>
        <w:t>POSSIBLE 2019:</w:t>
      </w:r>
      <w:r>
        <w:t xml:space="preserve"> Development of computer simulations to overcome students misconceptions on light and optical instruments — https://doi.org/10.1088/1742-6596/1321/3/032074</w:t>
      </w:r>
    </w:p>
    <w:p>
      <w:pPr/>
      <w:r>
        <w:rPr>
          <w:b/>
        </w:rPr>
        <w:t>Shared claim-specific concepts:</w:t>
      </w:r>
      <w:r>
        <w:t xml:space="preserve"> light, developed, set, assessed; EU scope not established. This is a provisional connection, not an outcome finding.</w:t>
      </w:r>
    </w:p>
    <w:p>
      <w:pPr>
        <w:pStyle w:val="SourceNote"/>
      </w:pPr>
      <w:r>
        <w:rPr>
          <w:b/>
        </w:rPr>
        <w:t>Available abstract (not full text):</w:t>
      </w:r>
      <w:r>
        <w:t xml:space="preserve"> Abstract This study aims to develop computer simulations on light and optical instruments topic for junior high school students. The simulations are developed according to the students’ misconception having assessed with two-tier multiple choices test of light and optical instruments concept. The simulations are reviewed by six science teachers to gain comments and suggestion for further development using a set of questionnaires which consists of 10 items with 5-point Likert scale. The items of the instrument are created to assess simulations from aspects of content explanation and its deepness, display, language use, content, curriculum, and students’ misconception. The results of the study show that: (1) The computer simulations program is suited with the contents in the science curriculum, (2) The quality of computer simulations based on science teacher responses is in very good criteria. In conclusion, computer simulations are feasible for junior high school students to overcome misconceptions on light and optical instruments concept.</w:t>
      </w:r>
    </w:p>
    <w:p>
      <w:pPr/>
      <w:r>
        <w:rPr>
          <w:b/>
        </w:rPr>
        <w:t>POSSIBLE 2018:</w:t>
      </w:r>
      <w:r>
        <w:t xml:space="preserve"> The light ages: An investigation into the relationship between photography and the hegemony of light. — https://doi.org/10.48773/949w6</w:t>
      </w:r>
    </w:p>
    <w:p>
      <w:pPr/>
      <w:r>
        <w:rPr>
          <w:b/>
        </w:rPr>
        <w:t>Shared claim-specific concepts:</w:t>
      </w:r>
      <w:r>
        <w:t xml:space="preserve"> light, developed, different; EU scope not established. This is a provisional connection, not an outcome finding.</w:t>
      </w:r>
    </w:p>
    <w:p>
      <w:pPr>
        <w:pStyle w:val="SourceNote"/>
      </w:pPr>
      <w:r>
        <w:rPr>
          <w:b/>
        </w:rPr>
        <w:t>Available abstract (not full text):</w:t>
      </w:r>
      <w:r>
        <w:t xml:space="preserve"> This study sets out to establish an hegemony of light and examine its relationship to the lens in photography. Through a series of sequenced photographs presented as an exhibition The Light Ages in May 2017. The photographs were 841mm x 1189 mm Giclee prints mounted on aluminum which explore the way in which difference sources of light contribute to the identity of different spaces by fracturing and separating the light and duration of the image. The thesis explores how light permeates the English language and is inscribed in terms used to define photography. As a source of energy, light provides the very essence of visibility and defines the perception of objectivity and its limits. The geometric relationship between the light axes and the lens axis is what forms the basis of my development of Gramsci’s concept of hegemony. Since all photographs rely on some kind of light it was important to identify one that was developed specifically for photographic use and controlled almost exclusively by the agents of photographic representation. It also appears to mark the ontology of the image, however, as this study examines it is only one of the temporal registers. The practice seeks to tear apart these temporal registers to show the dualism and hegemony of light, how it attempts to pin down one interpretation at the expense of another. One of the greatest challenges for researchers, </w:t>
      </w:r>
    </w:p>
    <w:p>
      <w:pPr>
        <w:pStyle w:val="Heading2"/>
      </w:pPr>
      <w:r>
        <w:t>796.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r>
        <w:rPr>
          <w:b/>
        </w:rPr>
        <w:t>POSSIBLE 2022:</w:t>
      </w:r>
      <w:r>
        <w:t xml:space="preserve"> Computer‐aided scenario design using participatory backcasting: A case study of sustainable vision creation in a Japanese city — https://doi.org/10.1002/ffo2.141</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Designing backcasting scenarios is a powerful approach to the development of sustainable visions and pathways for governments or enterprises in the early stage of their policy‐making or strategic decision‐making process. To date, a number of scholars have proposed various backcasting methods, in which workshops are often used to reflect the voices of stakeholders. However, it is still a challenge to test the validity of scenarios because the process of designing backcasting scenarios is not transparent or shared among involved stakeholders. This also prevents reusing knowledge and intermediate outputs generated during the scenario design process. To solve these problems, this paper aims to develop a method for supporting a backcasting scenario design by introducing computational assistance. A scenario design support system called the sustainable society scenario (3S) simulator is used to visualize a scenario's logical sequence of the scenario in graph format. To demonstrate the proposed method, a case study for the city of Toyama, a Japanese municipality, was performed using three workshops with citizen participation. The results showed that two different scenarios, involving future visions and associated pathways, were developed by reflecting the diversified values of local citizens. The usage of the 3S simulator visualized the logical relations of the described scena</w:t>
      </w:r>
    </w:p>
    <w:p>
      <w:pPr/>
      <w:r>
        <w:rPr>
          <w:b/>
        </w:rPr>
        <w:t>POSSIBLE 2022:</w:t>
      </w:r>
      <w:r>
        <w:t xml:space="preserve"> Envisioning the driverless city using backcasting and Q-methodology — https://doi.org/10.1016/j.cities.2022.104159</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Despite the expected future introduction of autonomous vehicles in cities, very few studies have analysed the needs and challenges facing urban planning. This paper employs a combination of backcasting and Q-methodology to carry out participatory visioning for a future driverless city. This novel approach was used to elaborate shared visions of the desirable city among a group of 20 citizens and 10 practitioners. Views on 41 statements were analysed relating to urban design, society, environment, transport and mobility needs. Three main visions were identified. The first focuses on high-quality urban spaces and active mobility. The second vision is more futuristic and pro-social, consistent with the more imaginative and innovative stance of young people. The third vision is more conventional and closer to business-as-usual. The results suggest that there is some agreement on the future conditions and policies, especially on the need for environmentally friendly urban development and safe urban design. The article is premised on the belief that engaging stakeholders from different backgrounds, including citizens of various ages, can be enriching for urban planning since there is a wide variety of heterogeneous preferences across society. This requires a search for common ground when designing policy measures that satisfy multiple interests.</w:t>
      </w:r>
    </w:p>
    <w:p>
      <w:pPr/>
      <w:r>
        <w:rPr>
          <w:b/>
        </w:rPr>
        <w:t>POSSIBLE 2021:</w:t>
      </w:r>
      <w:r>
        <w:t xml:space="preserve"> Gamification of backcasting for sustainability: The development of the gameful backcasting framework (GAMEBACK) — https://doi.org/10.1016/j.jclepro.2021.126609</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Considering how wicked problems, such as overconsumption, climate change, or the management of the COVID-19 pandemic rely on multiple stakeholder groups’ deliberation, this study investigates gamification’s potential in participatory backcasting processes to support the emergence and growth of social innovations towards sustainability. Gameful methodologies have progressively been introduced into strategic planning processes, futures research, and transition studies, offering a powerful input to participatory backcasting processes. As gamification is a novel and impactful way to motivate and engage participants to take action during and after the participatory process, this study develops a framework for practitioners to gamify backcasting processes. Developed through state-of-the-art review of extant corpus as well as two cases of gamified participatory backcasting, the framework elucidates how participatory backcasting processes that include gamification elements designed to address engagement do have an impact on the participants, particularly in terms of the process being a positive, co-creative experience, and offer a good foundation for posterior actions.</w:t>
      </w:r>
    </w:p>
    <w:p>
      <w:pPr/>
      <w:r>
        <w:rPr>
          <w:b/>
        </w:rPr>
        <w:t>POSSIBLE 2021:</w:t>
      </w:r>
      <w:r>
        <w:t xml:space="preserve"> Future export markets of industrial wood construction – A qualitative backcasting study — https://doi.org/10.1016/j.forpol.2021.102480</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The forest sector can play a major role in the transformation to a sustainable bioeconomy, driven by climate change, population growth, and accelerated urbanization. However, in most contexts, the industrial wood construction markets, as a promising field for sustainable bioeconomy, are still at a niche level. The analysis in this study concerns the preferred future export markets for industrial wood construction for the Finnish wood construction industry, as viewed by a panel of industrial, policy and academic experts.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 Thirty-five experts formed a panel which produced five visions of the development of industrial wood construction sector exports from Finland, covering the period 2020–2030. All the visions foresaw that the domestic market needs to develop first, to build up the competencies needed to fuel the growth in the exports. Asia, particularly China with its rapidly growing markets, and Europe, with its growing sustainability awareness, commonly appeared as the most promising areas for export growth. The resulting visions differed in terms</w:t>
      </w:r>
    </w:p>
    <w:p>
      <w:pPr/>
      <w:r>
        <w:rPr>
          <w:b/>
        </w:rPr>
        <w:t>POSSIBLE 2020:</w:t>
      </w:r>
      <w:r>
        <w:t xml:space="preserve"> Combining participatory games and backcasting to support collective scenario evaluation: an action research approach for sustainable agroforestry landscape management — https://doi.org/10.1007/s11625-020-00829-3</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The combined and interacting effects of land-use change, resource extraction and climate change threaten the sustainability of millions of mainly smallholder farms in tropical agroforested landscapes. In many of these landscapes, coordinated action among stakeholders at landscape level would help to address challenges such as pests and diseases, price crises and climate change. However, methods to facilitate the co-production of sustainable landscape management in such complex multi-stakeholder systems are currently largely lacking. In this paper, we present a novel approach to explore pathways for the sustainability transition of agroforestry systems. By combining participatory forecasting and backcasting approaches, based on serious games and future vision development, we explore relevant agroforestry management strategies for reaching sustainable future coffee-based agroforestry landscapes. We focused our research on the challenges faced in the main coffee-producing area in Nicaragua. Here, we organized five participatory game sessions to explore farmer decision-making processes, farming strategies and to develop new networks and stimulate social learning among farmers. In the associated backcasting workshop, the most influential game session participants joined technicians, researchers and municipality officials to collectively envision sustainable future landscape</w:t>
      </w:r>
    </w:p>
    <w:p>
      <w:pPr/>
      <w:r>
        <w:rPr>
          <w:b/>
        </w:rPr>
        <w:t>POSSIBLE 2020:</w:t>
      </w:r>
      <w:r>
        <w:t xml:space="preserve"> Backcasting-Based Method for Designing Roadmaps to Achieve a Sustainable Future — https://doi.org/10.1109/tem.2020.3008444</w:t>
      </w:r>
    </w:p>
    <w:p>
      <w:pPr/>
      <w:r>
        <w:rPr>
          <w:b/>
        </w:rPr>
        <w:t>Shared claim-specific concepts:</w:t>
      </w:r>
      <w:r>
        <w:t xml:space="preserve"> developed, backcasting; EU scope not established. This is a provisional connection, not an outcome finding.</w:t>
      </w:r>
    </w:p>
    <w:p>
      <w:pPr>
        <w:pStyle w:val="SourceNote"/>
      </w:pPr>
      <w:r>
        <w:rPr>
          <w:b/>
        </w:rPr>
        <w:t>Available abstract (not full text):</w:t>
      </w:r>
      <w:r>
        <w:t xml:space="preserve"> Much attention has been paid internationally to the adoption of sustainable development goals to achieve sustainable outcomes. Although roadmapping is widely used by companies and other organizations to plan long-term strategies, relatively few studies have examined the development of roadmapping methods aiming at sustainability. To address this challenge, in this article, a backcasting-based method to design roadmaps that could be used to facilitate decision making and plan sustainable futures is proposed. By drawing on the concept of backcasting, the proposed roadmap design method consists of two phases: defining a sustainable vision, and describing the pathways that are required to realize that vision. In order to develop pathways that bridge the gap between the present and the vision, we develop a roadmap template called a “four-arrow model.” To demonstrate the proposed method, roadmaps are developed for Japanese manufacturing from the present to 2050 by organizing an expert workshop. As a result, two different roadmaps that connected sustainable visions and associated pathways are successfully developed. The number of ideas generated through the workshop indicates that the proposed method encouraged brainstorming and concept development. Future research will focus on making the roadmap design process more comprehensive by conducting industrial case studies.</w:t>
      </w:r>
    </w:p>
    <w:p>
      <w:pPr/>
      <w:r>
        <w:rPr>
          <w:b/>
        </w:rPr>
        <w:t>POSSIBLE 2019:</w:t>
      </w:r>
      <w:r>
        <w:t xml:space="preserve"> Co-design agricultural systems combining gaming and backcasting methods in smallholder coffee agroforestry systems — https://openalex.org/W2955102564</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In Central America, smallholder coffee farmers rely on low input agroforestry systems (AFS) while experiencing increased pressure from climate change and social inequality. In order to increase the sustainability of these systems and to guide farmers along agroecological transition pathways, participatory approaches are needed. However, methods for the co-design process of such complex AFS are still scarce. Here, we present a practical approach based on game sessions and backcasting for the development of sustainable farming systems, together with the smallholder communities. We organized five game sessions and one backcasting workshop with farmer communities, technicians, researchers and municipality officials in La Dalia, Nicaragua. Through the game sessions we managed to highlight the key factors that allow or impede successful coordination among farmers to diversify their systems and develop organic and/or low input agriculture. Furthermore, using backcasting, we shared the outcomes from the game sessions among the communities and co-designed new farming systems highlighting major economic, social and environmental benefits and barriers. Through combining game and backcasting sessions, we were able to describe the current system and co-construct a desirable future vision towards agrological transition. We envision a wide range of relevant applications of this method in agri</w:t>
      </w:r>
    </w:p>
    <w:p>
      <w:pPr/>
      <w:r>
        <w:rPr>
          <w:b/>
        </w:rPr>
        <w:t>POSSIBLE 2018:</w:t>
      </w:r>
      <w:r>
        <w:t xml:space="preserve"> Backcasting in futures studies: a synthesized scholarly and planning approach to strategic smart sustainable city development — https://doi.org/10.1186/s40309-018-0142-z</w:t>
      </w:r>
    </w:p>
    <w:p>
      <w:pPr/>
      <w:r>
        <w:rPr>
          <w:b/>
        </w:rPr>
        <w:t>Shared claim-specific concepts:</w:t>
      </w:r>
      <w:r>
        <w:t xml:space="preserve"> backcasting, methodology; EU scope not established. This is a provisional connection, not an outcome finding.</w:t>
      </w:r>
    </w:p>
    <w:p>
      <w:pPr>
        <w:pStyle w:val="SourceNote"/>
      </w:pPr>
      <w:r>
        <w:rPr>
          <w:b/>
        </w:rPr>
        <w:t>Available abstract (not full text):</w:t>
      </w:r>
      <w:r>
        <w:t xml:space="preserve"> Backcasting as a scholarly and planning approach is increasingly used in futures studies in fields related to urban sustainability as an alternative to traditional planning approaches and a formal element of future strategic initiatives. It is viewed as a natural step in operationalizing sustainable development within different societal spheres. As a holistic urban development strategy, smart sustainable cities represent a manifestation of sustainable development as a process of change and a strategic approach to achieving the long-term goals of sustainability. Achieving smart sustainable cities represents an instance of urban sustainability, a concept that refers to a desired state in which a city strives to retain the balance of socio-ecological system through sustainable development as a desired trajectory. This long-term goal requires fostering linkages between scientific and social research, technological innovations, institutional practices, and policy design and planning in relevance to urban sustainability. It also requires a long-term vision, a transdisciplinary approach, and a system-oriented perspective on addressing environmental, economic, and social issues. These requirements are at the core of backcasting as an approach to futures studies. Backcasting is a special kind of scenario methodology to develop future models for smart sustainable city as a planning tool </w:t>
      </w:r>
    </w:p>
    <w:p>
      <w:pPr>
        <w:pStyle w:val="Heading2"/>
      </w:pPr>
      <w:r>
        <w:t>797.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2020:</w:t>
      </w:r>
      <w:r>
        <w:t xml:space="preserve"> Recent Evolutions of Gender, State Feminism and Care Models in Latin America and Europe — https://doi.org/10.1007/978-3-030-48442-2_12</w:t>
      </w:r>
    </w:p>
    <w:p>
      <w:pPr/>
      <w:r>
        <w:rPr>
          <w:b/>
        </w:rPr>
        <w:t>Shared claim-specific concepts:</w:t>
      </w:r>
      <w:r>
        <w:t xml:space="preserve"> recent, process, one; EU scope visible. This is a provisional connection, not an outcome finding.</w:t>
      </w:r>
    </w:p>
    <w:p>
      <w:pPr>
        <w:pStyle w:val="SourceNote"/>
      </w:pPr>
      <w:r>
        <w:rPr>
          <w:b/>
        </w:rPr>
        <w:t>Available abstract (not full text):</w:t>
      </w:r>
      <w:r>
        <w:t xml:space="preserve"> Abstract This chapter presents and characterises the way in which, in the twenty-first century, after years of feminist struggles inside and outside of institutions, gender relations are organised in the different countries of the INCASI project (on the European side, Spain, Italy, Finland, France and the United Kingdom, on the side of the South American Southern Cone, Argentina, Brazil, Chile and Uruguay). It pays special attention to the implementation of feminist issues on political agendas, and in particular the assignment of women to unpaid care work—an aspect of the power continuum that we look to relate to other aspects. Gradually and for almost a century all countries in both continents have granted women the status of subjects, citizens and employees. However, the conditions, challenges and timelines of this process differ considerably from one continent to another, so they need to be addressed separately. The neoliberal era did not have the same impact in Europe as it did in South America (nor was it exactly the same between particular European countries or among South American ones).</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looks, perspectives;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The European Union and social policy — https://doi.org/10.4324/9780429244681-26</w:t>
      </w:r>
    </w:p>
    <w:p>
      <w:pPr/>
      <w:r>
        <w:rPr>
          <w:b/>
        </w:rPr>
        <w:t>Shared claim-specific concepts:</w:t>
      </w:r>
      <w:r>
        <w:t xml:space="preserve"> specifically, looks, recent, particularly; EU scope visible. This is a provisional connection, not an outcome finding.</w:t>
      </w:r>
    </w:p>
    <w:p>
      <w:pPr>
        <w:pStyle w:val="SourceNote"/>
      </w:pPr>
      <w:r>
        <w:rPr>
          <w:b/>
        </w:rPr>
        <w:t>Available abstract (not full text):</w:t>
      </w:r>
      <w:r>
        <w:t xml:space="preserve"> This chapter outlines the development and role of the European Union as the world’s largest multi-state governance organisation. The chapter first explores at the origins and development of the EU, including the key points of growth in membership and in policy. In the chapter’s next section, we explore the structure of the EU, including questions around how far we can consider the EU to be a democratic body and the ways in which the EU makes social policy. Following this, the chapter explores some of the difficulties the EU has faced in recent years, focusing particularly on Eurozone crisis and the growth of nationalism and Euroscepticism, including the 2016 Brexit vote and 2019 political decision to exit the EU from the UK. The chapter then looks specifically at several aspects of European social policy, including the importance of the Charter of Fundamental Rights of the European Union and social policy directed at families, the elderly and disabled people, and around education and training. The chapter finishes with a brief look at the future of the European Union in a changing world and then summarises the key learning.</w:t>
      </w:r>
    </w:p>
    <w:p>
      <w:pPr/>
      <w:r>
        <w:rPr>
          <w:b/>
        </w:rPr>
        <w:t>POSSIBLE 2019:</w:t>
      </w:r>
      <w:r>
        <w:t xml:space="preserve"> European Union — https://doi.org/10.4324/9781351235624-6</w:t>
      </w:r>
    </w:p>
    <w:p>
      <w:pPr/>
      <w:r>
        <w:rPr>
          <w:b/>
        </w:rPr>
        <w:t>Shared claim-specific concepts:</w:t>
      </w:r>
      <w:r>
        <w:t xml:space="preserve"> specifically, looks, recent; EU scope visible. This is a provisional connection, not an outcome finding.</w:t>
      </w:r>
    </w:p>
    <w:p>
      <w:pPr>
        <w:pStyle w:val="SourceNote"/>
      </w:pPr>
      <w:r>
        <w:rPr>
          <w:b/>
        </w:rPr>
        <w:t>Available abstract (not full text):</w:t>
      </w:r>
      <w:r>
        <w:t xml:space="preserve"> This chapter discusses the European Union (EU) has evolved into a security provider, having performed military operations and civilian missions in many parts of the world in addition to creating security strategies and policy initiatives. It looks at the EU and its role in security, specifically focused on the Common Security and Defence Policy. The chapter looks at how the EU as a security and defence actor has been conceptualised. In order to understand the EU as a security actor we must have an idea as to what the EU looks like in terms of power projection, which interconnects with the strategy that the EU is able and willing to pursue. The EU’s role in defence and security is a recent ‘competence’, in the language of the EU treaties. The EU Battlegroup concept was a UK–French idea that was formally launched as a UK, French and German initiative in 2004.</w:t>
      </w:r>
    </w:p>
    <w:p>
      <w:pPr/>
      <w:r>
        <w:rPr>
          <w:b/>
        </w:rPr>
        <w:t>POSSIBLE 2017:</w:t>
      </w:r>
      <w:r>
        <w:t xml:space="preserve"> The rise of on-demand ‘Instant Deliveries’ in European cities — https://doi.org/10.1080/16258312.2017.1375375</w:t>
      </w:r>
    </w:p>
    <w:p>
      <w:pPr/>
      <w:r>
        <w:rPr>
          <w:b/>
        </w:rPr>
        <w:t>Shared claim-specific concepts:</w:t>
      </w:r>
      <w:r>
        <w:t xml:space="preserve"> specifically, looks, recent, mobility, transport; EU scope visible. This is a provisional connection, not an outcome finding.</w:t>
      </w:r>
    </w:p>
    <w:p>
      <w:pPr>
        <w:pStyle w:val="SourceNote"/>
      </w:pPr>
      <w:r>
        <w:rPr>
          <w:b/>
        </w:rPr>
        <w:t>Available abstract (not full text):</w:t>
      </w:r>
      <w:r>
        <w:t xml:space="preserve"> This exploratory paper contributes to a new body of research that investigates the potential of digital market places to disrupt transport and mobility services. We are specifically looking at the urban freight sector, where numerous app-based services have emerged in recent years. The paper specifically looks at ‘instant deliveries,’ i.e. services providing on-demand delivery within two hours – by either private individuals, independent contractors, or employees – by connecting consignors, couriers and consignees via a digital platform. The paper provides an overview of the main issues concerning instant deliveries, supported by data (including a survey of 96 courier delivery providers) and examples. After presenting a typology of companies (digital platforms) involved in ‘instant deliveries,’ we question in what way they transform the urban freight current patterns. We highlight four issues, discussing their potential to impact urban freight services and related policies in European cities: 1) Freight trips and data; 2) Business models; 3) Labor legislation and work conditions; and 4) Local public policies. We conclude by saying that predicting the medium-term consequences of these changes is difficult, but it is essential that city planning and policies take account of these developments and consider how planning and possibly regulation needs to be adapted to these new ways </w:t>
      </w:r>
    </w:p>
    <w:p>
      <w:pPr>
        <w:pStyle w:val="Heading2"/>
      </w:pPr>
      <w:r>
        <w:t>798.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2021:</w:t>
      </w:r>
      <w:r>
        <w:t xml:space="preserve"> Evaluating the systematic risk and its impact on profitability and liquidity; evidence from European countries — https://doi.org/10.1504/ijesb.2021.10040605</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2020:</w:t>
      </w:r>
      <w:r>
        <w:t xml:space="preserve"> Impact of sex and gender on COVID-19 outcomes in Europe — https://doi.org/10.1186/s13293-020-00304-9</w:t>
      </w:r>
    </w:p>
    <w:p>
      <w:pPr/>
      <w:r>
        <w:rPr>
          <w:b/>
        </w:rPr>
        <w:t>Shared claim-specific concepts:</w:t>
      </w:r>
      <w:r>
        <w:t xml:space="preserve"> well, review;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2020:</w:t>
      </w:r>
      <w:r>
        <w:t xml:space="preserve"> Evaluating the impact of viewing location on view perception using a virtual environment — https://doi.org/10.1016/j.buildenv.2020.106932</w:t>
      </w:r>
    </w:p>
    <w:p>
      <w:pPr/>
      <w:r>
        <w:rPr>
          <w:b/>
        </w:rPr>
        <w:t>Shared claim-specific concepts:</w:t>
      </w:r>
      <w:r>
        <w:t xml:space="preserve"> view, evaluating; EU scope not established. This is a provisional connection, not an outcome finding.</w:t>
      </w:r>
    </w:p>
    <w:p>
      <w:pPr>
        <w:pStyle w:val="SourceNote"/>
      </w:pPr>
      <w:r>
        <w:rPr>
          <w:b/>
        </w:rPr>
        <w:t>Available abstract (not full text):</w:t>
      </w:r>
      <w:r>
        <w:t xml:space="preserve"> Window views are an important design feature in buildings. Views can impact the cognitive attention, psychological and physiological well-being of building occupants due to their ability to provide recovery in stressful working environments. The impact of viewing position on view perception as a result of the visual parallax effect resulted from occupants seeing a window from different relative positions in any given room has not been comprehensively investigated. In this study, view perception was evaluated using a physically-based 360° virtual environment at three different viewing locations: close, middle, and far. The three conditions were presented to thirty-two participants. The study employed a comprehensive method by collecting subjective and physiological evaluations. A stress-recovery methodology to assess restorativeness effects was used by presenting a window view observing period after a stressful task was performed. Subjective assessments included questions on view restorative ability, view content and size preferences, view valance/arousal, and positive and negative affects. Physiological measures included skin conductance, heart rate, and heart rate variability. Results showed significant differences in subjective parameters and measures of skin conductance. Decreased view quality was reported as participants observed the view from the further viewing locations </w:t>
      </w:r>
    </w:p>
    <w:p>
      <w:pPr/>
      <w:r>
        <w:rPr>
          <w:b/>
        </w:rPr>
        <w:t>POSSIBLE 2020:</w:t>
      </w:r>
      <w:r>
        <w:t xml:space="preserve"> The PROFOUND Database for evaluating vegetation models and simulating climate impacts on European forests — https://doi.org/10.5194/essd-12-1295-2020</w:t>
      </w:r>
    </w:p>
    <w:p>
      <w:pPr/>
      <w:r>
        <w:rPr>
          <w:b/>
        </w:rPr>
        <w:t>Shared claim-specific concepts:</w:t>
      </w:r>
      <w:r>
        <w:t xml:space="preserve"> evaluation, well, evaluating; EU scope visible. This is a provisional connection, not an outcome finding.</w:t>
      </w:r>
    </w:p>
    <w:p>
      <w:pPr>
        <w:pStyle w:val="SourceNote"/>
      </w:pPr>
      <w:r>
        <w:rPr>
          <w:b/>
        </w:rPr>
        <w:t>Available abstract (not full text):</w:t>
      </w:r>
      <w:r>
        <w:t xml:space="preserve"> Process-based vegetation models are widely used to predict local and global ecosystem dynamics and climate change impacts. Due to their complexity, they require careful parameterization and evaluation to ensure that projections are accurate and reliable. The PROFOUND Database (PROFOUND DB) provides a wide range of empirical data on European forests to calibrate and evaluate vegetation models that simulate climate impacts at the forest stand scale. A particular advantage of this database is its wide coverage of multiple data sources at different hierarchical and temporal scales, together with environmental driving data as well as the latest climate scenarios. Specifically, the PROFOUND DB provides general site descriptions, soil, climate, CO 2 , nitrogen deposition, tree and forest stand level, and remote sensing data for nine contrasting forest stands distributed across Europe. Moreover, for a subset of five sites, time series of carbon fluxes, atmospheric heat conduction and soil water are also available. The climate and nitrogen deposition data contain several datasets for the historic period and a wide range of future climate change scenarios following the Representative Concentration Pathways (RCP2.6, RCP4.5, RCP6.0, RCP8.5). We also provide pre-industrial climate simulations that allow for model runs aimed at disentangling the contribution of climate change to observed for</w:t>
      </w:r>
    </w:p>
    <w:p>
      <w:pPr/>
      <w:r>
        <w:rPr>
          <w:b/>
        </w:rPr>
        <w:t>POSSIBLE 2019:</w:t>
      </w:r>
      <w:r>
        <w:t xml:space="preserve"> Evaluating Academic Legal Research in Europe — https://doi.org/10.4337/9781788115506</w:t>
      </w:r>
    </w:p>
    <w:p>
      <w:pPr/>
      <w:r>
        <w:rPr>
          <w:b/>
        </w:rPr>
        <w:t>Shared claim-specific concepts:</w:t>
      </w:r>
      <w:r>
        <w:t xml:space="preserve"> evaluation, review, evaluating, action; EU scope visible. This is a provisional connection, not an outcome finding.</w:t>
      </w:r>
    </w:p>
    <w:p>
      <w:pPr>
        <w:pStyle w:val="SourceNote"/>
      </w:pPr>
      <w:r>
        <w:rPr>
          <w:b/>
        </w:rPr>
        <w:t>Available abstract (not full text):</w:t>
      </w:r>
      <w:r>
        <w:t xml:space="preserve"> Where rankings, journal impact factors, citation scores and time-consuming peer review processes are increasingly viewed as a nightmare in the natural and social sciences, law still seems to be an oasis of peace and tranquility in certain countries. Nevertheless, this book reveals that law is a discipline in transition, moving from a national towards a transnational focus, from managerial laissez faire towards research programming and output financing, from monodisciplinarity to multidisciplinarity, from implicit quality standards toward more explicit attention for theory-building and methodological accountability. Experts from all over Europe in this volume show how these developments already have a serious impact on the way in which academic legal research is being evaluated throughout Europe. We argue that law has the advantage of lagging behind. Legal scholars can learn from the mistakes in other disciplines. We still have time to develop our own quality indicators, methodological standards and evaluation methods, but action is required.</w:t>
      </w:r>
    </w:p>
    <w:p>
      <w:pPr/>
      <w:r>
        <w:rPr>
          <w:b/>
        </w:rPr>
        <w:t>POSSIBLE 2019:</w:t>
      </w:r>
      <w:r>
        <w:t xml:space="preserve"> Impact of the Electric Mobility Implementation on the Greenhouse Gases Production in Central European Countries — https://doi.org/10.3390/su11184948</w:t>
      </w:r>
    </w:p>
    <w:p>
      <w:pPr/>
      <w:r>
        <w:rPr>
          <w:b/>
        </w:rPr>
        <w:t>Shared claim-specific concepts:</w:t>
      </w:r>
      <w:r>
        <w:t xml:space="preserve"> view, expected; EU scope visible. This is a provisional connection, not an outcome finding.</w:t>
      </w:r>
    </w:p>
    <w:p>
      <w:pPr>
        <w:pStyle w:val="SourceNote"/>
      </w:pPr>
      <w:r>
        <w:rPr>
          <w:b/>
        </w:rPr>
        <w:t>Available abstract (not full text):</w:t>
      </w:r>
      <w:r>
        <w:t xml:space="preserve"> The preference and the development of electromobility are included among the priorities of transport policies in many European countries. This article deals with the issue of electric vehicle operation from the point of view of the environmental impact of electric power production, specifically the energy effectiveness of its production by utilizing primary power production sources. Differences in the effectiveness of the conversion of mixed forms of energy into electricity and their share in the process directly affect the final level of greenhouse gases (GHG) production, and thus the ecological footprint of electric vehicle operations. The specification of energy consumption and GHG production is based on the principles of the EN 16 258: 2012 standard, which considers legislative-regulated power plant effectiveness values, statistical values of GHG emissions from electricity production, and real energy consumption values of an electric vehicle fleet. The calculation takes into account the share of primary sources and the efficiency of electricity production and effectiveness of electricity distribution in each of the evaluated countries. The specific research study is performed by comparing measured parameters for individual countries chosen from the Central Europe region. The results of the study show that the quantification of the positive environmental consequences of incr</w:t>
      </w:r>
    </w:p>
    <w:p>
      <w:pPr/>
      <w:r>
        <w:rPr>
          <w:b/>
        </w:rPr>
        <w:t>POSSIBLE 2019:</w:t>
      </w:r>
      <w:r>
        <w:t xml:space="preserve"> Evaluation Practices and Impact: Overload? — https://doi.org/10.1007/978-3-030-11738-2_8</w:t>
      </w:r>
    </w:p>
    <w:p>
      <w:pPr/>
      <w:r>
        <w:rPr>
          <w:b/>
        </w:rPr>
        <w:t>Shared claim-specific concepts:</w:t>
      </w:r>
      <w:r>
        <w:t xml:space="preserve"> evaluation, offers; EU scope visible. This is a provisional connection, not an outcome finding.</w:t>
      </w:r>
    </w:p>
    <w:p>
      <w:pPr>
        <w:pStyle w:val="SourceNote"/>
      </w:pPr>
      <w:r>
        <w:rPr>
          <w:b/>
        </w:rPr>
        <w:t>Available abstract (not full text):</w:t>
      </w:r>
      <w:r>
        <w:t xml:space="preserve"> Abstract This chapter offers an analysis of evaluation practices in and around the universities in Denmark, Finland, Norway and Sweden. The analysis builds on a conceptual framework focussing on a typology of evaluation models and combines these with an actor’s perspective. The analysis shows that similar evaluation ideas and models have been implemented across the countries, but also that when looking into evaluation practices, variations are considerable. Further, the chapter explores academics’ views on evaluation and evaluation impact. This part of the analysis reveals country differences and shows that evaluation criteria in policy- and managerial-driven evaluation schemes often do not match academic views on what constitutes and supports good performance.</w:t>
      </w:r>
    </w:p>
    <w:p>
      <w:pPr/>
      <w:r>
        <w:rPr>
          <w:b/>
        </w:rPr>
        <w:t>POSSIBLE 2017:</w:t>
      </w:r>
      <w:r>
        <w:t xml:space="preserve"> Austerity and health: the impact in the UK and Europe — https://doi.org/10.1093/eurpub/ckx167</w:t>
      </w:r>
    </w:p>
    <w:p>
      <w:pPr/>
      <w:r>
        <w:rPr>
          <w:b/>
        </w:rPr>
        <w:t>Shared claim-specific concepts:</w:t>
      </w:r>
      <w:r>
        <w:t xml:space="preserve"> well, possible, review, about; EU scope visible. This is a provisional connection, not an outcome finding.</w:t>
      </w:r>
    </w:p>
    <w:p>
      <w:pPr>
        <w:pStyle w:val="SourceNote"/>
      </w:pPr>
      <w:r>
        <w:rPr>
          <w:b/>
        </w:rPr>
        <w:t>Available abstract (not full text):</w:t>
      </w:r>
      <w:r>
        <w:t xml:space="preserve"> Austerity measures-reducing social spending and increasing taxation-hurts deprived groups the most. Less is known about the impact on health. In this short review, we evaluate the evidence of austerity's impact on health, through two main mechanisms: a 'social risk effect' of increasing unemployment, poverty, homelessness and other socio-economic risk factors (indirect), and a 'healthcare effect' through cuts to healthcare services, as well as reductions in health coverage and restricting access to care (direct). We distinguish those impacts of economic crises from those of austerity as a response to it. Where possible, data from across Europe will be drawn upon, as well as more extensive analysis of the UK's austerity measures performed by the authors of this review.</w:t>
      </w:r>
    </w:p>
    <w:p>
      <w:pPr>
        <w:pStyle w:val="Heading2"/>
      </w:pPr>
      <w:r>
        <w:t>799.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2021:</w:t>
      </w:r>
      <w:r>
        <w:t xml:space="preserve"> The European Green Deal — More Than Climate Neutrality — https://doi.org/10.1007/s10272-021-0963-z</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The European Green Deal aims at climate neutrality for Europe by 2050, implying a significant acceleration of emission reductions. To gain the necessary support, it needs to reduce regional and social inequalities in Europe. We present objectives in terms of jobs, growth and price stability to complement the emission reduction targets and sketch a proof-of-concept investment profile for reaching these goals. Substantial additional annual public investments, of about 1.8% of pre-COVID-19 GDP, are proposed for the next decade. Their allocation includes retrofitting the European building stock, consciously fostering a renewal of the European innovation system as well as complementary measures in the fields of education and health. The scenario outlined in this article is meant as an input to the urgently needed discussion on how the European Green Deal can shift the EU economy to a new development path that realises a carbon-neutral Europe by 2050 while strengthening European cohesion.</w:t>
      </w:r>
    </w:p>
    <w:p>
      <w:pPr/>
      <w:r>
        <w:rPr>
          <w:b/>
        </w:rPr>
        <w:t>POSSIBLE 2021:</w:t>
      </w:r>
      <w:r>
        <w:t xml:space="preserve"> The Past, Present, and Future of European integration: a French perspective — https://doi.org/10.47683/kkielemzesek.ke-2021.42</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As one of the founding member states of the European Communities (EC), France has played a major role in the process of European integration since the 1950s. However, French presidents have always treated European integration cautiously, generally supporting forms of supranational integration in areas of socio-economic policy and preferring the intergovernmental mode of governance in areas of defence and foreign policy. In a context marked by the recent weakening of the French influence on European integration (see Assemblée Nationale, 2016), the gradual rise in Euroscepticism since the 2010s (see European Parliament, 2017), as well as the destabilising effect of Brexit (see Zagdoun, 2016), Emmanuel Macron’s 2017 election on an openly pro-European program has foreshadowed the possibility for France to reassert its role as a leading actor in Europe. The aim of this article is to make sense of these events in terms of France’s relationship with the European integration process from its origins to the present day and to understand France’s future role in the evolution of the European Union (EU), while paying particular attention to President Macron’s pro- integrationist influence on the EU.</w:t>
      </w:r>
    </w:p>
    <w:p>
      <w:pPr/>
      <w:r>
        <w:rPr>
          <w:b/>
        </w:rPr>
        <w:t>POSSIBLE 2021:</w:t>
      </w:r>
      <w:r>
        <w:t xml:space="preserve"> PAN – EUROPEAN TRANSPORT CORRIDORS IN THE POLICY OF THE EUROPEAN UNION — https://doi.org/10.20858/sjsutst.2021.112.4</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The issue of organising efficient transport within Europe is one of the areas of a common policy of the European Union, shaped for over 30 years. Poland has been participating in this creative process since May 1, 2004. The intensity of the development of transport and the economy of individual countries that do not only belong to the Community but also have a significant impact on changes in the European Union's transport policy aimed at improving the course of pan-European transport corridors. In parallel with the creation of an effective European transport network, the rapid economic development of the regions belonging to the Union, including Poland, is becoming increasingly important. This article aims to discuss the issue of the development of the trans-European transport corridors, which also passes through the territory of Poland. In addition, this paper aims to present changes in EU policy concerning the shaping of transport infrastructure in Europe, following which a single transport network is to be created soon, meeting the communication and economic needs of the countries belonging to the Community.</w:t>
      </w:r>
    </w:p>
    <w:p>
      <w:pPr/>
      <w:r>
        <w:rPr>
          <w:b/>
        </w:rPr>
        <w:t>POSSIBLE 2020:</w:t>
      </w:r>
      <w:r>
        <w:t xml:space="preserve"> Development and support of small innovative entrepreneurship in Europe and the USA — https://doi.org/10.36097/rsan.v1i42.1554</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Modern business practice shows that small innovative entrepreneurship needs special support in the context of rapid development of science and technology. To implement the outlined, various business support programs are being developed at a rapid pace, which are being actively implemented in practice. The aim of the article is to present the conceptual features of the development and support of small innovative entrepreneurship in Europe and the United States. The purpose of the academic paper is to present the conceptual features of supporting small innovative entrepreneurship in Europe and the United States of America. A number of research methods have been used to reveal the purpose of the article, including such as: system-structural method, method of description, method of theoretical analysis, method of comparison, method of observation, method of synthesis, experimental method, modeling method, grouping method, generalization method. It has been proved that in European countries and the USA the policy of support of small innovative business is actively pursued. It has been found that the UK has developed and implemented Europe 2020: Scottish national reform program 2017, which provides support for small innovative businesses by promoting innovation in the business environment. It has been established that the Netherlands intends to expand opportunities to increase fundin</w:t>
      </w:r>
    </w:p>
    <w:p>
      <w:pPr/>
      <w:r>
        <w:rPr>
          <w:b/>
        </w:rPr>
        <w:t>POSSIBLE 2020:</w:t>
      </w:r>
      <w:r>
        <w:t xml:space="preserve"> Spatial Diversity of Tourism in the Countries of the European Union — https://doi.org/10.3390/su12072713</w:t>
      </w:r>
    </w:p>
    <w:p>
      <w:pPr/>
      <w:r>
        <w:rPr>
          <w:b/>
        </w:rPr>
        <w:t>Shared claim-specific concepts:</w:t>
      </w:r>
      <w:r>
        <w:t xml:space="preserve"> aim, article, present, objective; EU scope visible. This is a provisional connection, not an outcome finding.</w:t>
      </w:r>
    </w:p>
    <w:p>
      <w:pPr>
        <w:pStyle w:val="SourceNote"/>
      </w:pPr>
      <w:r>
        <w:rPr>
          <w:b/>
        </w:rPr>
        <w:t>Available abstract (not full text):</w:t>
      </w:r>
      <w:r>
        <w:t xml:space="preserve"> The aim of the article is to present the spatial diversity of tourism in the countries of the European Union (EU). The main objective of the article can be divided into three immediate goals, each of which is to determine countries that are similar by means of: (1) accommodation base; (2) tourism traffic; and (3) tourism-related expenditures and revenues. In order to group countries, Ward’s cluster analysis method is used. The aim is verified with the use of 2017 United Nations World Tourism Organization (UNWTO) and Eurostat data. The analysis covers all EU member states. The research conducted confirms, inter alia, the key role of the accommodation base in the development of tourism in those countries.</w:t>
      </w:r>
    </w:p>
    <w:p>
      <w:pPr/>
      <w:r>
        <w:rPr>
          <w:b/>
        </w:rPr>
        <w:t>POSSIBLE 2019:</w:t>
      </w:r>
      <w:r>
        <w:t xml:space="preserve"> ‘Fear and loathing across party lines’ (also) in Europe: Affective polarisation in European party systems — https://doi.org/10.1111/1475-6765.12351</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Abstract Several scholars in the United States have recently addressed an increased partisan animosity between Democrats and Republicans, and have termed this phenomenon ‘affective polarisation’. This surge in partisan affective polarisation is perceived to be highly problematic, as it has been found to have a negative impact on the functioning of the party system and even society at large. The aim of this article is to study the concept of affective polarisation in European party systems. It introduces the Affective Polarisation Index (API) that allows for measuring and comparing levels of affective polarisation also in multiparty systems. This novel measure is applied to 22 European democracies and the United States between 2005 and 2016. The results indicate that affective polarisation is acutely present in European party systems, as partisans are often extremely hostile towards competing parties. The most affectively polarised countries are in Central Eastern and Southern Europe where the degree of affective polarisation is notably higher than it is in the United States, while Northwestern European countries are more moderate in terms of partisan feelings. Further analysis reveals that affective polarisation is significantly correlated with ideological polarisation, but the relationship between the two appears to be conditional: in some Western European political systems id</w:t>
      </w:r>
    </w:p>
    <w:p>
      <w:pPr/>
      <w:r>
        <w:rPr>
          <w:b/>
        </w:rPr>
        <w:t>POSSIBLE 2019:</w:t>
      </w:r>
      <w:r>
        <w:t xml:space="preserve"> Crises and transformations of European integration: European business circles during the long 1970s — https://doi.org/10.1080/13507486.2019.1613964</w:t>
      </w:r>
    </w:p>
    <w:p>
      <w:pPr/>
      <w:r>
        <w:rPr>
          <w:b/>
        </w:rPr>
        <w:t>Shared claim-specific concepts:</w:t>
      </w:r>
      <w:r>
        <w:t xml:space="preserve"> article, present, possible; EU scope visible. This is a provisional connection, not an outcome finding.</w:t>
      </w:r>
    </w:p>
    <w:p>
      <w:pPr>
        <w:pStyle w:val="SourceNote"/>
      </w:pPr>
      <w:r>
        <w:rPr>
          <w:b/>
        </w:rPr>
        <w:t>Available abstract (not full text):</w:t>
      </w:r>
      <w:r>
        <w:t xml:space="preserve"> This article aims to elucidate the way European capitalists reacted to the long crises of the 1970s through the analysis of the European League of Economic Cooperation (ELEC). It starts by introducing the ELEC as the most representative of European multinationals after merging with a rival transnational network: the European Committee for Economic and Social Progress (CEPES). Then it focuses on its 1975 London Conference where three representative strands of the European model of capitalism presented their views on the crises. All shared the view that the crises represented a structural rupture in the social and political legitimation of Fordism, Keynesianism and the welfare state, which put into question Europe’s role in the world. European integration was put forward as part of the solution. A review of four possible scenarios for European integration will be presented in the third section showing the views of a fourth component of European capitalism: Foreign Direct Investors from the USA. The last section will present the way the ELEC reacted to the second oil shock. The article will conclude that European capitalists conceived European integration as an integral element to reform and preserve the particular model of mixed economy and the welfare state in the midst of globalization.</w:t>
      </w:r>
    </w:p>
    <w:p>
      <w:pPr/>
      <w:r>
        <w:rPr>
          <w:b/>
        </w:rPr>
        <w:t>POSSIBLE 2019:</w:t>
      </w:r>
      <w:r>
        <w:t xml:space="preserve"> The ‘political’ roles of the European Commission — https://doi.org/10.1080/07036337.2019.1572135</w:t>
      </w:r>
    </w:p>
    <w:p>
      <w:pPr/>
      <w:r>
        <w:rPr>
          <w:b/>
        </w:rPr>
        <w:t>Shared claim-specific concepts:</w:t>
      </w:r>
      <w:r>
        <w:t xml:space="preserve"> aim, article, present, different;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2019:</w:t>
      </w:r>
      <w:r>
        <w:t xml:space="preserve"> The European Logistics Space: On Jean Monnet and the Integration of Europe — https://doi.org/10.14195/2183-203x_49_3</w:t>
      </w:r>
    </w:p>
    <w:p>
      <w:pPr/>
      <w:r>
        <w:rPr>
          <w:b/>
        </w:rPr>
        <w:t>Shared claim-specific concepts:</w:t>
      </w:r>
      <w:r>
        <w:t xml:space="preserve"> aim, article, present, different; EU scope visible. This is a provisional connection, not an outcome finding.</w:t>
      </w:r>
    </w:p>
    <w:p>
      <w:pPr>
        <w:pStyle w:val="SourceNote"/>
      </w:pPr>
      <w:r>
        <w:rPr>
          <w:b/>
        </w:rPr>
        <w:t>Available abstract (not full text):</w:t>
      </w:r>
      <w:r>
        <w:t xml:space="preserve"> This article aims to investigate a different genealogical line of European integration. Through a partial use of the biography of Jean Monnet, I aim to expand the temporal borders of the path often outlined by European integration history, taking advantage of an analytical tool that is rarely used in this context: logistics. On the one hand, I propose to make the Schuman Declaration resonant with a broader “European past”. On the other hand, my aim is to show that some categories of the global present also pervade the process of continental integration. All in all, this path reveals that the latter process was originally developed to build what I call the “European Logistics Space”.</w:t>
      </w:r>
    </w:p>
    <w:p>
      <w:pPr/>
      <w:r>
        <w:rPr>
          <w:b/>
        </w:rPr>
        <w:t>POSSIBLE 2019:</w:t>
      </w:r>
      <w:r>
        <w:t xml:space="preserve"> The European Logistics Space: On Jean Monnet and the Integration of Europe — https://doi.org/10.14195/2183-203x_49</w:t>
      </w:r>
    </w:p>
    <w:p>
      <w:pPr/>
      <w:r>
        <w:rPr>
          <w:b/>
        </w:rPr>
        <w:t>Shared claim-specific concepts:</w:t>
      </w:r>
      <w:r>
        <w:t xml:space="preserve"> aim, article, present, different; EU scope visible. This is a provisional connection, not an outcome finding.</w:t>
      </w:r>
    </w:p>
    <w:p>
      <w:pPr>
        <w:pStyle w:val="SourceNote"/>
      </w:pPr>
      <w:r>
        <w:rPr>
          <w:b/>
        </w:rPr>
        <w:t>Available abstract (not full text):</w:t>
      </w:r>
      <w:r>
        <w:t xml:space="preserve"> This article aims to investigate a different genealogical line of European integration. Through \na partial use of the biography of Jean Monnet, I aim to expand the temporal borders of the \npath often outlined by European integration history, taking advantage of an analytical tool \nthat is rarely used in this context: logistics. On the one hand, I propose to make the Schuman \nDeclaration resonant with a broader “European past”. On the other hand, my aim is \nto show that some categories of the global present also pervade the process of continental \nintegration. All in all, this path reveals that the latter process was originally developed to \nbuild what I call the “European Logistics Space”.</w:t>
      </w:r>
    </w:p>
    <w:p>
      <w:pPr>
        <w:pStyle w:val="Heading2"/>
      </w:pPr>
      <w:r>
        <w:t>800.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The indicator-based measurement of the circular economy in the countries of the European Union — https://doi.org/10.17649/tet.36.2.3374</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The circular economy is an integral part of sustainable development as a new economic model, which is the opposite of the linear economy that is still in force today. In terms of its basics, we can speak of a sustainable economic system in which economic growth is completely decoupled from the use of resources, in order to reduce the use of natural resources and recycle them. In the study, the authors present the possibility of measuring the circular economy and establish a ranking for the 28 Member States of the European Union based on the created composite indicators measuring the circular economy. The values of the created CCEI index were compared with rankings produced by other researchers in similar and different ways. The goodness of the presented methodology is examined by comparing previous similar research results. The primary objective of the study is to create composite indicators and to analyse their comparability. Further aim is to characterise the leading and the tail-ender countries from which conclusions can be drawn regarding ranking and thus make them comparable. The research objective is achieved by using secondary data based on different Eurostat databases related to a sub-sector of the circular economy for the year 2018. The indicators of the circular economy were grouped according to four areas: production and consumption, waste management secondary raw ma</w:t>
      </w:r>
    </w:p>
    <w:p>
      <w:pPr/>
      <w:r>
        <w:rPr>
          <w:b/>
        </w:rPr>
        <w:t>POSSIBLE 2022:</w:t>
      </w:r>
      <w:r>
        <w:t xml:space="preserve"> The 2018–2020 Multi‐Year Drought Sets a New Benchmark in Europe — https://doi.org/10.1029/2021ef002394</w:t>
      </w:r>
    </w:p>
    <w:p>
      <w:pPr/>
      <w:r>
        <w:rPr>
          <w:b/>
        </w:rPr>
        <w:t>Shared claim-specific concepts:</w:t>
      </w:r>
      <w:r>
        <w:t xml:space="preserve"> warming, socioeconomic, based;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2022:</w:t>
      </w:r>
      <w:r>
        <w:t xml:space="preserve"> Digitalisation as the Indicator of the Evidence of Sustainability in the European Union — https://doi.org/10.3390/su14148371</w:t>
      </w:r>
    </w:p>
    <w:p>
      <w:pPr/>
      <w:r>
        <w:rPr>
          <w:b/>
        </w:rPr>
        <w:t>Shared claim-specific concepts:</w:t>
      </w:r>
      <w:r>
        <w:t xml:space="preserve"> create, indicators, indicator, fixed; EU scope visible. This is a provisional connection, not an outcome finding.</w:t>
      </w:r>
    </w:p>
    <w:p>
      <w:pPr>
        <w:pStyle w:val="SourceNote"/>
      </w:pPr>
      <w:r>
        <w:rPr>
          <w:b/>
        </w:rPr>
        <w:t>Available abstract (not full text):</w:t>
      </w:r>
      <w:r>
        <w:t xml:space="preserve"> Digitalisation provides access to an integrated network of information that can benefit society and businesses. However, the evidence of sustainability in business is less researched. In our paper, by building up the research approach, we address the relevant gap by investigating how sustainable development goals represent the interrelationship between digitalisation and sustainability. Such research is particularly important because understandings of digitalisation and sustainability determine how different actors, including business managers and policymakers, act in response to those imperatives to develop future employees skills starting from school age. Following a multi-method approach, we have combined our analysis into two steps examining the relationship between digitalisation and sustainability. Building digital networks, business managers and policy makers using digital means can create some unique opportunities to strategically address sustainable development challenges for the United Nations Targets (SDG) to ensure higher productivity, education, and an equality-oriented society. This point of view describes the potential of digitalisation for society and businesses of the future. The authors revise the links between digitalisation and sustainability in the European Union countries by using data available in Eurostat and UNECE public databases. The two-stage methodo</w:t>
      </w:r>
    </w:p>
    <w:p>
      <w:pPr/>
      <w:r>
        <w:rPr>
          <w:b/>
        </w:rPr>
        <w:t>POSSIBLE 2021:</w:t>
      </w:r>
      <w:r>
        <w:t xml:space="preserve"> The impact of sustainable tourism indicators on destination competitiveness: the European Tourism Indicator System — https://doi.org/10.1080/09669582.2021.1910281</w:t>
      </w:r>
    </w:p>
    <w:p>
      <w:pPr/>
      <w:r>
        <w:rPr>
          <w:b/>
        </w:rPr>
        <w:t>Shared claim-specific concepts:</w:t>
      </w:r>
      <w:r>
        <w:t xml:space="preserve"> indicators, indicator, based; EU scope visible. This is a provisional connection, not an outcome finding.</w:t>
      </w:r>
    </w:p>
    <w:p>
      <w:pPr>
        <w:pStyle w:val="SourceNote"/>
      </w:pPr>
      <w:r>
        <w:rPr>
          <w:b/>
        </w:rPr>
        <w:t>Available abstract (not full text):</w:t>
      </w:r>
      <w:r>
        <w:t xml:space="preserve"> We aimed to evaluate the impact of sustainable tourism indicators on destination competitiveness with reference to the European Tourism Indicator System (ETIS), a scheme funded by the European Commission to address the evidence gap in tourism policy making. To do this, we evaluate the absorptive capacity of destination management organisations (DMOs) to implement and use sustainable tourism indicators to make policy decisions. We provide evidence of how DMOs have acquired knowledge about the importance of sustainable tourism indicators through ETIS, and how they have assimilated it by developing their own systems based on the principles of ETIS. However, we find that the European Commission had unrealistic expectations that DMOs, or their policies, would be transformed as a result of the use of indicators, or that indicators would be exploited to improve tourism sustainability and competitiveness. We contribute to the study of policy science by showing how absorptive capacity can be used to analyse and evaluate policy interventions, despite being a linear rational approach to explaining a complex policy context.</w:t>
      </w:r>
    </w:p>
    <w:p>
      <w:pPr/>
      <w:r>
        <w:rPr>
          <w:b/>
        </w:rPr>
        <w:t>POSSIBLE 2020:</w:t>
      </w:r>
      <w:r>
        <w:t xml:space="preserve"> National Set of MAES Indicators in Greece: Ecosystem Services and Management Implications — https://doi.org/10.3390/f11050595</w:t>
      </w:r>
    </w:p>
    <w:p>
      <w:pPr/>
      <w:r>
        <w:rPr>
          <w:b/>
        </w:rPr>
        <w:t>Shared claim-specific concepts:</w:t>
      </w:r>
      <w:r>
        <w:t xml:space="preserve"> create, set, indicators, areas, indicator, based; EU scope visible. This is a provisional connection, not an outcome finding.</w:t>
      </w:r>
    </w:p>
    <w:p>
      <w:pPr>
        <w:pStyle w:val="SourceNote"/>
      </w:pPr>
      <w:r>
        <w:rPr>
          <w:b/>
        </w:rPr>
        <w:t>Available abstract (not full text):</w:t>
      </w:r>
      <w:r>
        <w:t xml:space="preserve"> Research Highlights: The developed National Set of Indicators for the Mapping and Assessment of Ecosystems and their Services (MAES) implementation in Greece at the national level sets the official, national basis on which future studies will be conducted for MAES reporting for the achievement of targets within the National and the European Union (EU) biodiversity Strategy. Background and Objectives: Greece is currently developing and implementing a MAES nation-wide program based on the region’s unique characteristics following the proposed methodologies by the European Commission, in the frame of the LIFE-IP 4 NATURA project (Integrated actions for the conservation and management of Natura 2000 sites, species, habitats and ecosystems in Greece). In this paper, we present the steps followed to compile standardized MAES indicators for Greece that include: (a) collection and review of the available MAES-related datasets, (b) shortcomings and limitations encountered and overcome, (c) identification of data gaps and (d) assumptions and framework setting. Correspondence to EU and National Strategies and Policies are also examined to provide an initial guidance for detailed thematic studies. Materials and Methods: We followed the requirements of the EU MAES framework for ecosystem services and ecosystem condition indicator selection. Ecosystem services reported under the selected ind</w:t>
      </w:r>
    </w:p>
    <w:p>
      <w:pPr/>
      <w:r>
        <w:rPr>
          <w:b/>
        </w:rPr>
        <w:t>POSSIBLE 2020:</w:t>
      </w:r>
      <w:r>
        <w:t xml:space="preserve"> Spatial analysis of indicators affecting the exploitation of shallow geothermal energy at European scale — https://doi.org/10.1016/j.renene.2020.11.081</w:t>
      </w:r>
    </w:p>
    <w:p>
      <w:pPr/>
      <w:r>
        <w:rPr>
          <w:b/>
        </w:rPr>
        <w:t>Shared claim-specific concepts:</w:t>
      </w:r>
      <w:r>
        <w:t xml:space="preserve"> set, indicators, areas, high, indicator; EU scope visible. This is a provisional connection, not an outcome finding.</w:t>
      </w:r>
    </w:p>
    <w:p>
      <w:pPr>
        <w:pStyle w:val="SourceNote"/>
      </w:pPr>
      <w:r>
        <w:rPr>
          <w:b/>
        </w:rPr>
        <w:t>Available abstract (not full text):</w:t>
      </w:r>
      <w:r>
        <w:t xml:space="preserve"> Shallow Geothermal Energy (SGE) exploited by vertical close loop Ground Source Heat Pumps (GSHP) is a proven, reliable, and widespread renewable heating and cooling technology. However, in many regions there is still a lack of awareness among policy makers and end users, constituting a major constraint to wider deployment of SGE. In order to contribute to its market consolidation, this work focuses on bringing to light relevant spatial information affecting the suitability of SGE exploitation. This information is the result of the systematization of geological, climatic, and environmental open and available data translated into performance indicators. A set of thematic maps was created using Geographic Information Systems (GIS) comprising the European Member States and other European countries. The relative area and the amount of population affected per indicator was spatially analyzed to determine the most common values found and the affected population. The relationship between area percentage and population affected percentage per indicator was also analyzed and allowed to identify the most common indicators values in areas where high energy demands are expected. Additionally, an example of how this data can be used into a Multi-Criteria Decision-Making (MCDM) framework is shown.</w:t>
      </w:r>
    </w:p>
    <w:p>
      <w:pPr/>
      <w:r>
        <w:rPr>
          <w:b/>
        </w:rPr>
        <w:t>POSSIBLE 2020:</w:t>
      </w:r>
      <w:r>
        <w:t xml:space="preserve"> A comprehensive indicator set for measuring multiple benefits of energy efficiency — https://doi.org/10.1016/j.enpol.2020.111284</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 this paper, we develop a quantitative indicator approach including 20 indicators to measure the multiple benefits of energy efficiency (MB-EE). The MB-EEs are classified into three groups: environmental (e.g. energy savings, emissions), economic (e.g. GDP, employment), and social (health, energy poverty) aspects. We explain the methodological approach, the underlying data sources and limitations. The indicator set has been applied to 29 countries (EU28 plus Norway) for the period 2000 to 2015, proving that it allows to conduct in-depth comparisons of developments and differences across Europe. The indicator set also supports the design of well-suited energy policies by allowing to take into account, on an informed basis, more of the multiple impacts of energy efficiency. For example, our analysis of the effect of energy savings for the period 2000 to 2015 in Germany shows GHG savings of about 158 MtCO2eq., about 30,000 avoided deaths due to less air pollution, a reduction of Germany's import dependency by 5.8 percentage points and a growth of GDP by around 0.3% per year for the period 2010 to 2015) as a consequence of improved energy efficiency. To conclude, the presented approach allows to comprehensively and regularly assess policies in terms of their MB-EEs.</w:t>
      </w:r>
    </w:p>
    <w:p>
      <w:pPr>
        <w:pStyle w:val="Heading2"/>
      </w:pPr>
      <w:r>
        <w:t>801.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2020:</w:t>
      </w:r>
      <w:r>
        <w:t xml:space="preserve"> Foresight – Using Science and Evidence to Anticipate and Shape the Future — https://doi.org/10.1016/b978-0-12-822596-7.00012-7</w:t>
      </w:r>
    </w:p>
    <w:p>
      <w:pPr/>
      <w:r>
        <w:rPr>
          <w:b/>
        </w:rPr>
        <w:t>Shared claim-specific concepts:</w:t>
      </w:r>
      <w:r>
        <w:t xml:space="preserve"> foresight, possible, help, identify; EU scope not established. This is a provisional connection, not an outcome finding.</w:t>
      </w:r>
    </w:p>
    <w:p>
      <w:pPr>
        <w:pStyle w:val="SourceNote"/>
      </w:pPr>
      <w:r>
        <w:rPr>
          <w:b/>
        </w:rPr>
        <w:t>Available abstract (not full text):</w:t>
      </w:r>
      <w:r>
        <w:t xml:space="preserve"> The role of public policy is to create a desirable future. However, policymaking often suffers from presentism bias, i.e. it focusses on today’s issues and ignores future challenges and opportunities. While the future is uncertain and cannot be predicted, foresight offers a well-established toolbox to help deal with it, in all its uncertainty and complexity. Foresight is a systematic participatory process to create collective intelligence about the medium- to long-term future and provide strategic knowledge for policy making. This chapter presents relevant foresight tools for policymaking: horizon scanning to identify emerging issues, megatrends to understand implications of long-term developments, scenario building to deal with uncertainty and develop a systemic understanding of complex issues, speculative design to illustrate possible future applications, and serious games to experience consequences of possible futures.</w:t>
      </w:r>
    </w:p>
    <w:p>
      <w:pPr/>
      <w:r>
        <w:rPr>
          <w:b/>
        </w:rPr>
        <w:t>POSSIBLE 2020:</w:t>
      </w:r>
      <w:r>
        <w:t xml:space="preserve"> EVIDENCE- AND FORESIGHT-BASED POLICY: DICHOTOMY OR OVERLAP? — https://doi.org/10.46473/wcsaj27240606/18-09-2020-0014//full/html</w:t>
      </w:r>
    </w:p>
    <w:p>
      <w:pPr/>
      <w:r>
        <w:rPr>
          <w:b/>
        </w:rPr>
        <w:t>Shared claim-specific concepts:</w:t>
      </w:r>
      <w:r>
        <w:t xml:space="preserve"> foresight, economy, identify, best; EU scope not established. This is a provisional connection, not an outcome finding.</w:t>
      </w:r>
    </w:p>
    <w:p>
      <w:pPr>
        <w:pStyle w:val="SourceNote"/>
      </w:pPr>
      <w:r>
        <w:rPr>
          <w:b/>
        </w:rPr>
        <w:t>Available abstract (not full text):</w:t>
      </w:r>
      <w:r>
        <w:t xml:space="preserve"> Economic research determines economic policy, which determines economic politics" could be a summary of the basic philosophy of the World Complexity Science Academy (WCSA) applied to the field of economics.Such an evidence-based policy is lively in academic circles but still absent in the political world.However, there is more: looking back in order to extrapolate and forecast tendencies for the future, as the evidence-based policy does, needs to be complemented by forward-looking attempting to identify megatrends based on change drivers that should be translated into concrete policy action today.Therefore, to narrow the gap between economy, policy and politics, foresight thinking on top of evidence-based policy could be the best option for more accurate policy and law-making.Black boxes should be avoided in the evidence-based approach as it makes policy unexplainable to the citizens and politicians unaccountable.Black swans could be integrated into the foresight-based advice in an attempt to foresee the unforeseeable and think the unthinkable.</w:t>
      </w:r>
    </w:p>
    <w:p>
      <w:pPr/>
      <w:r>
        <w:rPr>
          <w:b/>
        </w:rPr>
        <w:t>POSSIBLE 2019:</w:t>
      </w:r>
      <w:r>
        <w:t xml:space="preserve"> Forecasting and foresight — https://doi.org/10.17169/refubium-26117</w:t>
      </w:r>
    </w:p>
    <w:p>
      <w:pPr/>
      <w:r>
        <w:rPr>
          <w:b/>
        </w:rPr>
        <w:t>Shared claim-specific concepts:</w:t>
      </w:r>
      <w:r>
        <w:t xml:space="preserve"> foresight, help; EU scope visible. This is a provisional connection, not an outcome finding.</w:t>
      </w:r>
    </w:p>
    <w:p>
      <w:pPr>
        <w:pStyle w:val="SourceNote"/>
      </w:pPr>
      <w:r>
        <w:rPr>
          <w:b/>
        </w:rPr>
        <w:t>Available abstract (not full text):</w:t>
      </w:r>
      <w:r>
        <w:t xml:space="preserve"> In this paper, authors Sarah Bressan, Håvard Mokleiv Nygård, and Dominic Seefeldt present the evolution and state of the art of both quantitative forecasting and scenario-based foresight methods that can be applied to help prevent governance breakdown and violent conflict in Europe’s neighbourhood. In the quantitative section, they describe the different phases of conflict forecasting in political science and outline which methodological gaps EU-LISTCO’s quantitative sub-national prediction tool will address to forecast tipping points for violent conflict and governance breakdown. The qualitative section explains EU-LISTCO’s scenario-based foresight methodology for identifying potential tipping points. After comparing both approaches, the authors discuss opportunities for methodological advancements across the boundaries of quantitative forecasting and scenario-based foresight, as well as how they can inform the design of strategic policy options.</w:t>
      </w:r>
    </w:p>
    <w:p>
      <w:pPr/>
      <w:r>
        <w:rPr>
          <w:b/>
        </w:rPr>
        <w:t>POSSIBLE 2017:</w:t>
      </w:r>
      <w:r>
        <w:t xml:space="preserve"> Deliberating foresight knowledge for policy and foresight knowledge assessment — https://doi.org/10.4324/9781351280440-10</w:t>
      </w:r>
    </w:p>
    <w:p>
      <w:pPr/>
      <w:r>
        <w:rPr>
          <w:b/>
        </w:rPr>
        <w:t>Shared claim-specific concepts:</w:t>
      </w:r>
      <w:r>
        <w:t xml:space="preserve"> foresight, sustainable, way, adapted; EU scope not established. This is a provisional connection, not an outcome finding.</w:t>
      </w:r>
    </w:p>
    <w:p>
      <w:pPr>
        <w:pStyle w:val="SourceNote"/>
      </w:pPr>
      <w:r>
        <w:rPr>
          <w:b/>
        </w:rPr>
        <w:t>Available abstract (not full text):</w:t>
      </w:r>
      <w:r>
        <w:t xml:space="preserve"> This chapter assesses the way in which foresight knowledge is deliberated in policy and offers methods to assess the quality of foresight knowledge generated during foresight exercises. It describes the deliberation process in the policy context and identifies the normative dimensions of such a process. The chapter examines the issue of knowledge assessment of foresight knowledge. Foresight knowledge is illustrated in relation to sustainable development issues. Foresight activities are, and should, in principle be adapted to processes of deliberative policy of modern Western societies. The level concerns a broad political debate, which assumes a political consensus on the need for long-term planning if it engages foresight exercises. To appreciate any type of knowledge assessment, one needs to take into account the particular features of &amp;s;foresight&amp;s; knowledge. Knowledge is an asset to initiate issue framing, exploring uncertainty, possibilities and action.</w:t>
      </w:r>
    </w:p>
    <w:p>
      <w:pPr>
        <w:pStyle w:val="Heading2"/>
      </w:pPr>
      <w:r>
        <w:t>802.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2024:</w:t>
      </w:r>
      <w:r>
        <w:t xml:space="preserve"> Factors Influencing Greenhouse Gas Reduction Measures in European Ports: Implications for Sustainable Investing — https://doi.org/10.3390/jrfm17080329</w:t>
      </w:r>
    </w:p>
    <w:p>
      <w:pPr/>
      <w:r>
        <w:rPr>
          <w:b/>
        </w:rPr>
        <w:t>Shared claim-specific concepts:</w:t>
      </w:r>
      <w:r>
        <w:t xml:space="preserve"> reduction, greenhouse, gas, used, methods; EU scope visible. This is a provisional connection, not an outcome finding.</w:t>
      </w:r>
    </w:p>
    <w:p>
      <w:pPr>
        <w:pStyle w:val="SourceNote"/>
      </w:pPr>
      <w:r>
        <w:rPr>
          <w:b/>
        </w:rPr>
        <w:t>Available abstract (not full text):</w:t>
      </w:r>
      <w:r>
        <w:t xml:space="preserve"> European Union cargo and container ports are under pressure to reduce GHG emissions and achieve carbon neutrality by 2050, as mandated by the European Commission. The pace of progress varies among ports. This study examined the characteristics influencing GHG reduction measures in European cargo and container ports and their implications for sustainable investing. The methods used in this study, such as linear regression models to analyze predictive variables, can be applied in sustainable investing to assess which factors most strongly predict a company’s environmental, social, and governance performance. Using linear regression models to analyze data from the 33 busiest European ports, we identified five predictive variables: port size, cargo mix, surrounding population density, access to the sea, and the economic wealth of the host country. Our findings revealed that the port size significantly correlates with the adoption of measures to reduce scope 1, 2, and 3 emissions. This study underscores the importance of contextual and operational factors in evaluating sustainability efforts across sectors. The results contribute to drawing parallels with the field of sustainable investing within finance. This offers valuable insights for sustainable investing, emphasizing the importance of considering various contextual and operational factors when evaluating the sustainability eff</w:t>
      </w:r>
    </w:p>
    <w:p>
      <w:pPr/>
      <w:r>
        <w:rPr>
          <w:b/>
        </w:rPr>
        <w:t>POSSIBLE 2024:</w:t>
      </w:r>
      <w:r>
        <w:t xml:space="preserve"> Greenhouse gas emission reduction potential in road tunnels – Can we reach the European Union goals with existing materials and technologies? — https://doi.org/10.1016/j.tust.2024.106011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To achieve the European Uniońs climate goals, the Norwegian transport sector has committed to decrease the Greenhouse gas (GHG) emissions by 2030. For infrastructure projects, the GHG emissions from construction must be reduced by 40 %, while the emissions from maintenance must be cut by 50%. This paper investigates how realistic the GHG emission reduction goals are, if available low carbon materials and technologies are fully adopted. To examine this, we have chosen a typical Norwegian road tunnel from which two carbon emission scenarios are presented. While tunnels represent a specific subset of road infrastructure, this study showcases that implementing sustainable practices in drill and blast tunnel construction can align with the European Union’s ambitious 2030 targets. Besides this, the findings can assist stakeholders to get advice on the environmental impacts of tunnel designs.</w:t>
      </w:r>
    </w:p>
    <w:p>
      <w:pPr/>
      <w:r>
        <w:rPr>
          <w:b/>
        </w:rPr>
        <w:t>POSSIBLE 2024:</w:t>
      </w:r>
      <w:r>
        <w:t xml:space="preserve"> Evolution and Impact of the European Union's Energy Policy: From Fossil Fuels to Renewable Energy and Greenhouse Gas Emissions Reduction — https://doi.org/10.35808/ersj/3352</w:t>
      </w:r>
    </w:p>
    <w:p>
      <w:pPr/>
      <w:r>
        <w:rPr>
          <w:b/>
        </w:rPr>
        <w:t>Shared claim-specific concepts:</w:t>
      </w:r>
      <w:r>
        <w:t xml:space="preserve"> reduction, greenhouse, gas, emission, further, approach; EU scope visible. This is a provisional connection, not an outcome finding.</w:t>
      </w:r>
    </w:p>
    <w:p>
      <w:pPr>
        <w:pStyle w:val="SourceNote"/>
      </w:pPr>
      <w:r>
        <w:rPr>
          <w:b/>
        </w:rPr>
        <w:t>Available abstract (not full text):</w:t>
      </w:r>
      <w:r>
        <w:t xml:space="preserve"> Purpose: This scientific work focuses on analyzing the energy transformation in the European Union (EU) from 2000 to 2021, considering the shift from fossil fuels to renewable energy sources and strategies for reducing greenhouse gas emissions.The research aims to understand how the EU's energy policy has influenced the structure of energy production and consumption, as well as the emission of greenhouse gases in its member states, with particular emphasis on key initiatives such as the Kyoto Protocol, the 2020 climate and energy package, and the European Green Deal.Design/methodology/approach: Utilizing a comprehensive dataset and a variety of research methods, this work provides empirical insights into the effects of the EU's energy policy.The analysis examines the impact of implemented initiatives and regulations on the energy mix, noting an increase in the share of renewable energy and a decrease in GHG emissions.Findings: The study revealed that these initiatives and regulations have contributed to a significant change in the energy mix, marking an increase in renewable energy's share and a decline in GHG emissions.However, the research also uncovers challenges and disparities in achieving these goals among different member states.Practical implications: This work makes a significant contribution to the discussion on the efficiency and future directions of the EU's energy </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Climate Policy of the European Union: Reduction of Greenhouse Gas Emissions from Industrial Enterprises — https://doi.org/10.1051/bioconf/20236303014</w:t>
      </w:r>
    </w:p>
    <w:p>
      <w:pPr/>
      <w:r>
        <w:rPr>
          <w:b/>
        </w:rPr>
        <w:t>Shared claim-specific concepts:</w:t>
      </w:r>
      <w:r>
        <w:t xml:space="preserve"> reduction, greenhouse, gas, basis; EU scope visible. This is a provisional connection, not an outcome finding.</w:t>
      </w:r>
    </w:p>
    <w:p>
      <w:pPr>
        <w:pStyle w:val="SourceNote"/>
      </w:pPr>
      <w:r>
        <w:rPr>
          <w:b/>
        </w:rPr>
        <w:t>Available abstract (not full text):</w:t>
      </w:r>
      <w:r>
        <w:t xml:space="preserve"> The global climate is determined by the global average temperature, which depends on the concentration of greenhouse gases (GHGs) in the atmosphere, which continue to rise. The key to addressing climate change is to reduce emissions and reduce GHG concentrations through removals. As part of the global climate agenda, a goal has been developed: to reach net-zero emissions in the second half of the 21st century (anthropogenic emissions should be equal to GHG removals). Currently, the climate policy of developed countries is undergoing a stage of major changes, and new energy technologies play the main role in this process. At the same time, the future of global energy and climate is increasingly dependent on decisions made in emerging market and developing countries. Emerging market and developing economies now account for more than two-thirds of global CO2 emissions, while emissions in advanced economies are declining structurally. On a per capita basis, emissions are a quarter of those of advanced economies, but economic growth and rising incomes create potential for demand and emissions growth. The challenge for developing countries is to find new models of economic development that avoid high levels of emissions, rather than repeating the path traveled by developed countries. Lowering the cost of key clean energy technologies opens up opportunities for lower-emission economic</w:t>
      </w:r>
    </w:p>
    <w:p>
      <w:pPr/>
      <w:r>
        <w:rPr>
          <w:b/>
        </w:rPr>
        <w:t>POSSIBLE 2023:</w:t>
      </w:r>
      <w:r>
        <w:t xml:space="preserve"> Assessing the Convergence of Farming Systems towards a Reduction of Greenhouse Gas Emissions in European Union Countries — https://doi.org/10.3390/agronomy13051263</w:t>
      </w:r>
    </w:p>
    <w:p>
      <w:pPr/>
      <w:r>
        <w:rPr>
          <w:b/>
        </w:rPr>
        <w:t>Shared claim-specific concepts:</w:t>
      </w:r>
      <w:r>
        <w:t xml:space="preserve"> reduction, greenhouse, gas, basis, use, methods; EU scope visible. This is a provisional connection, not an outcome finding.</w:t>
      </w:r>
    </w:p>
    <w:p>
      <w:pPr>
        <w:pStyle w:val="SourceNote"/>
      </w:pPr>
      <w:r>
        <w:rPr>
          <w:b/>
        </w:rPr>
        <w:t>Available abstract (not full text):</w:t>
      </w:r>
      <w:r>
        <w:t xml:space="preserve"> This study investigates change in the intensification of agricultural activities and its effect on the greenhouse gas (GHG) emissions of the 27 European Union (EU) Member States over a ten-year period from 2009 to 2019. Both multivariate and non-parametric convergence analyses were employed, using 27 indicators extrapolated from the FAO dataset. The results provide a reasonable assessment of the differences between countries in relation to their farming production methods and show that the levels of convergence/divergence depend on changes in agricultural activities over the past decade. Indeed, differences in land use, the application of organic fertilizers and pesticides, the raising of livestock, and GHG emissions allow “homogenous” groups of Member States with common features to be identified. It is important to understand the dynamics of different agriculture systems and production activities because, beneath management practices, there may be differences between systems. In particular, in the context of the Common Agricultural Policy 2023–2027, the results of grouping can act as the basis for a diversified policy for reducing GHG emissions in relation to specific clusters of EU countries.</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reduction, greenhouse, gas, emission, about;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pStyle w:val="Heading2"/>
      </w:pPr>
      <w:r>
        <w:t>803.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r>
        <w:rPr>
          <w:b/>
        </w:rPr>
        <w:t>POSSIBLE 2019:</w:t>
      </w:r>
      <w:r>
        <w:t xml:space="preserve"> Evaluation of a constructed wetland for wastewater treatment: Addressing emerging organic contaminants and antibiotic resistant bacteria — https://doi.org/10.1016/j.nbt.2019.05.006</w:t>
      </w:r>
    </w:p>
    <w:p>
      <w:pPr/>
      <w:r>
        <w:rPr>
          <w:b/>
        </w:rPr>
        <w:t>Shared claim-specific concepts:</w:t>
      </w:r>
      <w:r>
        <w:t xml:space="preserve"> several, constructed, evaluate, different, water; EU scope not established. This is a provisional connection, not an outcome finding.</w:t>
      </w:r>
    </w:p>
    <w:p>
      <w:pPr>
        <w:pStyle w:val="SourceNote"/>
      </w:pPr>
      <w:r>
        <w:rPr>
          <w:b/>
        </w:rPr>
        <w:t>Available abstract (not full text):</w:t>
      </w:r>
      <w:r>
        <w:t xml:space="preserve"> The occurrence of emerging organic contaminants (EOCs) in wastewaters and the inability of the conventional wastewater treatments plants to deal with them have been pointed out several times over the last few years. As a result, remnants of those compounds released into the aquatic environment present a potential risk for public health. Constructed wetlands (CWs) have been proposed as environmentally friendly, low-cost alternative systems with satisfactory results for different types of contaminants. This study aimed to evaluate the efficiency of a CW system, planted with the halophyte Juncus acutus, to eliminate bisphenol A (BPA) and two antibiotics, namely ciprofloxacin (CIP) and sulfamethoxazole (SMX) under different operating conditions. The behavior of Escherichia coli and enterococcal populations in terms of changes in their resistance profile for the selected antibiotics and the abundance of two resistance genes (qnrA and sul1) were also examined. BPA and CIP were significantly removed by the CW, with an overall removal of 76.2% and 93.9% respectively and with the plants playing a vital role. In contrast, SMX was not significantly eliminated. Moreover, fluctuations in the antibiotic resistance profile of bacteria were observed. Treatment processes affected the response of the two selected bacterial indicators, depending on the conditions employed in each case. Furthermor</w:t>
      </w:r>
    </w:p>
    <w:p>
      <w:pPr>
        <w:pStyle w:val="Heading2"/>
      </w:pPr>
      <w:r>
        <w:t>804.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2023:</w:t>
      </w:r>
      <w:r>
        <w:t xml:space="preserve"> European Academy of Neurology/Peripheral Nerve Society Guideline on diagnosis and treatment of Guillain–Barré syndrome — https://doi.org/10.1111/ene.16073</w:t>
      </w:r>
    </w:p>
    <w:p>
      <w:pPr/>
      <w:r>
        <w:rPr>
          <w:b/>
        </w:rPr>
        <w:t>Shared claim-specific concepts:</w:t>
      </w:r>
      <w:r>
        <w:t xml:space="preserve"> specific, peripheral; EU scope visible. This is a provisional connection, not an outcome finding.</w:t>
      </w:r>
    </w:p>
    <w:p>
      <w:pPr>
        <w:pStyle w:val="SourceNote"/>
      </w:pPr>
      <w:r>
        <w:rPr>
          <w:b/>
        </w:rPr>
        <w:t>Available abstract (not full text):</w:t>
      </w:r>
      <w:r>
        <w:t xml:space="preserve"> Guillain-Barré syndrome (GBS) is an acute polyradiculoneuropathy. Symptoms may vary greatly in presentation and severity. Besides weakness and sensory disturbances, patients may have cranial nerve involvement, respiratory insufficiency, autonomic dysfunction and pain. To develop an evidence-based guideline for the diagnosis and treatment of GBS, using Grading of Recommendations, Assessment, Development and Evaluation (GRADE) methodology a Task Force (TF) of the European Academy of Neurology (EAN) and the Peripheral Nerve Society (PNS) constructed 14 Population/Intervention/Comparison/Outcome questions (PICOs) covering diagnosis, treatment and prognosis of GBS, which guided the literature search. Data were extracted and summarised in GRADE Summaries of Findings (for treatment PICOs) or Evidence Tables (for diagnostic and prognostic PICOs). Statements were prepared according to GRADE Evidence-to-Decision (EtD) frameworks. For the six intervention PICOs, evidence-based recommendations are made. For other PICOs, good practice points (GPPs) are formulated. For diagnosis, the principal GPPs are: GBS is more likely if there is a history of recent diarrhoea or respiratory infection; CSF examination is valuable, particularly when the diagnosis is less certain; electrodiagnostic testing is advised to support the diagnosis; testing for anti-ganglioside antibodies is of limited clinical va</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peripheral, local, used;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2020:</w:t>
      </w:r>
      <w:r>
        <w:t xml:space="preserve"> The EBRD, fail forward neoliberalism and the construction of the European periphery — https://doi.org/10.1177/1035304620916652</w:t>
      </w:r>
    </w:p>
    <w:p>
      <w:pPr/>
      <w:r>
        <w:rPr>
          <w:b/>
        </w:rPr>
        <w:t>Shared claim-specific concepts:</w:t>
      </w:r>
      <w:r>
        <w:t xml:space="preserve"> peripheral, region, external, environment; EU scope visible. This is a provisional connection, not an outcome finding.</w:t>
      </w:r>
    </w:p>
    <w:p>
      <w:pPr>
        <w:pStyle w:val="SourceNote"/>
      </w:pPr>
      <w:r>
        <w:rPr>
          <w:b/>
        </w:rPr>
        <w:t>Available abstract (not full text):</w:t>
      </w:r>
      <w:r>
        <w:t xml:space="preserve"> Abstract The European Bank for Reconstruction and Development is an institution, a set of programmes and policies designed to mark a number of important reforms not just in the post-Soviet space but in the wider European political economy. It is committed to developing a competitive business environment, foreign investment and private sector activity in the post-communist space. The European Bank for Reconstruction and Development is considered to be a key inter-state mechanism enabling member states to negotiate post-communist reforms. The paper reorients analysis of the European Bank for Reconstruction and Development, claiming that existing framings of the role of the EBRD ignore its tangible neoliberalising pressures. It argues that the EBRD works to fundamentally restructure states in the post-communist space in three ways: (1) the configuration of an ‘appropriately’ neoliberal economic space, (2) the construction of subaltern subjectivities in the regional space, and (3) the persistent dominance of expert knowledge and policy practice external to the state. This restructuring is intended to further neoliberalism in the economic space of the region. By uncoupling the European Bank for Reconstruction and Development from a state centric analysis, the paper reveals how the technical aspects of the European Bank for Reconstruction and Development activities configure particul</w:t>
      </w:r>
    </w:p>
    <w:p>
      <w:pPr/>
      <w:r>
        <w:rPr>
          <w:b/>
        </w:rPr>
        <w:t>POSSIBLE 2019:</w:t>
      </w:r>
      <w:r>
        <w:t xml:space="preserve"> Follow-up of patients after revascularisation for peripheral arterial diseases: a consensus document from the European Society of Cardiology Working Group on Aorta and Peripheral Vascular Diseases and the European Society for Vascular Surgery — https://doi.org/10.1177/2047487319846999</w:t>
      </w:r>
    </w:p>
    <w:p>
      <w:pPr/>
      <w:r>
        <w:rPr>
          <w:b/>
        </w:rPr>
        <w:t>Shared claim-specific concepts:</w:t>
      </w:r>
      <w:r>
        <w:t xml:space="preserve"> specific, peripheral, local; EU scope visible. This is a provisional connection, not an outcome finding.</w:t>
      </w:r>
    </w:p>
    <w:p>
      <w:pPr>
        <w:pStyle w:val="SourceNote"/>
      </w:pPr>
      <w:r>
        <w:rPr>
          <w:b/>
        </w:rPr>
        <w:t>Available abstract (not full text):</w:t>
      </w:r>
      <w:r>
        <w:t xml:space="preserve"> Peripheral arterial diseases comprise different clinical presentations, from cerebrovascular disease down to lower extremity artery disease, from subclinical to disabling symptoms and events. According to clinical presentation, the patient's general condition, anatomical location and extension of lesions, revascularisation may be needed in addition to best medical treatment. The 2017 European Society of Cardiology guidelines in collaboration with the European Society for Vascular Surgery have addressed the indications for revascularisation. While most cases are amenable to either endovascular or surgical revascularisation, maintaining long-term patency is often challenging. Early and late procedural complications, but also local and remote recurrences frequently lead to revascularisation failure. The rationale for surveillance is to propose the accurate implementation of preventive strategies to avoid other cardiovascular events and disease progression and avoid recurrence of symptoms and the need for redo revascularisation. Combined with vascular history and physical examination, duplex ultrasound scanning is the pivotal imaging technique for identifying revascularisation failures. Other non-invasive examinations (ankle and toe brachial index, computed tomography scan, magnetic resonance imaging) at regular intervals can optimise surveillance in specific settings. Currently, o</w:t>
      </w:r>
    </w:p>
    <w:p>
      <w:pPr/>
      <w:r>
        <w:rPr>
          <w:b/>
        </w:rPr>
        <w:t>POSSIBLE 2017:</w:t>
      </w:r>
      <w:r>
        <w:t xml:space="preserve"> 2017 ESC Guidelines on the Diagnosis and Treatment of Peripheral Arterial Diseases, in collaboration with the European Society for Vascular Surgery (ESVS) — https://doi.org/10.1093/eurheartj/ehx095</w:t>
      </w:r>
    </w:p>
    <w:p>
      <w:pPr/>
      <w:r>
        <w:rPr>
          <w:b/>
        </w:rPr>
        <w:t>Shared claim-specific concepts:</w:t>
      </w:r>
      <w:r>
        <w:t xml:space="preserve"> peripheral, information; EU scope visible. This is a provisional connection, not an outcome finding.</w:t>
      </w:r>
    </w:p>
    <w:p>
      <w:pPr>
        <w:pStyle w:val="SourceNote"/>
      </w:pPr>
      <w:r>
        <w:rPr>
          <w:b/>
        </w:rPr>
        <w:t>Available abstract (not full text):</w:t>
      </w:r>
      <w:r>
        <w:t xml:space="preserve"> The disclosure forms of all experts involved in the development of these guidelines are available on the ESC website http://www.escardio.org/guidelines. The Addenda and Questions and Answers companion documents of these guidelines are available at: www.escardio.org/Guidelines/Clinical-Practice-Guidelines/Peripheral-Artery-Diseases-Diagnosis-and-Treatment-of For the Web Addenda which include background information and detailed discussion of the data that have provided the basis for the recommendations see https://academic.oup.com/eurheartj/article-lookup/doi/10.1093/eurheartj/ehx095#supplementary-data Current background information and detailed discussion of the data for these Guidelines can be found in ESC CardioMed - Section 49 Peripheral arterial diseases ... ... Guidelines summarize and evaluate available evidence with the aim of assisting health professionals in selecting the best management strategies for an individual patient with a given condition. Guidelines and their recommendations should facilitate decision making of health professionals in their daily practice. However, the final decisions concerning an individual patient must be made by the responsible health professional(s) in consultation with the patient and caregiver as appropriate.</w:t>
      </w:r>
    </w:p>
    <w:p>
      <w:pPr>
        <w:pStyle w:val="Heading2"/>
      </w:pPr>
      <w:r>
        <w:t>805.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pStyle w:val="Heading2"/>
      </w:pPr>
      <w:r>
        <w:t>806.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2022:</w:t>
      </w:r>
      <w:r>
        <w:t xml:space="preserve"> The implications of globalization on COVID-19 vaccination in Europe — https://doi.org/10.1038/s41598-022-21493-w</w:t>
      </w:r>
    </w:p>
    <w:p>
      <w:pPr/>
      <w:r>
        <w:rPr>
          <w:b/>
        </w:rPr>
        <w:t>Shared claim-specific concepts:</w:t>
      </w:r>
      <w:r>
        <w:t xml:space="preserve"> implications, countries, lack, period, international; EU scope visible. This is a provisional connection, not an outcome finding.</w:t>
      </w:r>
    </w:p>
    <w:p>
      <w:pPr>
        <w:pStyle w:val="SourceNote"/>
      </w:pPr>
      <w:r>
        <w:rPr>
          <w:b/>
        </w:rPr>
        <w:t>Available abstract (not full text):</w:t>
      </w:r>
      <w:r>
        <w:t xml:space="preserve"> Although globalization has left its mark on economic dynamism, causing conditionalities among various aspects (market openness, production networks, technological and information developments, migratory flows, international cooperation, humanitarian support, etc.), the less pleasant side of it should not be omitted, i.e. the emergence of the framework for the faster diffusion of epidemiological diseases. Thus, with the onset of the SARS-CoV-2 virus, its widespread circulation is a serious challenge for the provision of efficient solutions to combat it, especially in countries with fragile health systems, poor institutional quality and lack of resources. In this paper we aim to investigate the implications of globalization on the COVID-19 vaccination of the population. The period under analysis is January 1, 2021-January 1, 2022, using montly data, and the object of our study are 48 European states. To capture the relationship between globalization and the vaccination rate, we applied regression models, including a number of factors that may influence the progress of vaccination. In order to test the robustness of the results, the two-stage least squares (2SLS) regressions was used. The regression models developed underlined that globalization impacts the degree of vaccination. More globalized economies are more competitive in COVID-19 management, and the significance of this ef</w:t>
      </w:r>
    </w:p>
    <w:p>
      <w:pPr/>
      <w:r>
        <w:rPr>
          <w:b/>
        </w:rPr>
        <w:t>POSSIBLE 2021:</w:t>
      </w:r>
      <w:r>
        <w:t xml:space="preserve"> Economic implications of a connected and automated mobility in Europe — https://doi.org/10.1016/j.retrec.2021.101072</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Connected and Automated Mobility will disrupt the road transport sector which has remained substantially unchanged since the vehicle became mass produced in the first half of the twentieth century. Given the central role of mobility for our society and economy, the implications of a transformation in the transport sector will not be limited to transport but will regard many other aspects of our society. The aim of this paper is to analyse the possible future socio-economic implications of such a disruption in the road transport sector. It builds upon a set of future road transport scenarios and aims to identify the main impacts in different economic sectors mostly from a qualitative perspective. Results show that the deployment of Connected and Automated Vehicles could provide profitable opportunities for sectors like automotive, electronics and software, telecommunication, data services, digital media and freight transport; but other sectors including insurance and maintenance and repair are identified as businesses that might suffer revenue decreases in the future. In all scenarios, the policy implications of the transformation can be strong, which implies that the evolution of the transport system has to be carefully monitored in order to promptly cope with possible future effects.</w:t>
      </w:r>
    </w:p>
    <w:p>
      <w:pPr/>
      <w:r>
        <w:rPr>
          <w:b/>
        </w:rPr>
        <w:t>POSSIBLE 2021:</w:t>
      </w:r>
      <w:r>
        <w:t xml:space="preserve"> Implications of COVID-19 lockdowns on surface passenger mobility and related CO2 emission changes in Europe — https://doi.org/10.1016/j.apenergy.2021.117396</w:t>
      </w:r>
    </w:p>
    <w:p>
      <w:pPr/>
      <w:r>
        <w:rPr>
          <w:b/>
        </w:rPr>
        <w:t>Shared claim-specific concepts:</w:t>
      </w:r>
      <w:r>
        <w:t xml:space="preserve"> implications, countries, during, period; EU scope visible. This is a provisional connection, not an outcome finding.</w:t>
      </w:r>
    </w:p>
    <w:p>
      <w:pPr>
        <w:pStyle w:val="SourceNote"/>
      </w:pPr>
      <w:r>
        <w:rPr>
          <w:b/>
        </w:rPr>
        <w:t>Available abstract (not full text):</w:t>
      </w:r>
      <w:r>
        <w:t xml:space="preserve"> The coronavirus pandemic has severely affected our daily lives, with direct consequences on passenger transport. This in turn has strongly impacted the energy demand of the transport sector and associated CO2 emissions. We analyse near real-time passenger mobility and related emission trends in Europe between 21 January and 21 September 2020. We compiled a dataset of country-, sector- and lockdown- specific values, representing daily activity changes in private, public, and active passenger transport. In the aggregate, surface passenger transport emissions fell by 11.2% corresponding to 40.3 MtCO2 in Europe. This decline was predominantly due to the reduction of private passenger transport in five European countries (France, Germany, Italy, Spain, and the UK). During the first lockdown in April 2020, CO2 emissions from surface passenger transport declined by 50% in Europe, resulting in a 7.1% reduction in total CO2 emissions. After April 2020, private passenger travel recovered rapidly, while public passenger flows remained low. Solely prompted by the private sector, a rebound in total emissions and surface passenger transport emissions of 1.5% and 10.7%, respectively, was estimated at the end of the study period. The resulting situation of increased private and decreased public passenger transport is in contradiction to major climate goals, and without reversing these trends, </w:t>
      </w:r>
    </w:p>
    <w:p>
      <w:pPr/>
      <w:r>
        <w:rPr>
          <w:b/>
        </w:rPr>
        <w:t>POSSIBLE 2020:</w:t>
      </w:r>
      <w:r>
        <w:t xml:space="preserve"> Shadow Education in Europe: Growing Prevalence, Underlying Forces, and Policy Implications — https://doi.org/10.1177/2096531119890142</w:t>
      </w:r>
    </w:p>
    <w:p>
      <w:pPr/>
      <w:r>
        <w:rPr>
          <w:b/>
        </w:rPr>
        <w:t>Shared claim-specific concepts:</w:t>
      </w:r>
      <w:r>
        <w:t xml:space="preserve"> implications, only, four, other, during; EU scope visible. This is a provisional connection, not an outcome finding.</w:t>
      </w:r>
    </w:p>
    <w:p>
      <w:pPr>
        <w:pStyle w:val="SourceNote"/>
      </w:pPr>
      <w:r>
        <w:rPr>
          <w:b/>
        </w:rPr>
        <w:t>Available abstract (not full text):</w:t>
      </w:r>
      <w:r>
        <w:t xml:space="preserve"> Purpose: Private supplementary tutoring, widely known as shadow education, has long been visible in East Asia, and now has spread to other parts of the world including Europe. This article maps the phenomenon, showing variations within Europe and analyzing its growth, underlying forces, and policy implications. Design/Approach/Methods: The article assembles a regional picture from available national sources. It focuses on the 28 members of the European Union. Findings: Within Europe, four subregions may be identified. Most prominent for the longest duration has been Southern Europe, pushed by political forces and cultural factors. In Eastern Europe, shadow education became prominent following the collapse of the Soviet Union and accompanying economic and social structures during which teachers and others had to earn extra incomes. In Western Europe, the advent of marketization alongside government schooling has fueled the growth of shadow education. Only in Northern Europe does shadow education remain modest in scale, but it is growing there too. Originality/Value: The article identifies forces underlying the growth of shadow education in Europe and highlights policy implications. By contributing this regional perspective to the wider literature on shadow education, the article permits juxtaposition with patterns in East Asia and elsewhere.</w:t>
      </w:r>
    </w:p>
    <w:p>
      <w:pPr/>
      <w:r>
        <w:rPr>
          <w:b/>
        </w:rPr>
        <w:t>POSSIBLE 2020:</w:t>
      </w:r>
      <w:r>
        <w:t xml:space="preserve"> Prospective Risk Assessment of Medicine Shortages in Europe and Israel: Findings and Implications — https://doi.org/10.3389/fphar.2020.00357</w:t>
      </w:r>
    </w:p>
    <w:p>
      <w:pPr/>
      <w:r>
        <w:rPr>
          <w:b/>
        </w:rPr>
        <w:t>Shared claim-specific concepts:</w:t>
      </w:r>
      <w:r>
        <w:t xml:space="preserve"> implications, only, lack; EU scope visible. This is a provisional connection, not an outcome finding.</w:t>
      </w:r>
    </w:p>
    <w:p>
      <w:pPr>
        <w:pStyle w:val="SourceNote"/>
      </w:pPr>
      <w:r>
        <w:rPr>
          <w:b/>
        </w:rPr>
        <w:t>Available abstract (not full text):</w:t>
      </w:r>
      <w:r>
        <w:t xml:space="preserve"> INTRODUCTION: While medicine shortages are complex, their mitigation is more of a challenge. Prospective risk assessment as a means to mitigate possible shortages, has yet to be applied equally across healthcare settings. The aims of this study have been to: 1) gain insight into risk-prevention against possible medicine shortages among healthcare experts; 2) review existing strategies for minimizing patient-health risks through applied risk assessment; and 3) learn from experiences related to application in practice. METHODOLOGY: ) with descriptive statistics based on the distribution of responses. Their proportional difference was tested by the chi-square test and Fisher's exact test for independence. Differences in the observed ordinal variables were tested by the Mann-Whitney or Kruskal-Wallis test. The qualitative data were tabulated and recombined with the quantitative data to observe, uncover and interpret meanings and patterns. RESULTS: The participants (61.7%) are aware of the use of risk assessment procedures as a coping strategy for medicine shortages, and named the particular risk assessment procedure they are familiar with failure mode and effect analysis (FMEA) (26.4%), root cause analysis (RCA) (23.5%), the healthcare FMEA (HFMEA) (14.7%), and the hazard analysis and critical control point (HACCP) (14.7%). Only 29.4% report risk assessment as integrated into mitig</w:t>
      </w:r>
    </w:p>
    <w:p>
      <w:pPr/>
      <w:r>
        <w:rPr>
          <w:b/>
        </w:rPr>
        <w:t>POSSIBLE 2020:</w:t>
      </w:r>
      <w:r>
        <w:t xml:space="preserve"> Skills in African Labor Markets and Implications for Migration to Europe — https://openalex.org/W3027951275</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This paper assesses the potential for skilled labor migration from sub-Saharan Africa to Europe. It utilizes representative surveys from Ghana and Kenya to shed light on the quality and distribution of skills in the labor markets of these countries. Skills in both countries are found to be unevenly distributed, with significant parts of the labor force being essentially unskilled. Similarly designed surveys from France, Germany, and the UK further allow comparing skills and formal education between the African and the European countries. On average, the labor force in the subSaharan African countries is less skilled and less educated than the European labor force. Importantly, even at the same levels of formal education, workers in Ghana and Kenya are substantially less skilled than workers in Europe. The paper further considers a number of hypothetical scenarios for skilled labor migration from the African to the European countries. It is demonstrated that the European countries would have to recruit workers from the very top end of the African skill distribution to match European demands for skills. In turn, the average worker from the African labor markets would fit only into the low end of the European skill distribution where employment rates are low. Hence, more regular and skilled labor migration from African countries will unlikely be a remedy for skill shortages in Eur</w:t>
      </w:r>
    </w:p>
    <w:p>
      <w:pPr/>
      <w:r>
        <w:rPr>
          <w:b/>
        </w:rPr>
        <w:t>POSSIBLE 2020:</w:t>
      </w:r>
      <w:r>
        <w:t xml:space="preserve"> Pesticide prioritization approaches and limitations in environmental monitoring studies: From Europe to Latin America and the Caribbean — https://doi.org/10.1016/j.envint.2020.105917</w:t>
      </w:r>
    </w:p>
    <w:p>
      <w:pPr/>
      <w:r>
        <w:rPr>
          <w:b/>
        </w:rPr>
        <w:t>Shared claim-specific concepts:</w:t>
      </w:r>
      <w:r>
        <w:t xml:space="preserve"> limitations, countries, other, during, different; EU scope visible. This is a provisional connection, not an outcome finding.</w:t>
      </w:r>
    </w:p>
    <w:p>
      <w:pPr>
        <w:pStyle w:val="SourceNote"/>
      </w:pPr>
      <w:r>
        <w:rPr>
          <w:b/>
        </w:rPr>
        <w:t>Available abstract (not full text):</w:t>
      </w:r>
      <w:r>
        <w:t xml:space="preserve"> Assessment and management of issues related to pesticide residues, such as environmental fate, monitoring and toxicity, are complex and, in many cases, require costly studies. The early establishment of a priority list of pesticides that should be monitored and assigned to a restricted-use policy is an important issue of post-registration Risk Assessment (RA). Various pesticide registration approaches have been adopted by different countries with those from Europe and the USA being the most popular, constituting the major prototypes for registration approaches in other countries. Adoption of pesticide registration and monitoring systems developed in Europe or USA by Latin American and Caribbean countries may underestimate factors affecting the environmental fate and toxicity of pesticides in their own countries. Incentive for this short review was the activities undertaken during the three KNOWPEC workshops held in Costa Rica, Argentina and Bolivia where European pesticide experts met Latin American experience in the form of Costa Rica's exceptional environmental conditions and ecology, Argentina's and Uruguay's soyisation and Bolivia's contrasting climate and agricultural zones. During the parallel activities of the workshop - including scientific presentations, field trips, interviews and meetings among European partners and pesticide stakeholders in Latin America, - the whol</w:t>
      </w:r>
    </w:p>
    <w:p>
      <w:pPr/>
      <w:r>
        <w:rPr>
          <w:b/>
        </w:rPr>
        <w:t>POSSIBLE 2018:</w:t>
      </w:r>
      <w:r>
        <w:t xml:space="preserve"> Catastrophic health spending in Europe: equity and policy implications of different calculation methods — https://doi.org/10.2471/blt.18.209031</w:t>
      </w:r>
    </w:p>
    <w:p>
      <w:pPr/>
      <w:r>
        <w:rPr>
          <w:b/>
        </w:rPr>
        <w:t>Shared claim-specific concepts:</w:t>
      </w:r>
      <w:r>
        <w:t xml:space="preserve"> implications, only, four, countries, other, different; EU scope visible. This is a provisional connection, not an outcome finding.</w:t>
      </w:r>
    </w:p>
    <w:p>
      <w:pPr>
        <w:pStyle w:val="SourceNote"/>
      </w:pPr>
      <w:r>
        <w:rPr>
          <w:b/>
        </w:rPr>
        <w:t>Available abstract (not full text):</w:t>
      </w:r>
      <w:r>
        <w:t xml:space="preserve"> OBJECTIVE: To investigate the equity and policy implications of different methods to calculate catastrophic health spending. METHODS: We used routinely collected data from recent household budget surveys in 14 European countries. We calculated the incidence of catastrophic health spending and its distribution across consumption quintiles using four methods. We compared the budget share method, which is used to monitor universal health coverage (UHC) in the sustainable development goals (SDGs), with three other well-established methods: actual food spending; partial normative food spending; and normative spending on food, housing and utilities. FINDINGS: Country estimates of the incidence of catastrophic health spending were generally similar using the normative spending on food, housing and utilities method and the budget share method at the 10% threshold of a household's ability to pay. The former method found that catastrophic spending was concentrated in the poorest quintile in all countries, whereas with the budget share method catastrophic spending was largely experienced by richer households. This is because the threshold for catastrophic health spending in the budget share method is the same for all households, while the other methods generated effective thresholds that varied across households. The normative spending on food, housing and utilities method was the only on</w:t>
      </w:r>
    </w:p>
    <w:p>
      <w:pPr/>
      <w:r>
        <w:rPr>
          <w:b/>
        </w:rPr>
        <w:t>POSSIBLE 2018:</w:t>
      </w:r>
      <w:r>
        <w:t xml:space="preserve"> Entrepreneurial intentions and entrepreneurship in European countries — https://doi.org/10.1108/ijis-07-2017-0062</w:t>
      </w:r>
    </w:p>
    <w:p>
      <w:pPr/>
      <w:r>
        <w:rPr>
          <w:b/>
        </w:rPr>
        <w:t>Shared claim-specific concepts:</w:t>
      </w:r>
      <w:r>
        <w:t xml:space="preserve"> limitations, implications, sample, only, countries, other; EU scope visible. This is a provisional connection, not an outcome finding.</w:t>
      </w:r>
    </w:p>
    <w:p>
      <w:pPr>
        <w:pStyle w:val="SourceNote"/>
      </w:pPr>
      <w:r>
        <w:rPr>
          <w:b/>
        </w:rPr>
        <w:t>Available abstract (not full text):</w:t>
      </w:r>
      <w:r>
        <w:t xml:space="preserve"> Purpose This study aims to pursue better understanding and investigation of the factor that can have an impact on the level of entrepreneurial activity. To achieve this, statistical analysis was conducted. Indicators from 22 countries of the European Union were reunited to compare the differences between entrepreneurial intention and entrepreneurship. Design/methodology/approach To analyse entrepreneurial intentions in Europe, two databases of the Global Databases Entrepreneurship Monitor (GEM) were used, namely, “GEM NES Key Indicators 2007-2015” and “GEM APS Key Indicators 2001-2015”, available at www.gemconsortium.org/data/sets , considering only the data from 2015 and analysed with IBM SPSS Statistics tool. Each original database includes 60 countries, and this study is limited to an analysis of only countries of the European continent, resulting in a sample of 22 countries. Findings The major determinants of the entrepreneurial intention in the countries studied were: “perceived capacity”; “entrepreneurial intention” itself which will, in fact, influence the “rate of nascent entrepreneurship”; “governmental and political factors” in relation to the respective “financing for the entrepreneur”; and “basic education and training” in entrepreneurship which influences “research and development”. Research limitations/implications This study has few limitations because, as it ref</w:t>
      </w:r>
    </w:p>
    <w:p>
      <w:pPr>
        <w:pStyle w:val="Heading2"/>
      </w:pPr>
      <w:r>
        <w:t>807.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2016:</w:t>
      </w:r>
      <w:r>
        <w:t xml:space="preserve"> Right-Wing Extremism and Terrorism in Europe: Current Developments and Issues for the Future — https://openalex.org/W2994049625</w:t>
      </w:r>
    </w:p>
    <w:p>
      <w:pPr/>
      <w:r>
        <w:rPr>
          <w:b/>
        </w:rPr>
        <w:t>Shared claim-specific concepts:</w:t>
      </w:r>
      <w:r>
        <w:t xml:space="preserve"> stark, contrast, white, show, almost, compared; EU scope visible. This is a provisional connection, not an outcome finding.</w:t>
      </w:r>
    </w:p>
    <w:p>
      <w:pPr>
        <w:pStyle w:val="SourceNote"/>
      </w:pPr>
      <w:r>
        <w:rPr>
          <w:b/>
        </w:rPr>
        <w:t>Available abstract (not full text):</w:t>
      </w:r>
      <w:r>
        <w:t xml:space="preserve"> Europe has experienced a revival of groups, networks, and incidents in recent years, with a surge of anti-immigration and Islamophobic violence, as well as anti-government attacks and assaults on political opponents, ethnic minorities, and homosexuals. Although not as significant as in Europe, the United States has also seen an upsurge in political violence considered to be right-wing extremist in nature (for example, supremacist, neo-Nazi, racist, or anti-government sovereign citizen). For the international audience, only a few of these incidents gained broad media attention; attacks are seen mostly as isolated events when compared with other attacks, such as those by Islamist terrorists. In Germany, a terrorist group calling itself the National Socialist Underground was discovered in 2011. Despite having assassinated at least 10 people and committed 2 bombings over the course of almost 14 years, it had gone undetected. That same year, Anders Behring Breivik killed 77 people in a bomb attack in Oslo and a mass shooting in Ut0ya, Norway. In the United States, supremacist Michael Page shot and killed six people and wounded four others in an attack against a Wisconsin Sikh temple in August 2012. Only one day after Charles Kurzman had argued in the New York Times that terrorism might be the most severe security threat in the United States, Dylann Roof killed nine people in his sho</w:t>
      </w:r>
    </w:p>
    <w:p>
      <w:pPr>
        <w:pStyle w:val="Heading2"/>
      </w:pPr>
      <w:r>
        <w:t>808.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2021:</w:t>
      </w:r>
      <w:r>
        <w:t xml:space="preserve"> The Essentials of Marine Biotechnology — https://doi.org/10.3389/fmars.2021.629629</w:t>
      </w:r>
    </w:p>
    <w:p>
      <w:pPr/>
      <w:r>
        <w:rPr>
          <w:b/>
        </w:rPr>
        <w:t>Shared claim-specific concepts:</w:t>
      </w:r>
      <w:r>
        <w:t xml:space="preserve"> marine, energy, resources, field, technology; EU scope visible. This is a provisional connection, not an outcome finding.</w:t>
      </w:r>
    </w:p>
    <w:p>
      <w:pPr>
        <w:pStyle w:val="SourceNote"/>
      </w:pPr>
      <w:r>
        <w:rPr>
          <w:b/>
        </w:rPr>
        <w:t>Available abstract (not full text):</w:t>
      </w:r>
      <w:r>
        <w:t xml:space="preserve"> Coastal countries have traditionally relied on the existing marine resources (e.g., fishing, food, transport, recreation, and tourism) as well as tried to support new economic endeavors (ocean energy, desalination for water supply, and seabed mining). Modern societies and lifestyle resulted in an increased demand for dietary diversity, better health and well-being, new biomedicines, natural cosmeceuticals, environmental conservation, and sustainable energy sources. These societal needs stimulated the interest of researchers on the diverse and underexplored marine environments as promising and sustainable sources of biomolecules and biomass, and they are addressed by the emerging field of marine (blue) biotechnology. Blue biotechnology provides opportunities for a wide range of initiatives of commercial interest for the pharmaceutical, biomedical, cosmetic, nutraceutical, food, feed, agricultural, and related industries. This article synthesizes the essence, opportunities, responsibilities, and challenges encountered in marine biotechnology and outlines the attainment and valorization of directly derived or bio-inspired products from marine organisms. First, the concept of bioeconomy is introduced. Then, the diversity of marine bioresources including an overview of the most prominent marine organisms and their potential for biotechnological uses are described. This is followed b</w:t>
      </w:r>
    </w:p>
    <w:p>
      <w:pPr/>
      <w:r>
        <w:rPr>
          <w:b/>
        </w:rPr>
        <w:t>POSSIBLE 2021:</w:t>
      </w:r>
      <w:r>
        <w:t xml:space="preserve"> Marine Energy in the United States: An Overview of Opportunities — https://doi.org/10.2172/1766861</w:t>
      </w:r>
    </w:p>
    <w:p>
      <w:pPr/>
      <w:r>
        <w:rPr>
          <w:b/>
        </w:rPr>
        <w:t>Shared claim-specific concepts:</w:t>
      </w:r>
      <w:r>
        <w:t xml:space="preserve"> marine, energy, resources, performed, technology; EU scope not established. This is a provisional connection, not an outcome finding.</w:t>
      </w:r>
    </w:p>
    <w:p>
      <w:pPr>
        <w:pStyle w:val="SourceNote"/>
      </w:pPr>
      <w:r>
        <w:rPr>
          <w:b/>
        </w:rPr>
        <w:t>Available abstract (not full text):</w:t>
      </w:r>
      <w:r>
        <w:t xml:space="preserve"> This report provides a concise and consolidated overview of the Unites States’ marine energy resources . The results reported herein are primarily based on U.S. Department of Energy (DOE)-funded marine energy resource assessments in the following technology areas: wave, tidal currents, ocean currents, ocean thermal gradients, and river currents. This report also incorporates recent updates and refinements to the U.S. wave and tidal resource assessments performed by the national labs. Many of these refinements were undertaken to address feedback from the National Research Council’s evaluation of the original resource assessments (National Research Council 2013). Further, this report refines the analysis that has been published to date by identifying the marine energy resources available in each U.S. state or region to the extent practical. In short, this report summarizes the best available data on U.S. marine energy resources at the state, regional, and national scales.</w:t>
      </w:r>
    </w:p>
    <w:p>
      <w:pPr/>
      <w:r>
        <w:rPr>
          <w:b/>
        </w:rPr>
        <w:t>POSSIBLE 2021:</w:t>
      </w:r>
      <w:r>
        <w:t xml:space="preserve"> Legal and Political Barriers and Enablers to the Deployment of Marine Renewable Energy — https://doi.org/10.3390/en14164896</w:t>
      </w:r>
    </w:p>
    <w:p>
      <w:pPr/>
      <w:r>
        <w:rPr>
          <w:b/>
        </w:rPr>
        <w:t>Shared claim-specific concepts:</w:t>
      </w:r>
      <w:r>
        <w:t xml:space="preserve"> marine, energy, performed, technology, current; EU scope visible. This is a provisional connection, not an outcome finding.</w:t>
      </w:r>
    </w:p>
    <w:p>
      <w:pPr>
        <w:pStyle w:val="SourceNote"/>
      </w:pPr>
      <w:r>
        <w:rPr>
          <w:b/>
        </w:rPr>
        <w:t>Available abstract (not full text):</w:t>
      </w:r>
      <w:r>
        <w:t xml:space="preserve"> Ocean energy is a promising source of clean renewable energy, with clear development targets set by the European Commission. However, the ocean energy sector faces non-technological challenges and opportunities that are frequently overlooked in deployment plans. The present study aimed to provide a critical evaluation of the ocean energy sector’s legal, institutional, and political frameworks with an identification and analysis of both barriers and enabling features for the deployment of ocean energy. In the first stage, a literature review on the current political and regulatory frameworks of a set of European countries was carried out, setting the basis for the main challenges and enabling factors faced by the sector. Secondly, a critical analysis of the main non-technological barriers and enablers was performed, which was supported by questionnaires sent to regulators, technology developers, and test-site managers. This questionnaire allowed us to collect and integrate the views, perceptions, and personal experiences of the main stakeholders of the ocean energy sector in the analysis. The most relevant insights were collected to guide future policy instruments, supports, and consenting measures in a more informed and effective manner and to help accelerate the development of the sector.</w:t>
      </w:r>
    </w:p>
    <w:p>
      <w:pPr/>
      <w:r>
        <w:rPr>
          <w:b/>
        </w:rPr>
        <w:t>POSSIBLE 2020:</w:t>
      </w:r>
      <w:r>
        <w:t xml:space="preserve"> Blue energy and marine spatial planning in Southern Europe — https://doi.org/10.1016/j.enpol.2020.111421</w:t>
      </w:r>
    </w:p>
    <w:p>
      <w:pPr/>
      <w:r>
        <w:rPr>
          <w:b/>
        </w:rPr>
        <w:t>Shared claim-specific concepts:</w:t>
      </w:r>
      <w:r>
        <w:t xml:space="preserve"> marine, energy, role, resources, different; EU scope visible. This is a provisional connection, not an outcome finding.</w:t>
      </w:r>
    </w:p>
    <w:p>
      <w:pPr>
        <w:pStyle w:val="SourceNote"/>
      </w:pPr>
      <w:r>
        <w:rPr>
          <w:b/>
        </w:rPr>
        <w:t>Available abstract (not full text):</w:t>
      </w:r>
      <w:r>
        <w:t xml:space="preserve"> The 2050 target of the European Union to decarbonize the economy by 80–90% will undoubtedly see marine renewable energies playing a key role. The deployment of offshore facilities within the framework of Blue Growth creates tension as competition for other uses of the sea intensifies as economic exploitation of marine resources increases. Marine spatial planning (MSP) is being applied in different Member States, mainly in the North Sea basin, as a way of easing tensions while promoting blue energy. The southernmost marine areas of the continent also have considerable energy potential that, as yet, has not been exploited due to the limitations imposed by a narrow and steep continental shelf, not to mention legal and administrative barriers. MSP processes currently being developed by the application of Directive 2014/89/EU present an opportunity to resolve these conflicts and promote sustainable use of MRE sources in southern Europe. This paper analyzes the marine spatial planning process of five southern European countries - Spain, Greece, Italy, Malta and Portugal - with the aim of determining the degree to which they are incorporating blue energy policies.</w:t>
      </w:r>
    </w:p>
    <w:p>
      <w:pPr/>
      <w:r>
        <w:rPr>
          <w:b/>
        </w:rPr>
        <w:t>POSSIBLE 2020:</w:t>
      </w:r>
      <w:r>
        <w:t xml:space="preserve"> Energy Flow Through Marine Ecosystems: Confronting Transfer Efficiency — https://doi.org/10.1016/j.tree.2020.09.006</w:t>
      </w:r>
    </w:p>
    <w:p>
      <w:pPr/>
      <w:r>
        <w:rPr>
          <w:b/>
        </w:rPr>
        <w:t>Shared claim-specific concepts:</w:t>
      </w:r>
      <w:r>
        <w:t xml:space="preserve"> marine, energy, efficiency; EU scope not established. This is a provisional connection, not an outcome finding.</w:t>
      </w:r>
    </w:p>
    <w:p>
      <w:pPr>
        <w:pStyle w:val="SourceNote"/>
      </w:pPr>
      <w:r>
        <w:rPr>
          <w:b/>
        </w:rPr>
        <w:t>Available abstract (not full text):</w:t>
      </w:r>
      <w:r>
        <w:t xml:space="preserve"> Unavailable</w:t>
      </w:r>
    </w:p>
    <w:p>
      <w:pPr/>
      <w:r>
        <w:rPr>
          <w:b/>
        </w:rPr>
        <w:t>POSSIBLE 2019:</w:t>
      </w:r>
      <w:r>
        <w:t xml:space="preserve"> Energy at the End of the World — https://doi.org/10.7551/mitpress/10910.001.0001</w:t>
      </w:r>
    </w:p>
    <w:p>
      <w:pPr/>
      <w:r>
        <w:rPr>
          <w:b/>
        </w:rPr>
        <w:t>Shared claim-specific concepts:</w:t>
      </w:r>
      <w:r>
        <w:t xml:space="preserve"> marine, energy, technology; EU scope visible. This is a provisional connection, not an outcome finding.</w:t>
      </w:r>
    </w:p>
    <w:p>
      <w:pPr>
        <w:pStyle w:val="SourceNote"/>
      </w:pPr>
      <w:r>
        <w:rPr>
          <w:b/>
        </w:rPr>
        <w:t>Available abstract (not full text):</w:t>
      </w:r>
      <w:r>
        <w:t xml:space="preserve"> Making local energy futures, from marine energy to hydrogen fuel, at the edge of the world.The islands of Orkney, off the northern coast of Scotland, are closer to the Arctic Circle than to London. Surrounded by fierce seas and shrouded by clouds and mist, the islands seem to mark the edge of the known world. And yet they are a center for energy technology innovation, from marine energy to hydrogen fuel networks, attracting the interest of venture capitalists and local communities. In this book, Laura Watts tells a story of making energy futures at the edge of the world. Orkney, Watts tells us, has been making technology for six thousand years, from arrowheads and stone circles to wave and tide energy prototypes. Artifacts and traces of all the ages—Stone, Bronze, Iron, Viking, Silicon—are visible everywhere. The islanders turned to energy innovation when forced to contend with an energy infrastructure they had outgrown. Today, Orkney is home to the European Marine Energy Centre, established in 2003. There are about forty open-sea marine energy test facilities in the world, many of which draw on Orkney expertise. The islands generate more renewable energy than they use, are growing hydrogen fuel and electric car networks, and have hundreds of locally owned micro wind turbines and a decade-old smart grid. Mixing storytelling and ethnography, empiricism and lyricism, Watts tells </w:t>
      </w:r>
    </w:p>
    <w:p>
      <w:pPr/>
      <w:r>
        <w:rPr>
          <w:b/>
        </w:rPr>
        <w:t>POSSIBLE 2019:</w:t>
      </w:r>
      <w:r>
        <w:t xml:space="preserve"> The Knowledge Map of Marine Energy — https://doi.org/10.1088/1755-1315/295/4/042067</w:t>
      </w:r>
    </w:p>
    <w:p>
      <w:pPr/>
      <w:r>
        <w:rPr>
          <w:b/>
        </w:rPr>
        <w:t>Shared claim-specific concepts:</w:t>
      </w:r>
      <w:r>
        <w:t xml:space="preserve"> marine, energy, field; EU scope not established. This is a provisional connection, not an outcome finding.</w:t>
      </w:r>
    </w:p>
    <w:p>
      <w:pPr>
        <w:pStyle w:val="SourceNote"/>
      </w:pPr>
      <w:r>
        <w:rPr>
          <w:b/>
        </w:rPr>
        <w:t>Available abstract (not full text):</w:t>
      </w:r>
      <w:r>
        <w:t xml:space="preserve"> Abstract In order to analyze the research hotspots of marine energy, the Citespace III software was used to visually analyze marine energy. The database was collected on the criteria of marine energy as the keyword, and time span extended from 2007 to 2016 on the basis of the “Web of Sciencetm core collection database”. The scientific knowledge maps analysis of marine energy has been conducted based on the Citespace III software, and analyzes the active countries/regions, institutions and research hotspots in related research fields. Active countries/regions, institutions and research hotspots of relevant research areas have been studied, and University of Chinese Academy of Sciences is at the first place of whole research institutions in marine energy field. Keywords co-occurrence analysis results show that coast, corrosion, kinetics, evolution and sediments have the highest centralities which are the focal keywords in marine energy research field. The results of the co-citation analysis show that wave energy, tidal stream energy, tidal stream turbines, and the microalgae biofuels are the hotspots in marine energy research field.</w:t>
      </w:r>
    </w:p>
    <w:p>
      <w:pPr>
        <w:pStyle w:val="Heading2"/>
      </w:pPr>
      <w:r>
        <w:t>809.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r>
        <w:rPr>
          <w:b/>
        </w:rPr>
        <w:t>POSSIBLE 2021:</w:t>
      </w:r>
      <w:r>
        <w:t xml:space="preserve"> A 2021 Online Workshop for the Review of Two Modules on Methodology for Using English as a Medium of Instruction in Rwanda: Opportunities and Challenges — https://doi.org/10.33422/ejte.v3i4.554</w:t>
      </w:r>
    </w:p>
    <w:p>
      <w:pPr/>
      <w:r>
        <w:rPr>
          <w:b/>
        </w:rPr>
        <w:t>Shared claim-specific concepts:</w:t>
      </w:r>
      <w:r>
        <w:t xml:space="preserve"> workshop, methodology, used, showed; EU scope not established. This is a provisional connection, not an outcome finding.</w:t>
      </w:r>
    </w:p>
    <w:p>
      <w:pPr>
        <w:pStyle w:val="SourceNote"/>
      </w:pPr>
      <w:r>
        <w:rPr>
          <w:b/>
        </w:rPr>
        <w:t>Available abstract (not full text):</w:t>
      </w:r>
      <w:r>
        <w:t xml:space="preserve"> Since the outbreak of the COVID-19 pandemic in Wuhan in China and its rapid spread around the globe, people’s life and work styles have changed. Governments have installed and implemented lockdowns, social distancing, and stay home preventive measures that have forced most people to work from their homes. Research units and higher learning institutions were not spared as well. International conferences that were to take place in 2020 were turned into virtual presentations and until recently nothing has changed. To handle the crisis, the University of Rwanda also thought of transforming its work ethos. In this regard a two-phase online workshop was held in January and February 2021 to review two modules produced during a face-to face workshop in October 2021. These were modules on methodologies to help pre-primary, primary and lower secondary school teachers to effectively deliver their subject content through English, the medium of instruction, and promote learners’ proficiency in this language. As this online review was the first virtual workshop experience of the kind for most participants, the researchers decided to investigate the opportunities it offered them and the challenges faced. Theories on online work and of quantitative and qualitative research paradigms were used. The research tools were a questionnaire and observations. Graphs were utilised and emerging themes gr</w:t>
      </w:r>
    </w:p>
    <w:p>
      <w:pPr/>
      <w:r>
        <w:rPr>
          <w:b/>
        </w:rPr>
        <w:t>POSSIBLE 2020:</w:t>
      </w:r>
      <w:r>
        <w:t xml:space="preserve"> Reflection of Using Buddhist Cognitive Process Activities in the Workshop of Research Methodology Course — https://openalex.org/W3093503066</w:t>
      </w:r>
    </w:p>
    <w:p>
      <w:pPr/>
      <w:r>
        <w:rPr>
          <w:b/>
        </w:rPr>
        <w:t>Shared claim-specific concepts:</w:t>
      </w:r>
      <w:r>
        <w:t xml:space="preserve"> workshop, methodology, used, showed, cognitive; EU scope not established. This is a provisional connection, not an outcome finding.</w:t>
      </w:r>
    </w:p>
    <w:p>
      <w:pPr>
        <w:pStyle w:val="SourceNote"/>
      </w:pPr>
      <w:r>
        <w:rPr>
          <w:b/>
        </w:rPr>
        <w:t>Available abstract (not full text):</w:t>
      </w:r>
      <w:r>
        <w:t xml:space="preserve"> The purpose of this research was to study reflection of using Buddhist cognitive process activities in the workshop of research methodology course. Classroom action research and qualitative research were used. The target group was graduate students in psychology of life and death program, Faculty of Humanities, Mahachulalongkornrajavidyalaya University. Research tools were observation form and questionnaires. Qualitative data from 18 key informants was analyzed by using content analysis and analytic induction. Results indicated that reflection of using Buddhist cognitive process activities in the workshop of research methodology course showed in 4 aspects consisted of; 1) Knowledge, students were knowledge about content of subject, 2) Learning Process, students have shown their interested in learning process and be happy with class activities, 3) Attitude, students have changed and showed positive attitudes on research methodology. They have shown inspiration to create their theses, 4) Skills and Experience, students practiced their skills on data collection, data analysis, and data presentation for research. They also reflected that Buddhist cognitive process activities in the workshop of research methodology can improve students in learning happily, inspirited and practiced skills of research. Therefore, these activities within the workshop were appropriate for applying furth</w:t>
      </w:r>
    </w:p>
    <w:p>
      <w:pPr/>
      <w:r>
        <w:rPr>
          <w:b/>
        </w:rPr>
        <w:t>POSSIBLE 2019:</w:t>
      </w:r>
      <w:r>
        <w:t xml:space="preserve"> Methodological Workshop - Measuring the effect of metaphors: the use of experimental surveys — https://openalex.org/W3008813731</w:t>
      </w:r>
    </w:p>
    <w:p>
      <w:pPr/>
      <w:r>
        <w:rPr>
          <w:b/>
        </w:rPr>
        <w:t>Shared claim-specific concepts:</w:t>
      </w:r>
      <w:r>
        <w:t xml:space="preserve"> workshop, used, method; EU scope not established. This is a provisional connection, not an outcome finding.</w:t>
      </w:r>
    </w:p>
    <w:p>
      <w:pPr>
        <w:pStyle w:val="SourceNote"/>
      </w:pPr>
      <w:r>
        <w:rPr>
          <w:b/>
        </w:rPr>
        <w:t>Available abstract (not full text):</w:t>
      </w:r>
      <w:r>
        <w:t xml:space="preserve"> The workshop will be divided in three main units. The first part will discuss experiments as a method: what is an experiment? What are the differences with other methods? What are the main steps in conducting a (good) experiment? (Do &amp; Don’t) The second part focuses on experiments and metaphor studies. The last part of the workshop will present concrete examples of studies as well as a group discussion on a specific case, aiming at fostering discussions among participants. If possible, we would like to invite the participants to this workshop to have a look at the three following articles (email francois.randour@uclouvain.be if you want access to the articles ). - Steen, Reijnierse, Burgers (2014) ; Boeynaems, Burgers, Konijn, Steen (2017); Perrez &amp; Reuchamps (2015) (articles used for the third part of the workshop).</w:t>
      </w:r>
    </w:p>
    <w:p>
      <w:pPr/>
      <w:r>
        <w:rPr>
          <w:b/>
        </w:rPr>
        <w:t>POSSIBLE 2018:</w:t>
      </w:r>
      <w:r>
        <w:t xml:space="preserve"> Teaching Methodology for IoT Workshop Course Using Node-RED — https://doi.org/10.1109/ic3.2018.8530664</w:t>
      </w:r>
    </w:p>
    <w:p>
      <w:pPr/>
      <w:r>
        <w:rPr>
          <w:b/>
        </w:rPr>
        <w:t>Shared claim-specific concepts:</w:t>
      </w:r>
      <w:r>
        <w:t xml:space="preserve"> workshop, methodology, highly; EU scope not established. This is a provisional connection, not an outcome finding.</w:t>
      </w:r>
    </w:p>
    <w:p>
      <w:pPr>
        <w:pStyle w:val="SourceNote"/>
      </w:pPr>
      <w:r>
        <w:rPr>
          <w:b/>
        </w:rPr>
        <w:t>Available abstract (not full text):</w:t>
      </w:r>
      <w:r>
        <w:t xml:space="preserve"> In recent years, due to the expected exponential growth of Internet of Things (IoT), there is huge demand for adapting IoT in many key situations like day to day life, Industries, Healthcare systems, education systems, smart cites, smart grid, etc. It is also clearly evident that, IoT technology generates huge demand for job opportunities and revenues particularly in the Information technology sector. Thus, there is definite raising demand for IoT professionals. This aspect is highly motivating to teach IoT course as one the major courses for undergraduate engineering students at Universities. IoT is an amalgamation of hardware and software, the students should be exposed to learn and harness their skills in both concepts and technology thoroughly. In this paper, we proposed once such state-of-art laboratory based IoT course named IoT workshop and is offered for the undergraduate engineering students. In this paper, we discuss our experience to highlight need for IoT course, using Node-RED visual programming language, course content, learning objectives, assessment of course, and project ideas.</w:t>
      </w:r>
    </w:p>
    <w:p>
      <w:pPr>
        <w:pStyle w:val="Heading2"/>
      </w:pPr>
      <w:r>
        <w:t>810.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r>
        <w:rPr>
          <w:b/>
        </w:rPr>
        <w:t>POSSIBLE 2022:</w:t>
      </w:r>
      <w:r>
        <w:t xml:space="preserve"> Education as a System: The Content of the Foresight Methodology — https://doi.org/10.25205/2541-7517-2022-20-2-68-78</w:t>
      </w:r>
    </w:p>
    <w:p>
      <w:pPr/>
      <w:r>
        <w:rPr>
          <w:b/>
        </w:rPr>
        <w:t>Shared claim-specific concepts:</w:t>
      </w:r>
      <w:r>
        <w:t xml:space="preserve"> foresight, system, society; EU scope not established. This is a provisional connection, not an outcome finding.</w:t>
      </w:r>
    </w:p>
    <w:p>
      <w:pPr>
        <w:pStyle w:val="SourceNote"/>
      </w:pPr>
      <w:r>
        <w:rPr>
          <w:b/>
        </w:rPr>
        <w:t>Available abstract (not full text):</w:t>
      </w:r>
      <w:r>
        <w:t xml:space="preserve"> The article reveals the substantive aspects of the Foresight methodology of social forecasting of the devel­opment of the education system as a complex, dynamic, open system from the point of view of a systematic approach. It is assumed that the education system is a central social institution, which, being associated with the transmission of knowledge, has to, in order to form a holistic personality of human beings, also support its own systemic complexity, as well as correspond to the complexity of the entire structure of society. The paper emphasizes some substantive difficulties in the work of experts in the framework of Foresight studies, as well as the need to take into account the value aspect when predicting the education of the future.</w:t>
      </w:r>
    </w:p>
    <w:p>
      <w:pPr/>
      <w:r>
        <w:rPr>
          <w:b/>
        </w:rPr>
        <w:t>POSSIBLE 2022:</w:t>
      </w:r>
      <w:r>
        <w:t xml:space="preserve"> Foresight as a Strategic Management Tool in the ICT Industry — https://doi.org/10.32983/2222-4459-2022-10-225-230</w:t>
      </w:r>
    </w:p>
    <w:p>
      <w:pPr/>
      <w:r>
        <w:rPr>
          <w:b/>
        </w:rPr>
        <w:t>Shared claim-specific concepts:</w:t>
      </w:r>
      <w:r>
        <w:t xml:space="preserve"> foresight, system, expert, strategic, innovative, identification; EU scope not established. This is a provisional connection, not an outcome finding.</w:t>
      </w:r>
    </w:p>
    <w:p>
      <w:pPr>
        <w:pStyle w:val="SourceNote"/>
      </w:pPr>
      <w:r>
        <w:rPr>
          <w:b/>
        </w:rPr>
        <w:t>Available abstract (not full text):</w:t>
      </w:r>
      <w:r>
        <w:t xml:space="preserve"> Foresight, as one of the most effective tools of strategic management, logically fits into the system of strategizing, which determines the relevance and actuality of the presented study. The desire to exchange traditions and management practices, along with consideration of scale, also contribute to the development of strategic management, in particular, foresight management. The purpose of the publication is to identify the essence of the available foresight studies and the possibilities of introducing their results in practice, in particular at the enterprises of the ICT industry. To achieve the purpose, general and special methods were used, such as methods of system analysis, analysis and synthesis, empirical methods of comparison and generalization, case method. The task is set as follows: studying the practice of application of foresight methodology in the ICT industry. The article considers the content and features of foresight as a tool of strategic management of enterprise development used to ensure their competitiveness. The purpose of the practical application of foresight is the implementation of strategic long-term forecasting, which is formed on the basis of expert opinions, analyses of factors, identification of stakeholders, displaying alternative trends in the development of enterprise, allowing to form development scenarios and implement the chosen strategy. </w:t>
      </w:r>
    </w:p>
    <w:p>
      <w:pPr/>
      <w:r>
        <w:rPr>
          <w:b/>
        </w:rPr>
        <w:t>POSSIBLE 2021:</w:t>
      </w:r>
      <w:r>
        <w:t xml:space="preserve"> On the Application of Foresight in Education for Sustainable Development — https://doi.org/10.21209/2658-7114-2021-16-4-55-64</w:t>
      </w:r>
    </w:p>
    <w:p>
      <w:pPr/>
      <w:r>
        <w:rPr>
          <w:b/>
        </w:rPr>
        <w:t>Shared claim-specific concepts:</w:t>
      </w:r>
      <w:r>
        <w:t xml:space="preserve"> foresight, system, directions, innovative, technological; EU scope not established. This is a provisional connection, not an outcome finding.</w:t>
      </w:r>
    </w:p>
    <w:p>
      <w:pPr>
        <w:pStyle w:val="SourceNote"/>
      </w:pPr>
      <w:r>
        <w:rPr>
          <w:b/>
        </w:rPr>
        <w:t>Available abstract (not full text):</w:t>
      </w:r>
      <w:r>
        <w:t xml:space="preserve"> Education is the most important mechanism for achieving the Sustainable Development Goals (SDGs). One of the methodological difficulties in the implementation of education for sustainable development (ESD) is associated with its proactive, predictive nature. In this regard, when designing ESD, it seems appropriate to use technologies of futurology, particularly, the technology of foresight. The article considers the main features of foresight and examples of its application in Russian education. The results of the foresight session on the design of ESD as an innovative pedagogical system and the development of a “roadmap” for the implementation of ESD in the Russian Federation for the period until 2030 are presented. 14 experts took part in this work (21 % are with D. Sc. degree, 50 % are with Ph. D. degree; average teaching experience is 17,4 years, including 12,6 years in the field of ESD). During the STEEPV analysis, we identified the main social, technological, economic, environmental, political, and value-based factors that will affect both the education system in general and ESD in particular. The SWOT analysis allowed us to determine the characteristic features of ESD, regarding its strengths and weaknesses, opportunities, and threats. In the brainstorming mode, the main elements of the ESD roadmap for the next 10 years (trends, technologies, formats / social practices, </w:t>
      </w:r>
    </w:p>
    <w:p>
      <w:pPr/>
      <w:r>
        <w:rPr>
          <w:b/>
        </w:rPr>
        <w:t>POSSIBLE 2020:</w:t>
      </w:r>
      <w:r>
        <w:t xml:space="preserve"> Foresight research in management accounting: scenario forecasting and a comprehensive system of expert assessment methods in agricultural holdings — https://doi.org/10.34069/ai/2020.29.05.22</w:t>
      </w:r>
    </w:p>
    <w:p>
      <w:pPr/>
      <w:r>
        <w:rPr>
          <w:b/>
        </w:rPr>
        <w:t>Shared claim-specific concepts:</w:t>
      </w:r>
      <w:r>
        <w:t xml:space="preserve"> foresight, system, expert, strategic, long-term, perspective; EU scope not established. This is a provisional connection, not an outcome finding.</w:t>
      </w:r>
    </w:p>
    <w:p>
      <w:pPr>
        <w:pStyle w:val="SourceNote"/>
      </w:pPr>
      <w:r>
        <w:rPr>
          <w:b/>
        </w:rPr>
        <w:t>Available abstract (not full text):</w:t>
      </w:r>
      <w:r>
        <w:t xml:space="preserve"> Foresight research in management accounting should be aimed at solving long-term perspective issues. A set of systems and methods of expert assessment is selected or developed in the course of such studies. The managerial staff of an economic entity with the authority to make strategic decisions develop forecast scenarios taking into account the opinions of competent experts involved in the economic field under consideration. Based on the fact that there can be many options for an economic future, they jointly discuss and develop a coordinated idea of which option for future economic development is most preferable for an agricultural holding, taking into account the variability of the economic situation.The subject of the study is the improvement of management accounting in the part of Foresight research in agricultural holdings with a comprehensive assessment of the effectiveness of the management of the activities of its agricultural organizations. In modern times, agricultural holdings can change the situation through competent management accounting, since competent management accounting allows companies to consolidate their activities, thereby giving good development to agriculture, both financially and in attracting highly qualified specialists, as well as the country's food security. In accordance with this goal, the main task was determined: to develop the mechanisms of </w:t>
      </w:r>
    </w:p>
    <w:p>
      <w:pPr/>
      <w:r>
        <w:rPr>
          <w:b/>
        </w:rPr>
        <w:t>POSSIBLE 2020:</w:t>
      </w:r>
      <w:r>
        <w:t xml:space="preserve"> Resilience and transformation - Report of the 5th SCAR Foresight Exercise Expert Group - Natural resources and food systems: Transitions towards a ‘safe and just’ operating space — https://doi.org/10.2777/717705</w:t>
      </w:r>
    </w:p>
    <w:p>
      <w:pPr/>
      <w:r>
        <w:rPr>
          <w:b/>
        </w:rPr>
        <w:t>Shared claim-specific concepts:</w:t>
      </w:r>
      <w:r>
        <w:t xml:space="preserve"> foresight, expert; EU scope visible. This is a provisional connection, not an outcome finding.</w:t>
      </w:r>
    </w:p>
    <w:p>
      <w:pPr>
        <w:pStyle w:val="SourceNote"/>
      </w:pPr>
      <w:r>
        <w:rPr>
          <w:b/>
        </w:rPr>
        <w:t>Available abstract (not full text):</w:t>
      </w:r>
      <w:r>
        <w:t xml:space="preserve"> Resilience and transformationReport of the 5th SCAR Foresight Exercise Expert Group Natural resources and food systems: Transitions towards a 'safe and just' operating space RESILIENCE AND TRANSFORMATION Report of the 5th SCAR Foresight Exercise Expert Group -Natural resources and food systems: Transitions towards a 'safe and just' operating space European Commission Directorate-General for Research and Innovation Directorate C -Healthy Planet Unit C5 -Ecological and Social Transitions</w:t>
      </w:r>
    </w:p>
    <w:p>
      <w:pPr/>
      <w:r>
        <w:rPr>
          <w:b/>
        </w:rPr>
        <w:t>POSSIBLE 2019:</w:t>
      </w:r>
      <w:r>
        <w:t xml:space="preserve"> Expert assessment method in foresight studies — https://doi.org/10.21686/2500-3925-2019-4-4-13</w:t>
      </w:r>
    </w:p>
    <w:p>
      <w:pPr/>
      <w:r>
        <w:rPr>
          <w:b/>
        </w:rPr>
        <w:t>Shared claim-specific concepts:</w:t>
      </w:r>
      <w:r>
        <w:t xml:space="preserve"> foresight, expert; EU scope not established. This is a provisional connection, not an outcome finding.</w:t>
      </w:r>
    </w:p>
    <w:p>
      <w:pPr>
        <w:pStyle w:val="SourceNote"/>
      </w:pPr>
      <w:r>
        <w:rPr>
          <w:b/>
        </w:rPr>
        <w:t>Available abstract (not full text):</w:t>
      </w:r>
      <w:r>
        <w:t xml:space="preserve"> Purpose of the study. The main goal of this research is to identify key aspects of expert assessments and offer high-quality recommendations for their improvement. Materials and methods. Foresight is built on the basis of expert assessment method, includes: active formation of the image of the future instead of its probabilistic prediction, focus on identifying key development priorities, participation in the study of key stakeholders, the relationship with the management decision-making process. The methods of analysis used in the work suggest methods of theoretical research in the form of analysis and modeling. In the course of the research, the following tasks were solved: firstly, the Expert model was formed based on the necessary and sufficient criteria for selecting respondents to the foresight study; secondly, the main characteristics of the Delphi method for consensus decisions in expert groups were identified. The research work considers various sources of information, which became the basis for the further development of the Expert model, based on an integrated approach based on the statistical, sociological and economic fields of science. Results. On the basis of bibliometric analysis, important criteria for the selection of experts were highlighted: a practical component, a theoretical component, a creative component, an assessment of belonging to a field of study, </w:t>
      </w:r>
    </w:p>
    <w:p>
      <w:pPr/>
      <w:r>
        <w:rPr>
          <w:b/>
        </w:rPr>
        <w:t>POSSIBLE 2018:</w:t>
      </w:r>
      <w:r>
        <w:t xml:space="preserve"> Scientific Foresight and Cognitive Modeling of Socio-Economic Systems — https://doi.org/10.1016/j.ifacol.2018.11.264</w:t>
      </w:r>
    </w:p>
    <w:p>
      <w:pPr/>
      <w:r>
        <w:rPr>
          <w:b/>
        </w:rPr>
        <w:t>Shared claim-specific concepts:</w:t>
      </w:r>
      <w:r>
        <w:t xml:space="preserve"> foresight, system; EU scope not established. This is a provisional connection, not an outcome finding.</w:t>
      </w:r>
    </w:p>
    <w:p>
      <w:pPr>
        <w:pStyle w:val="SourceNote"/>
      </w:pPr>
      <w:r>
        <w:rPr>
          <w:b/>
        </w:rPr>
        <w:t>Available abstract (not full text):</w:t>
      </w:r>
      <w:r>
        <w:t xml:space="preserve"> The article suggests using the methodology of cognitive modeling of complex systems (social, economic, ecological, political, socio-technical) as a tool for foresight. The methodology of cognitive modeling is briefly presented. The methodology is a system of methods for developing cognitive models, researching their structural properties, stability, scenario analysis, foresight, etc. With the help of the software system of cognitive modeling, it is possible to model and analyze a large number of structures and variants of behavior of a complex system, much more than the experts can come up with on their own. An example of the application of the methodology and the corresponding program system CMLS for studying the problems of the quality of life of youth is given.</w:t>
      </w:r>
    </w:p>
    <w:p>
      <w:pPr/>
      <w:r>
        <w:rPr>
          <w:b/>
        </w:rPr>
        <w:t>POSSIBLE 2018:</w:t>
      </w:r>
      <w:r>
        <w:t xml:space="preserve"> Foresight as Technology of Strategic Planning — https://openalex.org/W4300057926</w:t>
      </w:r>
    </w:p>
    <w:p>
      <w:pPr/>
      <w:r>
        <w:rPr>
          <w:b/>
        </w:rPr>
        <w:t>Shared claim-specific concepts:</w:t>
      </w:r>
      <w:r>
        <w:t xml:space="preserve"> foresight, system, strategic; EU scope not established. This is a provisional connection, not an outcome finding.</w:t>
      </w:r>
    </w:p>
    <w:p>
      <w:pPr>
        <w:pStyle w:val="SourceNote"/>
      </w:pPr>
      <w:r>
        <w:rPr>
          <w:b/>
        </w:rPr>
        <w:t>Available abstract (not full text):</w:t>
      </w:r>
      <w:r>
        <w:t xml:space="preserve"> The scientific novelty of the author’s approach is that foresight is regarded as a technology development and monitoring the implementation of the most important documents of strategic planning of urban development. The theoretical basis of the methodology defined by the concept of creative foresight of the city and smart city, allowing to characterize the urban space from the point of view of building a post-industrial development. Proposals to improve the functioning of the system of strategic planning of St. Petersburg, including - the recommendation to expand the panel of experts through the inclusion of a number of groups of representatives of creative and smart dimensions of the urban environment</w:t>
      </w:r>
    </w:p>
    <w:p>
      <w:pPr/>
      <w:r>
        <w:rPr>
          <w:b/>
        </w:rPr>
        <w:t>POSSIBLE 2017:</w:t>
      </w:r>
      <w:r>
        <w:t xml:space="preserve"> Energy storage systems in the future German electricity system: A literature review and expert interviews based foresight approach — https://openalex.org/W3088129584</w:t>
      </w:r>
    </w:p>
    <w:p>
      <w:pPr/>
      <w:r>
        <w:rPr>
          <w:b/>
        </w:rPr>
        <w:t>Shared claim-specific concepts:</w:t>
      </w:r>
      <w:r>
        <w:t xml:space="preserve"> foresight, system, expert; EU scope not established. This is a provisional connection, not an outcome finding.</w:t>
      </w:r>
    </w:p>
    <w:p>
      <w:pPr>
        <w:pStyle w:val="SourceNote"/>
      </w:pPr>
      <w:r>
        <w:rPr>
          <w:b/>
        </w:rPr>
        <w:t>Available abstract (not full text):</w:t>
      </w:r>
      <w:r>
        <w:t xml:space="preserve"> Unavailable</w:t>
      </w:r>
    </w:p>
    <w:p>
      <w:pPr/>
      <w:r>
        <w:rPr>
          <w:b/>
        </w:rPr>
        <w:t>POSSIBLE 2017:</w:t>
      </w:r>
      <w:r>
        <w:t xml:space="preserve"> Energy storage in the future German electricity system: A literature review and expert interviews based foresight approach — https://openalex.org/W2996323402</w:t>
      </w:r>
    </w:p>
    <w:p>
      <w:pPr/>
      <w:r>
        <w:rPr>
          <w:b/>
        </w:rPr>
        <w:t>Shared claim-specific concepts:</w:t>
      </w:r>
      <w:r>
        <w:t xml:space="preserve"> foresight, system, expert; EU scope not established. This is a provisional connection, not an outcome finding.</w:t>
      </w:r>
    </w:p>
    <w:p>
      <w:pPr>
        <w:pStyle w:val="SourceNote"/>
      </w:pPr>
      <w:r>
        <w:rPr>
          <w:b/>
        </w:rPr>
        <w:t>Available abstract (not full text):</w:t>
      </w:r>
      <w:r>
        <w:t xml:space="preserve"> Unavailable</w:t>
      </w:r>
    </w:p>
    <w:p>
      <w:pPr>
        <w:pStyle w:val="Heading2"/>
      </w:pPr>
      <w:r>
        <w:t>811.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r>
        <w:rPr>
          <w:b/>
        </w:rPr>
        <w:t>POSSIBLE 2019:</w:t>
      </w:r>
      <w:r>
        <w:t xml:space="preserve"> Inclusion of Unemployed People at Social Risk and Private Training Markets in Ireland, Portugal, and Spain — https://doi.org/10.1007/978-3-319-94532-3_108</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Social protection and activation for the unemployed — https://doi.org/10.4324/9781315198422-16</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importance of the level of social protection during unemployment, in terms of the willingness of the unemployed to take up work, is by no means uncontroversial. Activation for the unemployed has become increasingly important in recent years, both in Germany and in numerous other European countries. There are a number of different approaches and strategies regarding activation for the unemployed; primarily these focus either on material pressures and constraints, or on effective advice and support for the unemployed. The fundamentally existing starting points and strategies that play a role in the context of activation for the unemployed will be analyzed in a more differentiated fashion. A further approach in the activation for the unemployed is the intensive advice and guidance provided for unemployed people. The increased involvement of third parties already envisaged in the Job-AQTIV law is to contribute to expanding the capacity for employee placement and advice for the unemployed.</w:t>
      </w:r>
    </w:p>
    <w:p>
      <w:pPr/>
      <w:r>
        <w:rPr>
          <w:b/>
        </w:rPr>
        <w:t>POSSIBLE 2018:</w:t>
      </w:r>
      <w:r>
        <w:t xml:space="preserve"> Inclusion of Unemployed People at Social Risk and Private Training Markets in Ireland, Portugal, and Spain — https://doi.org/10.1007/978-3-319-49789-1_108-1</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2017:</w:t>
      </w:r>
      <w:r>
        <w:t xml:space="preserve"> Self-placement of the Unemployed in the Social Hierarchy. Evidence from European Countries — https://openalex.org/W2908493705</w:t>
      </w:r>
    </w:p>
    <w:p>
      <w:pPr/>
      <w:r>
        <w:rPr>
          <w:b/>
        </w:rPr>
        <w:t>Shared claim-specific concepts:</w:t>
      </w:r>
      <w:r>
        <w:t xml:space="preserve"> recent, unemployed, people; EU scope visible. This is a provisional connection, not an outcome finding.</w:t>
      </w:r>
    </w:p>
    <w:p>
      <w:pPr>
        <w:pStyle w:val="SourceNote"/>
      </w:pPr>
      <w:r>
        <w:rPr>
          <w:b/>
        </w:rPr>
        <w:t>Available abstract (not full text):</w:t>
      </w:r>
      <w:r>
        <w:t xml:space="preserve"> Unemployment has risen during the recent recession. However, the experience of unemployment varies considerably across European countries (Gallie 2013b). To study the \nunemployment experience in different European countries, a social exclusion approach was combined with a social stratification approach utilizing a measure of subjective social position which indicates how people perceive their relative position in the social hierarchy. In evaluating their social position people make comparisons within societal contexts. We hypothesize that the country-level economic and institutional context impacts the experience of unemployment, the way people interpret it, and thus affects the subjective social position of the unemployed. Our main goal was to study the impact of different macro-level economic and social characteristics on the subjective social position of the unemployed. We focused on a comparison of the subjective social position of unemployed persons against the remaining populations of 18 European countries using data from the International Social Survey Programme (ISSP) 2009 Social Inequality module.</w:t>
      </w:r>
    </w:p>
    <w:p>
      <w:pPr/>
      <w:r>
        <w:rPr>
          <w:b/>
        </w:rPr>
        <w:t>POSSIBLE 2016:</w:t>
      </w:r>
      <w:r>
        <w:t xml:space="preserve"> Explaining Perceptions of the Unemployed in Europe — https://openalex.org/W2489991810</w:t>
      </w:r>
    </w:p>
    <w:p>
      <w:pPr/>
      <w:r>
        <w:rPr>
          <w:b/>
        </w:rPr>
        <w:t>Shared claim-specific concepts:</w:t>
      </w:r>
      <w:r>
        <w:t xml:space="preserve"> number, unemployed, people; EU scope visible. This is a provisional connection, not an outcome finding.</w:t>
      </w:r>
    </w:p>
    <w:p>
      <w:pPr>
        <w:pStyle w:val="SourceNote"/>
      </w:pPr>
      <w:r>
        <w:rPr>
          <w:b/>
        </w:rPr>
        <w:t>Available abstract (not full text):</w:t>
      </w:r>
      <w:r>
        <w:t xml:space="preserve"> This article explores the determinants of the perceptions of the unemployed in 29 European countries along three dimensions: whether people see the unemployed as the ‘government’s responsibility’; whether they believe the unemployed do not ‘try hard to find a job’; and whether they think that the standard of living of the unemployed is ‘bad’. I derive a number of expectations from the political economy literature on policy preferences and test whether these expectations explain variation in the perceptions of the unemployed. Using logistic regression analysis, I find that labour market status and occupations influence individuals’ perceptions of the unemployed. For instance, the unemployed and workers in low skill occupations are most likely to think that the government is responsible for the standard of living of the unemployed. However, certain factors such as gender, occupations, education, and union membership affect distinct types of perceptions differently. The determinants of policy preferences help us make sense of perceptions of the unemployed but certain factors affect different types of perceptions in distinct ways.</w:t>
      </w:r>
    </w:p>
    <w:p>
      <w:pPr>
        <w:pStyle w:val="Heading2"/>
      </w:pPr>
      <w:r>
        <w:t>812.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2022:</w:t>
      </w:r>
      <w:r>
        <w:t xml:space="preserve"> The health potential of urban water: Future scenarios on local risks and opportunities — https://doi.org/10.1016/j.cities.2022.103639</w:t>
      </w:r>
    </w:p>
    <w:p>
      <w:pPr/>
      <w:r>
        <w:rPr>
          <w:b/>
        </w:rPr>
        <w:t>Shared claim-specific concepts:</w:t>
      </w:r>
      <w:r>
        <w:t xml:space="preserve"> integrated, health, impacts, explores, population, climate; EU scope visible. This is a provisional connection, not an outcome finding.</w:t>
      </w:r>
    </w:p>
    <w:p>
      <w:pPr>
        <w:pStyle w:val="SourceNote"/>
      </w:pPr>
      <w:r>
        <w:rPr>
          <w:b/>
        </w:rPr>
        <w:t>Available abstract (not full text):</w:t>
      </w:r>
      <w:r>
        <w:t xml:space="preserve"> Although cities can be characterised as sources of economic, environmental and social challenges, they can also be part of the solution for healthy and sustainable societies. While most cities are situated close to water, whether inland waterways, lakes, or the sea, these blue spaces are not integrated into urban planning to their full potential and their public health impacts are not always recognised by planning authorities. Furthermore, cities face future challenges regarding climate change, socio-economic developments like tourism, urbanization, and rising social inequalities. The development of healthy blue spaces can support cities in their pursuit of ways to confront these challenges. Interdisciplinary and transdisciplinary analyses of the local impacts of these trends and promising interventions have been scarce to date. This study explores the use of such methodology by presenting experiences related to five European cities: Amsterdam, Barcelona, Plymouth, Tallinn and Thessaloniki, using an interactive and participative approach with local experts and stakeholders. Future scenarios have been developed based on the question: How can blue spaces contribute to a healthier city population, given the long term trends? The results highlight the importance of addressing the local context when seeking sustainable solutions for cities. The future scenarios deliver information t</w:t>
      </w:r>
    </w:p>
    <w:p>
      <w:pPr/>
      <w:r>
        <w:rPr>
          <w:b/>
        </w:rPr>
        <w:t>POSSIBLE 2021:</w:t>
      </w:r>
      <w:r>
        <w:t xml:space="preserve"> Tracking progress on health and climate change in Europe — https://doi.org/10.1016/s2468-2667(21)00207-3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Left unabated, climate change will have catastrophic effects on the health of present and future generations. Such effects are already seen in Europe, through more frequent and severe extreme weather events, alterations to water and food systems, and changes in the environmental suitability for infectious diseases. As one of the largest current and historical contributors to greenhouse gases and the largest provider of financing for climate change mitigation and adaptation, Europe's response is crucial, for both human health and the planet. To ensure that health and wellbeing are protected in this response it is essential to build the capacity to understand, monitor, and quantify health impacts of climate change and the health co-benefits of accelerated action. Responding to this need, the Lancet Countdown in Europe is established as a transdisciplinary research collaboration for monitoring progress on health and climate change in Europe. With the wealth of data and academic expertise available in Europe, the collaboration will develop region-specific indicators to address the main challenges and opportunities of Europe's response to climate change for health. The indicators produced by the collaboration will provide information to health and climate policy decision making, and will also contribute to the European Observatory on Climate and Health.</w:t>
      </w:r>
    </w:p>
    <w:p>
      <w:pPr/>
      <w:r>
        <w:rPr>
          <w:b/>
        </w:rPr>
        <w:t>POSSIBLE 2021:</w:t>
      </w:r>
      <w:r>
        <w:t xml:space="preserve"> The European Blueprint on Digital Transformation of Health and Care for the Ageing Society — https://doi.org/10.5334/ijic.icic20404</w:t>
      </w:r>
    </w:p>
    <w:p>
      <w:pPr/>
      <w:r>
        <w:rPr>
          <w:b/>
        </w:rPr>
        <w:t>Shared claim-specific concepts:</w:t>
      </w:r>
      <w:r>
        <w:t xml:space="preserve"> integrated, health, population; EU scope visible. This is a provisional connection, not an outcome finding.</w:t>
      </w:r>
    </w:p>
    <w:p>
      <w:pPr>
        <w:pStyle w:val="SourceNote"/>
      </w:pPr>
      <w:r>
        <w:rPr>
          <w:b/>
        </w:rPr>
        <w:t>Available abstract (not full text):</w:t>
      </w:r>
      <w:r>
        <w:t xml:space="preserve"> The European Blueprint on Digital Transformation of Health and Care for the Ageing Society, funded as part of the WE4AHA project under the European Commission's digital single market strategy, reflects a shared policy vision on how innovation can transform health and care provision in our ageing society. The Blueprint has centred its work on 12 personas, which were developed to enable the European Innovation Partnership on Active and Healthy Ageing (EIP on AHA) to envision realistic health and care needs of particular groups in society. The concept of “personas” was initially used by technology providers to enable the design of user-friendly solutions based on a deeper understanding of how a target user will interact with particular technologies . The Blueprint furthered this concept by developing an approach that encompasses the perspective of different actors, beginning with the perspective of the citizen or patient rather the industry representatives. The resulting persona profiles include not only their health and care needs at their particular life stage, but also their personal aspects such as family, interests and hobbies, and daily living, as well as behavioural characteristics, which have been found to affect both short- and long-term success with interventions directed toward managing a disease or adopting wellness . The Blueprint personas have already been successful</w:t>
      </w:r>
    </w:p>
    <w:p>
      <w:pPr/>
      <w:r>
        <w:rPr>
          <w:b/>
        </w:rPr>
        <w:t>POSSIBLE 2020:</w:t>
      </w:r>
      <w:r>
        <w:t xml:space="preserve"> The Impact of Decarbonization Scenarios on Air Quality and Human Health in Poland—Analysis of Scenarios up to 2050 — https://doi.org/10.3390/atmos11111222</w:t>
      </w:r>
    </w:p>
    <w:p>
      <w:pPr/>
      <w:r>
        <w:rPr>
          <w:b/>
        </w:rPr>
        <w:t>Shared claim-specific concepts:</w:t>
      </w:r>
      <w:r>
        <w:t xml:space="preserve"> integrated, health, impacts, population, heat, three; EU scope visible. This is a provisional connection, not an outcome finding.</w:t>
      </w:r>
    </w:p>
    <w:p>
      <w:pPr>
        <w:pStyle w:val="SourceNote"/>
      </w:pPr>
      <w:r>
        <w:rPr>
          <w:b/>
        </w:rPr>
        <w:t>Available abstract (not full text):</w:t>
      </w:r>
      <w:r>
        <w:t xml:space="preserve"> Poland faces two great challenges in the field of environment and atmosphere protection: improving air quality, especially by reducing particulate matter (PM) emissions, and reducing relatively high greenhouse gas emissions. The aim of this research was to investigate how the fuel and technological transformations in the power, road transport, and household and tertiary sectors aimed at reducing carbon dioxide (CO2) emissions in Poland would affect air quality, human health, and the associated external costs. The study was conducted for 2050 while considering 2015 as the base year. Ambient PM2.5 (particles with a diameter of less than 2.5 µm) concentration was used as a proxy air quality indicator. The analysis was based on decarbonization scenarios developed within the REFLEX Project (Analysis of the European energy system under the aspects of flexibility and technological progress). The three scenarios of the REFLEX Project focused on the reduction of CO2 emissions up to 2050 from various sectors, mainly by the means of fuel and technological switches. This also led to the changes in the emission levels of pollutants that directly affect air quality, which were calculated with the use of fuel- and technology-specific emission factors. Next, for each emission scenario, ambient concentrations of PM2.5 and others pollutants were calculated with the use of the Polyphemus—an Euler</w:t>
      </w:r>
    </w:p>
    <w:p>
      <w:pPr/>
      <w:r>
        <w:rPr>
          <w:b/>
        </w:rPr>
        <w:t>POSSIBLE 2019:</w:t>
      </w:r>
      <w:r>
        <w:t xml:space="preserve"> Digital Health Transformation of Integrated Care in Europe: Overarching Analysis of 17 Integrated Care Programs — https://doi.org/10.2196/14956</w:t>
      </w:r>
    </w:p>
    <w:p>
      <w:pPr/>
      <w:r>
        <w:rPr>
          <w:b/>
        </w:rPr>
        <w:t>Shared claim-specific concepts:</w:t>
      </w:r>
      <w:r>
        <w:t xml:space="preserve"> integrated, health, assessment, observed; EU scope visible. This is a provisional connection, not an outcome finding.</w:t>
      </w:r>
    </w:p>
    <w:p>
      <w:pPr>
        <w:pStyle w:val="SourceNote"/>
      </w:pPr>
      <w:r>
        <w:rPr>
          <w:b/>
        </w:rPr>
        <w:t>Available abstract (not full text):</w:t>
      </w:r>
      <w:r>
        <w:t xml:space="preserve"> BACKGROUND: Digital health tools comprise a wide range of technologies to support health processes. The potential of these technologies to effectively support health care transformation is widely accepted. However, wide scale implementation is uneven among countries and regions. Identification of common factors facilitating and hampering the implementation process may be useful for future policy recommendations. OBJECTIVE: The aim of this study was to analyze the implementation of digital health tools to support health care and social care services, as well as to facilitate the longitudinal assessment of these services, in 17 selected integrated chronic care (ICC) programs from 8 European countries. METHODS: A program analysis based on thick descriptions-including document examinations and semistructured interviews with relevant stakeholders-of ICC programs in Austria, Croatia, Germany, Hungary, the Netherlands, Norway, Spain, and the United Kingdom was performed. A total of 233 stakeholders (ie, professionals, providers, patients, carers, and policymakers) were interviewed from November 2014 to September 2016. The overarching analysis focused on the use of digital health tools and program assessment strategies. RESULTS: Supporting digital health tools are implemented in all countries, but different levels of maturity were observed among the programs. Only few ICC programs have</w:t>
      </w:r>
    </w:p>
    <w:p>
      <w:pPr/>
      <w:r>
        <w:rPr>
          <w:b/>
        </w:rPr>
        <w:t>POSSIBLE 2017:</w:t>
      </w:r>
      <w:r>
        <w:t xml:space="preserve"> Climate change impacts on human health over Europe through its effect on air quality — https://doi.org/10.1186/s12940-017-0325-2</w:t>
      </w:r>
    </w:p>
    <w:p>
      <w:pPr/>
      <w:r>
        <w:rPr>
          <w:b/>
        </w:rPr>
        <w:t>Shared claim-specific concepts:</w:t>
      </w:r>
      <w:r>
        <w:t xml:space="preserve"> health, impacts, assessment, due, heat, relationships; EU scope visible. This is a provisional connection, not an outcome finding.</w:t>
      </w:r>
    </w:p>
    <w:p>
      <w:pPr>
        <w:pStyle w:val="SourceNote"/>
      </w:pPr>
      <w:r>
        <w:rPr>
          <w:b/>
        </w:rPr>
        <w:t>Available abstract (not full text):</w:t>
      </w:r>
      <w:r>
        <w:t xml:space="preserve"> This review examines the current literature on the effects of future emissions and climate change on particulate matter (PM) and O 3 air quality and on the consequent health impacts, with a focus on Europe. There is considerable literature on the effects of climate change on O 3 but fewer studies on the effects of climate change on PM concentrations. Under the latest Intergovernmental Panel on Climate Change (IPCC) 5th assessment report (AR5) Representative Concentration Pathways (RCPs), background O 3 entering Europe is expected to decrease under most scenarios due to higher water vapour concentrations in a warmer climate. However, under the extreme pathway RCP8.5 higher (more than double) methane (CH 4 ) abundances lead to increases in background O 3 that offset the O 3 decrease due to climate change especially for the 2100 period. Regionally, in polluted areas with high levels of nitrogen oxides (NO x ), elevated surface temperatures and humidities yield increases in surface O 3 – termed the O 3 climate penalty – especially in southern Europe. The O 3 response is larger for metrics that represent the higher end of the O 3 distribution, such as daily maximum O 3 . Future changes in PM concentrations due to climate change are much less certain, although several recent studies also suggest a PM climate penalty due to high temperatures and humidity and reduced precipitation in n</w:t>
      </w:r>
    </w:p>
    <w:p>
      <w:pPr/>
      <w:r>
        <w:rPr>
          <w:b/>
        </w:rPr>
        <w:t>POSSIBLE 2016:</w:t>
      </w:r>
      <w:r>
        <w:t xml:space="preserve"> Environmental impacts of high penetration renewable energy scenarios for Europe — https://doi.org/10.1088/1748-9326/11/1/014012</w:t>
      </w:r>
    </w:p>
    <w:p>
      <w:pPr/>
      <w:r>
        <w:rPr>
          <w:b/>
        </w:rPr>
        <w:t>Shared claim-specific concepts:</w:t>
      </w:r>
      <w:r>
        <w:t xml:space="preserve"> impacts, heat, climate; EU scope visible. This is a provisional connection, not an outcome finding.</w:t>
      </w:r>
    </w:p>
    <w:p>
      <w:pPr>
        <w:pStyle w:val="SourceNote"/>
      </w:pPr>
      <w:r>
        <w:rPr>
          <w:b/>
        </w:rPr>
        <w:t>Available abstract (not full text):</w:t>
      </w:r>
      <w:r>
        <w:t xml:space="preserve"> The prospect of irreversible environmental alterations and an increasingly volatile climate pressurises societies to reduce greenhouse gas emissions, thereby mitigating climate change impacts. As global electricity demand continues to grow, particularly if considering a future with increased electrification of heat and transport sectors, the imperative to decarbonise our electricity supply becomes more urgent.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VRE curtailments and impacts caused by extra energy storage and transmission capabilities necessary in systems based on VRE are taken into account. The results show that systems based largely on VRE perform much better regarding climate change and other impact categories than the investigated systems based on fossil fuels. The climate change impacts from Europe for the year 2050 in a scenario using primarily natural gas are 1400 Tg CO 2 -eq while in a scenario using mostly coal with CCS the impacts are 480 Tg CO 2 -eq. Systems based </w:t>
      </w:r>
    </w:p>
    <w:p>
      <w:pPr/>
      <w:r>
        <w:rPr>
          <w:b/>
        </w:rPr>
        <w:t>POSSIBLE 2016:</w:t>
      </w:r>
      <w:r>
        <w:t xml:space="preserve"> Proposals for enhanced health risk assessment and stratification in an integrated care scenario — https://doi.org/10.1136/bmjopen-2015-010301</w:t>
      </w:r>
    </w:p>
    <w:p>
      <w:pPr/>
      <w:r>
        <w:rPr>
          <w:b/>
        </w:rPr>
        <w:t>Shared claim-specific concepts:</w:t>
      </w:r>
      <w:r>
        <w:t xml:space="preserve"> integrated, health, assessment, population; EU scope visible. This is a provisional connection, not an outcome finding.</w:t>
      </w:r>
    </w:p>
    <w:p>
      <w:pPr>
        <w:pStyle w:val="SourceNote"/>
      </w:pPr>
      <w:r>
        <w:rPr>
          <w:b/>
        </w:rPr>
        <w:t>Available abstract (not full text):</w:t>
      </w:r>
      <w:r>
        <w:t xml:space="preserve"> OBJECTIVES: Population-based health risk assessment and stratification are considered highly relevant for large-scale implementation of integrated care by facilitating services design and case identification. The principal objective of the study was to analyse five health-risk assessment strategies and health indicators used in the five regions participating in the Advancing Care Coordination and Telehealth Deployment (ACT) programme (http://www.act-programme.eu). The second purpose was to elaborate on strategies toward enhanced health risk predictive modelling in the clinical scenario. SETTINGS: The five ACT regions: Scotland (UK), Basque Country (ES), Catalonia (ES), Lombardy (I) and Groningen (NL). PARTICIPANTS: Responsible teams for regional data management in the five ACT regions. PRIMARY AND SECONDARY OUTCOME MEASURES: We characterised and compared risk assessment strategies among ACT regions by analysing operational health risk predictive modelling tools for population-based stratification, as well as available health indicators at regional level. The analysis of the risk assessment tool deployed in Catalonia in 2015 (GMAs, Adjusted Morbidity Groups) was used as a basis to propose how population-based analytics could contribute to clinical risk prediction. RESULTS: There was consensus on the need for a population health approach to generate health risk predictive modelli</w:t>
      </w:r>
    </w:p>
    <w:p>
      <w:pPr/>
      <w:r>
        <w:rPr>
          <w:b/>
        </w:rPr>
        <w:t>POSSIBLE 2016:</w:t>
      </w:r>
      <w:r>
        <w:t xml:space="preserve"> Health Impacts of Active Transportation in Europe — https://doi.org/10.1371/journal.pone.0149990</w:t>
      </w:r>
    </w:p>
    <w:p>
      <w:pPr/>
      <w:r>
        <w:rPr>
          <w:b/>
        </w:rPr>
        <w:t>Shared claim-specific concepts:</w:t>
      </w:r>
      <w:r>
        <w:t xml:space="preserve"> health, impacts, assessment, mortality; EU scope visible. This is a provisional connection, not an outcome finding.</w:t>
      </w:r>
    </w:p>
    <w:p>
      <w:pPr>
        <w:pStyle w:val="SourceNote"/>
      </w:pPr>
      <w:r>
        <w:rPr>
          <w:b/>
        </w:rPr>
        <w:t>Available abstract (not full text):</w:t>
      </w:r>
      <w:r>
        <w:t xml:space="preserve">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pStyle w:val="Heading2"/>
      </w:pPr>
      <w:r>
        <w:t>813.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probable, climate;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A probabilistic climate change assessment for Europe — https://doi.org/10.1002/joc.7604</w:t>
      </w:r>
    </w:p>
    <w:p>
      <w:pPr/>
      <w:r>
        <w:rPr>
          <w:b/>
        </w:rPr>
        <w:t>Shared claim-specific concepts:</w:t>
      </w:r>
      <w:r>
        <w:t xml:space="preserve"> impacts, climate, four;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2021:</w:t>
      </w:r>
      <w:r>
        <w:t xml:space="preserve"> Economic impacts of tipping points in the climate system — https://doi.org/10.1073/pnas.2103081118</w:t>
      </w:r>
    </w:p>
    <w:p>
      <w:pPr/>
      <w:r>
        <w:rPr>
          <w:b/>
        </w:rPr>
        <w:t>Shared claim-specific concepts:</w:t>
      </w:r>
      <w:r>
        <w:t xml:space="preserve"> probable, impacts, climate, integrated; EU scope not established. This is a provisional connection, not an outcome finding.</w:t>
      </w:r>
    </w:p>
    <w:p>
      <w:pPr>
        <w:pStyle w:val="SourceNote"/>
      </w:pPr>
      <w:r>
        <w:rPr>
          <w:b/>
        </w:rPr>
        <w:t>Available abstract (not full text):</w:t>
      </w:r>
      <w:r>
        <w:t xml:space="preserve"> Climate scientists have long emphasized the importance of climate tipping points like thawing permafrost, ice sheet disintegration, and changes in atmospheric circulation. Yet, save for a few fragmented studies, climate economics has either ignored them or represented them in highly stylized ways. We provide unified estimates of the economic impacts of all eight climate tipping points covered in the economic literature so far using a meta-analytic integrated assessment model (IAM) with a modular structure. The model includes national-level climate damages from rising temperatures and sea levels for 180 countries, calibrated on detailed econometric evidence and simulation modeling. Collectively, climate tipping points increase the social cost of carbon (SCC) by ∼25% in our main specification. The distribution is positively skewed, however. We estimate an ∼10% chance of climate tipping points more than doubling the SCC. Accordingly, climate tipping points increase global economic risk. A spatial analysis shows that they increase economic losses almost everywhere. The tipping points with the largest effects are dissociation of ocean methane hydrates and thawing permafrost. Most of our numbers are probable underestimates, given that some tipping points, tipping point interactions, and impact channels have not been covered in the literature so far; however, our method of structural </w:t>
      </w:r>
    </w:p>
    <w:p>
      <w:pPr/>
      <w:r>
        <w:rPr>
          <w:b/>
        </w:rPr>
        <w:t>POSSIBLE 2021:</w:t>
      </w:r>
      <w:r>
        <w:t xml:space="preserve"> Climate service derived indicators to assess the impact of climate change on local river assimilative capacity — https://doi.org/10.1016/j.cliser.2021.100250</w:t>
      </w:r>
    </w:p>
    <w:p>
      <w:pPr/>
      <w:r>
        <w:rPr>
          <w:b/>
        </w:rPr>
        <w:t>Shared claim-specific concepts:</w:t>
      </w:r>
      <w:r>
        <w:t xml:space="preserve"> probable, climate, water; EU scope visible. This is a provisional connection, not an outcome finding.</w:t>
      </w:r>
    </w:p>
    <w:p>
      <w:pPr>
        <w:pStyle w:val="SourceNote"/>
      </w:pPr>
      <w:r>
        <w:rPr>
          <w:b/>
        </w:rPr>
        <w:t>Available abstract (not full text):</w:t>
      </w:r>
      <w:r>
        <w:t xml:space="preserve"> Continental climate services provide information on essential climate variables and indicators, which can further be used to address challenges at the local scale. Climate impact indicators are the core data for evaluating the change of the assimilative capacity of the river systems under future projection scenarios. Here, the indicators from the Copernicus pan-European climate service are used to develop and showcase a water management information service for the Asopos River, Greece. River flow indicators are incorporated in the estimation of emission limit values which serve as environmental pressure indicators, for the reference and two future periods (early- and mid-century). Assimilative capacity is evaluated for six heavy metals, namely Cr, Cd, Cu, Pb, Ni and Zn. Socioeconomic indicators are also utilized to incorporate changes of economic activities in the assessment. Results from the large ensemble of 209 scenarios, consisting of different global circulation, regional climatic and impact model combinations as well as industrial activity evolution, indicate that a decrease (up to 33% of 209 scenarios) of assimilative capacity is more probable than an increase (up to 18% of the scenarios) in a future climate. Local industrial activity evolution also has an effect on the uncertainty of the results for the early-century period. We conclude that although climate impact indi</w:t>
      </w:r>
    </w:p>
    <w:p>
      <w:pPr/>
      <w:r>
        <w:rPr>
          <w:b/>
        </w:rPr>
        <w:t>POSSIBLE 2020:</w:t>
      </w:r>
      <w:r>
        <w:t xml:space="preserve"> A Review of the Potential Climate Change Impacts and Adaptation Options for European Viticulture — https://doi.org/10.3390/app10093092</w:t>
      </w:r>
    </w:p>
    <w:p>
      <w:pPr/>
      <w:r>
        <w:rPr>
          <w:b/>
        </w:rPr>
        <w:t>Shared claim-specific concepts:</w:t>
      </w:r>
      <w:r>
        <w:t xml:space="preserve"> impacts, climate; EU scope visible. This is a provisional connection, not an outcome finding.</w:t>
      </w:r>
    </w:p>
    <w:p>
      <w:pPr>
        <w:pStyle w:val="SourceNote"/>
      </w:pPr>
      <w:r>
        <w:rPr>
          <w:b/>
        </w:rPr>
        <w:t>Available abstract (not full text):</w:t>
      </w:r>
      <w:r>
        <w:t xml:space="preserve"> Viticulture and winemaking are important socioeconomic sectors in many European regions. Climate plays a vital role in the terroir of a given wine region, as it strongly controls canopy microclimate, vine growth, vine physiology, yield, and berry composition, which together determine wine attributes and typicity. New challenges are, however, predicted to arise from climate change, as grapevine cultivation is deeply dependent on weather and climate conditions. Changes in viticultural suitability over the last decades, for viticulture in general or the use of specific varieties, have already been reported for many wine regions. Despite spatially heterogeneous impacts, climate change is anticipated to exacerbate these recent trends on suitability for wine production. These shifts may reshape the geographical distribution of wine regions, while wine typicity may also be threatened in most cases. Changing climates will thereby urge for the implementation of timely, suitable, and cost-effective adaptation strategies, which should also be thoroughly planned and tuned to local conditions for an effective risk reduction. Although the potential of the different adaptation options is not yet fully investigated, deserving further research activities, their adoption will be of utmost relevance to maintain the socioeconomic and environmental sustainability of the highly valued viticulture an</w:t>
      </w:r>
    </w:p>
    <w:p>
      <w:pPr/>
      <w:r>
        <w:rPr>
          <w:b/>
        </w:rPr>
        <w:t>POSSIBLE 2018:</w:t>
      </w:r>
      <w:r>
        <w:t xml:space="preserve"> Climate change and the health impact of aflatoxins exposure in Portugal – an overview — https://doi.org/10.1080/19440049.2018.1447691</w:t>
      </w:r>
    </w:p>
    <w:p>
      <w:pPr/>
      <w:r>
        <w:rPr>
          <w:b/>
        </w:rPr>
        <w:t>Shared claim-specific concepts:</w:t>
      </w:r>
      <w:r>
        <w:t xml:space="preserve"> probable, climate, portugal; EU scope visible. This is a provisional connection, not an outcome finding.</w:t>
      </w:r>
    </w:p>
    <w:p>
      <w:pPr>
        <w:pStyle w:val="SourceNote"/>
      </w:pPr>
      <w:r>
        <w:rPr>
          <w:b/>
        </w:rPr>
        <w:t>Available abstract (not full text):</w:t>
      </w:r>
      <w:r>
        <w:t xml:space="preserve"> Climate change has been indicated as a driver for food safety issues worldwide, mainly due to the impact on the occurrence of food safety hazards at various stages of food chain. Mycotoxins, natural contaminants produced by fungi, are among the most important of such hazards. Aflatoxins, which have the highest acute and chronic toxicity of all mycotoxins, assume particular importance. A recent study predicted aflatoxin contamination in maize and wheat crops in Europe within the next 100 years and aflatoxin B1 is predicted to become a food safety issue in Europe, especially in the most probable scenario of climate change (+2°C). This review discusses the potential influence of climate change on the health risk associated to aflatoxins dietary exposure of Portuguese population. We estimated the burden of disease associated to the current aflatoxin exposure for Portuguese population in terms of Disability Adjusted Life Years (DALYs). It is expected that in the future the number of DALYs and the associated cases of hepatocellular carcinoma due to aflatoxins exposure will increase due to climate change. The topics highlighted through this review, including the potential impact on health of the Portuguese population through the dietary exposure to aflatoxins, should represent an alert for the potential consequences of an incompletely explored perspective of climate change. Politics a</w:t>
      </w:r>
    </w:p>
    <w:p>
      <w:pPr/>
      <w:r>
        <w:rPr>
          <w:b/>
        </w:rPr>
        <w:t>POSSIBLE 2018:</w:t>
      </w:r>
      <w:r>
        <w:t xml:space="preserve"> The impact of climate change on a cost-optimal highly renewable European electricity network — https://doi.org/10.1016/j.apenergy.2018.09.084</w:t>
      </w:r>
    </w:p>
    <w:p>
      <w:pPr/>
      <w:r>
        <w:rPr>
          <w:b/>
        </w:rPr>
        <w:t>Shared claim-specific concepts:</w:t>
      </w:r>
      <w:r>
        <w:t xml:space="preserve"> climate, water; EU scope visible. This is a provisional connection, not an outcome finding.</w:t>
      </w:r>
    </w:p>
    <w:p>
      <w:pPr>
        <w:pStyle w:val="SourceNote"/>
      </w:pPr>
      <w:r>
        <w:rPr>
          <w:b/>
        </w:rPr>
        <w:t>Available abstract (not full text):</w:t>
      </w:r>
      <w:r>
        <w:t xml:space="preserve"> We use three ensemble members of the EURO-CORDEX project and their data on surface wind speeds, solar irradiation as well as water runoff with a spatial resolution of 12 km and a temporal resolution of 3 h under representative concentration pathway 8.5 (associated with a strong climate change and a temperature increase of 2.6–4.8 °C until the end of the century) until 2100 to investigate the impact of climate change on wind, solar and hydro resources and consequently on a highly renewable and cost-optimal European power system. The weather data is transformed into power, different aspects such as capacity factors and correlation lengths are investigated and the resulting implications for the European power system are discussed. In addition, we compare a 30-node model of Europe with historical and climate change-affected data, where investments in generation, transmission and storage facilities are optimised. Differences in capacity factors among European countries are more strongly emphasized at the end of the century compared to historic data. This results in a significantly increased photovoltaic share in the cost-optimal power system. In addition, annual hydro inflow patterns of major hydro producers change considerably. System costs increase by 5% until the end of the century and the impact of climate change on these costs is of similar magnitude as differences between the </w:t>
      </w:r>
    </w:p>
    <w:p>
      <w:pPr/>
      <w:r>
        <w:rPr>
          <w:b/>
        </w:rPr>
        <w:t>POSSIBLE 2018:</w:t>
      </w:r>
      <w:r>
        <w:t xml:space="preserve"> Vulnerability of European intermittent renewable energy supply to climate change and climate variability — https://doi.org/10.1016/j.rser.2018.08.057</w:t>
      </w:r>
    </w:p>
    <w:p>
      <w:pPr/>
      <w:r>
        <w:rPr>
          <w:b/>
        </w:rPr>
        <w:t>Shared claim-specific concepts:</w:t>
      </w:r>
      <w:r>
        <w:t xml:space="preserve"> impacts, climate, assessed, four; EU scope visible. This is a provisional connection, not an outcome finding.</w:t>
      </w:r>
    </w:p>
    <w:p>
      <w:pPr>
        <w:pStyle w:val="SourceNote"/>
      </w:pPr>
      <w:r>
        <w:rPr>
          <w:b/>
        </w:rPr>
        <w:t>Available abstract (not full text):</w:t>
      </w:r>
      <w:r>
        <w:t xml:space="preserve"> The impact of both climate change and climate variability on the supply of intermittent renewable energy sources (I-RES) in Europe are assessed based on global climate model simulations. The main driver of climate variability over Europe is the North Atlantic Oscillation (NAO) in winter and its equivalent in summer (sNAO) which determine to a large extent the atmospheric circulation in Europe. Four climate scenarios are constructed distinguished by a moderate and strong increase of the average global surface temperature, and a positive and negative phase of the atmospheric variability over the North Atlantic and Europe. This spans a framework which combines the effects of both climate change and climate variability. Using a 2050 distribution of PV panels and wind turbines, we found that although climate change is likely to have significant impact on future I-RES output in Europe, its effects, especially for wind power, are outweighed by the high and strongly variable impact of the NAO/sNAO phases. Variability in the large-scale atmospheric circulation is able to induce median I-RES yield differences of 20–30% for high wind potential regions. Due to the NAO variability also months were identified with persistent calm conditions over Europe linked to the inflow of frigid arctic air resulting in some regions in a decrease in wind power of up to 75%a accompanied with an increase in</w:t>
      </w:r>
    </w:p>
    <w:p>
      <w:pPr/>
      <w:r>
        <w:rPr>
          <w:b/>
        </w:rPr>
        <w:t>POSSIBLE 2018:</w:t>
      </w:r>
      <w:r>
        <w:t xml:space="preserve"> Hydrological impacts of moderate and high-end climate change across European river basins — https://doi.org/10.1016/j.ejrh.2018.05.003</w:t>
      </w:r>
    </w:p>
    <w:p>
      <w:pPr/>
      <w:r>
        <w:rPr>
          <w:b/>
        </w:rPr>
        <w:t>Shared claim-specific concepts:</w:t>
      </w:r>
      <w:r>
        <w:t xml:space="preserve"> impacts, climate, eco-hydrological, swim, soil, water; EU scope visible. This is a provisional connection, not an outcome finding.</w:t>
      </w:r>
    </w:p>
    <w:p>
      <w:pPr>
        <w:pStyle w:val="SourceNote"/>
      </w:pPr>
      <w:r>
        <w:rPr>
          <w:b/>
        </w:rPr>
        <w:t>Available abstract (not full text):</w:t>
      </w:r>
      <w:r>
        <w:t xml:space="preserve"> To provide a picture of hydrological impact of climate change across different climatic zones in Europe, this study considers eight river basins: Tagus in Iberian Peninsula; Emån and Lule in Scandinavia; Rhine, Danube and Teteriv in Central and Eastern Europe; Tay on the island of Great Britain and Northern Dvina in North-Eastern Europe. In this study the assessment of the impacts of moderate and high-end climate change scenarios on the hydrological patterns in European basins was conducted. To assess the projected changes, the process-based eco-hydrological model SWIM (Soil and Water Integrated Model) was set up, calibrated and validated for the basins. The SWIM was driven by the bias-corrected climate projections obtained from the coupled simulations of the Global Circulation Models and Regional Climate Models. The results show robust decreasing trends in water availability in the most southern river basin (Tagus), an overall increase in discharge in the most northern river basin (Lule), increase in the winter discharge and shift in seasonality in Northern and Central European catchments. The impacts of the high-end climate change scenario RCP 8.5 continue to develop until the end of the century, while those of the moderate climate change scenario RCP 4.5 level-off after the mid-century. The results of this study also confirm trends, found previously with mostly global scale </w:t>
      </w:r>
    </w:p>
    <w:p>
      <w:pPr/>
      <w:r>
        <w:rPr>
          <w:b/>
        </w:rPr>
        <w:t>POSSIBLE 2017:</w:t>
      </w:r>
      <w:r>
        <w:t xml:space="preserve"> Probable maximum flood in a changing climate: An overview for Canadian basins — https://doi.org/10.1016/j.ejrh.2017.07.003</w:t>
      </w:r>
    </w:p>
    <w:p>
      <w:pPr/>
      <w:r>
        <w:rPr>
          <w:b/>
        </w:rPr>
        <w:t>Shared claim-specific concepts:</w:t>
      </w:r>
      <w:r>
        <w:t xml:space="preserve"> probable, climate; EU scope not established. This is a provisional connection, not an outcome finding.</w:t>
      </w:r>
    </w:p>
    <w:p>
      <w:pPr>
        <w:pStyle w:val="SourceNote"/>
      </w:pPr>
      <w:r>
        <w:rPr>
          <w:b/>
        </w:rPr>
        <w:t>Available abstract (not full text):</w:t>
      </w:r>
      <w:r>
        <w:t xml:space="preserve"> Study Region: In Canada, dams which represent a high risk to human loss of life, along with important environmental and financial losses in case of failure, have to accommodate the Probable Maximum Flood (PMF). Five Canadian basins with different physiographic characteristics and geographic locations, and where the PMF is a relevant metric have been selected: Nelson, Mattagami, Kénogami, Saguenay and Manic-5. Study Focus: One of the main drivers of the PMF is the Probable Maximum Precipitation (PMP). Traditionally, the computation of the PMP relies on moisture maximization of high efficiency observed storms without consideration for climate change. The current study attempts to develop a novel approach based on traditional methods to take into account the non-stationarity of the climate using an ensemble of 14 regional climate model (RCM) simulations. PMPs, the 100-year snowpack and resulting PMF changes were computed between the 1971-2000 and 2041-2070 periods. New Hydrological Insights for the Region: The study reveals an overall increase in future spring PMP with the exception of the most northern basin Nelson. It showed a projected increase of the 100-year snowpack for the two northernmost basins, Nelson (8%) and Manic-5 (3%), and a decrease for the three more southern basins, Mattagami (-1%), Saguenay (-5%) and Kénogami (-9%). The future spring PMF is projected to increase</w:t>
      </w:r>
    </w:p>
    <w:p>
      <w:pPr/>
      <w:r>
        <w:rPr>
          <w:b/>
        </w:rPr>
        <w:t>POSSIBLE 2017:</w:t>
      </w:r>
      <w:r>
        <w:t xml:space="preserve"> Sunflower crop and climate change: vulnerability, adaptation, and mitigation potential from case-studies in Europe — https://doi.org/10.1051/ocl/2016052</w:t>
      </w:r>
    </w:p>
    <w:p>
      <w:pPr/>
      <w:r>
        <w:rPr>
          <w:b/>
        </w:rPr>
        <w:t>Shared claim-specific concepts:</w:t>
      </w:r>
      <w:r>
        <w:t xml:space="preserve"> impacts, climate, assessed, water, areas; EU scope visible. This is a provisional connection, not an outcome finding.</w:t>
      </w:r>
    </w:p>
    <w:p>
      <w:pPr>
        <w:pStyle w:val="SourceNote"/>
      </w:pPr>
      <w:r>
        <w:rPr>
          <w:b/>
        </w:rPr>
        <w:t>Available abstract (not full text):</w:t>
      </w:r>
      <w:r>
        <w:t xml:space="preserve"> Climate change is characterized by higher temperatures, elevated atmospheric CO2 concentrations, extreme climatic hazards, and less water available for agriculture. Sunflower, a spring-sown crop often cultivated in southern and eastern regions of Europe, could be more vulnerable to the direct effect of heat stress at anthesis and drought during its growing cycle, both factors resulting in severe yield loss, oil content decrease, and fatty acid alterations. Adaptations through breeding (earliness, stress tolerance), crop management (planting dates), and shifting of growing areas could be developed, assessed and combined to partly cope with these negative impacts. New cultivation opportunities could be expected in northern parts of Europe where sunflower is not grown presently and where it could usefully contribute to diversify cereal-based cropping systems. In addition, sunflower crop could participate to the mitigation solution as a low greenhouse gas emitter compared to cereals and oilseed rape. Sunflower crop models should be revised to account for these emerging environmental factors in order to reduce the uncertainties in yield and oil predictions. The future of sunflower in Europe is probably related to its potential adaptation to climate change but also to its competitiveness and attractiveness for food and energy.</w:t>
      </w:r>
    </w:p>
    <w:p>
      <w:pPr>
        <w:pStyle w:val="Heading2"/>
      </w:pPr>
      <w:r>
        <w:t>814.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2022:</w:t>
      </w:r>
      <w:r>
        <w:t xml:space="preserve"> Assessment of extreme winds over Europe in Regional Climate Models — https://doi.org/10.5194/ems2022-365</w:t>
      </w:r>
    </w:p>
    <w:p>
      <w:pPr/>
      <w:r>
        <w:rPr>
          <w:b/>
        </w:rPr>
        <w:t>Shared claim-specific concepts:</w:t>
      </w:r>
      <w:r>
        <w:t xml:space="preserve"> regional, climate, used, period;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r>
        <w:rPr>
          <w:b/>
        </w:rPr>
        <w:t>POSSIBLE 2022:</w:t>
      </w:r>
      <w:r>
        <w:t xml:space="preserve"> Afforestation impact on soil temperature in regional climate model simulations over Europe — https://doi.org/10.5194/gmd-15-595-2022</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r>
        <w:rPr>
          <w:b/>
        </w:rPr>
        <w:t>POSSIBLE 2021:</w:t>
      </w:r>
      <w:r>
        <w:t xml:space="preserve"> Precipitation–temperature relationships over Europe in CORDEX regional climate models — https://doi.org/10.1002/joc.7508</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Abstract We studied spatial and temporal patterns of precipitation–temperature (P–T) relationships through correlations between monthly standardized precipitation index (SPI) and monthly temperature anomalies in individual climatic seasons over Europe. In the observed data (represented by E‐OBS), positive correlations (wet–warm/dry–cold relationships) prevail during winter over most of Europe, while negative values (dry–warm/wet–cold) are dominant in summer. In the next step, an ensemble of seven regional climate models (RCMs) from the CORDEX project driven by the ERA‐Interim reanalysis were examined as to their reproduction of the regional patterns of the P–T correlations. In winter, the RCMs yielded overly strong positive P–T correlations over northern Europe, while the correlations were too weak in the south compared to observed data. During summer, the biases were generally larger; the RCMs were able to capture the overall negative P–T correlations but these tended to be too weak over northern Europe. This deficiency was found to be linked to simulated differences in shortwave radiation (a proxy for cloud cover) between dry and wet months. In western, central, and southeastern Europe, by contrast, most RCMs yielded too strong negative correlations in summer, and overly large decreases of relative humidity during dry months probably contributed to these errors. The results p</w:t>
      </w:r>
    </w:p>
    <w:p>
      <w:pPr/>
      <w:r>
        <w:rPr>
          <w:b/>
        </w:rPr>
        <w:t>POSSIBLE 2021:</w:t>
      </w:r>
      <w:r>
        <w:t xml:space="preserve"> Afforestation impact on soil temperature in regional climate model simulations over Europe — https://doi.org/10.5194/gmd-2021-69</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Abstract. In the context of the first phase of the Euro-CORDEX Flagship Plot Study (FPS) Land Use and Climate Across Scales (LUCAS), we investigate the afforestation impact on the seasonal cycle of soil temperature over the European continent with an ensemble of ten regional climate models (RCMs). For this purpose, each ensemble member performed two idealized land cover experiments in which Europe is covered either by forests or grasslands. The multi-model mean exhibits a reduction of the annual amplitude of soil temperature (AAST) over all European regions, although this not a robust feature among the models. In Mediterranean, the simulated AAST response to afforestation is between −4 K and +2 K while in Scandinavia the inter-model spread ranges from −7 K to +1 K. We then examine the role of changes in the annual amplitude of ground heat flux (AAGHF) and summer soil moisture content (SMC) in determining the effect of afforestation on AAST response. In contrast with the diverging results in AAST, all the models consistently indicate a widespread AAGHF decrease and summer SMC decline due to afforestation. The AAGHF changes effectively explain the largest part of the inter-model variance in AAST response in most regions, while the changes in summer SMC determine the sign of AAST response within a group of three simulations sharing the same land surface model. Finally, we pair FLU</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regional, climate, investigate, period;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Assessment of the European Climate Projections as Simulated by the Large EURO‐CORDEX Regional and Global Climate Model Ensemble — https://doi.org/10.1029/2019jd032356</w:t>
      </w:r>
    </w:p>
    <w:p>
      <w:pPr/>
      <w:r>
        <w:rPr>
          <w:b/>
        </w:rPr>
        <w:t>Shared claim-specific concepts:</w:t>
      </w:r>
      <w:r>
        <w:t xml:space="preserve"> regional, climate, temperature, indices; EU scope visible. This is a provisional connection, not an outcome finding.</w:t>
      </w:r>
    </w:p>
    <w:p>
      <w:pPr>
        <w:pStyle w:val="SourceNote"/>
      </w:pPr>
      <w:r>
        <w:rPr>
          <w:b/>
        </w:rPr>
        <w:t>Available abstract (not full text):</w:t>
      </w:r>
      <w:r>
        <w:t xml:space="preserve"> Abstract This paper analyzes the ensemble of regional climate model (RCM) projections for Europe completed within the EURO‐CORDEX project. Projections are available for the two greenhouse gas concentration scenarios RCP2.6 (22 members) and RCP8.5 (55 members) at 0.11° resolution from 11 RCMs driven by eight global climate models (GCMs). The RCM ensemble results are compared with the driving CMIP5 global models but also with a subset of available last generation CMIP6 projections. Maximum warming is projected by all ensembles in Northern Europe in winter, along with a maximum precipitation increase there; in summer, maximum warming occurs in the Mediterranean and Southern European regions associated with a maximum precipitation decrease. The CMIP6 ensemble shows the largest signals, both for temperature and precipitation, along with the largest inter‐model spread. There is a high model consensus across the ensembles on an increase of extreme precipitation and drought frequency in the Mediterranean region. Extreme temperature indices show an increase of heat extremes and a decrease of cold extremes, with CMIP6 showing the highest values and EURO‐CORDEX the finest spatial details. This data set of unprecedented size and quality will provide the basis for impact assessment and climate service activities for the European region.</w:t>
      </w:r>
    </w:p>
    <w:p>
      <w:pPr/>
      <w:r>
        <w:rPr>
          <w:b/>
        </w:rPr>
        <w:t>POSSIBLE 2020:</w:t>
      </w:r>
      <w:r>
        <w:t xml:space="preserve"> European daily precipitation according to EURO-CORDEX regional climate models (RCMs) and high-resolution global climate models (GCMs) from the High-Resolution Model Intercomparison Project (HighResMIP) — https://doi.org/10.5194/gmd-13-5485-2020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In this study, we perform an evaluation of PRIMAVERA high-resolution (25–50 km) Global Climate Models (GCMs) relative to CORDEX Regional Climate Models (RCMs) over Europe (12–50 km resolutions). It is the first time such assessment is performed for regional climate information using ensembles of GCMs and RCMs at similar horizontal resolutions. We perform this exercise for the distribution of daily precipitation contributions to rainfall bins over Europe under current climate conditions. Both ensembles are evaluated against high quality national gridded observations in terms of resolution and station density. We show that PRIMAVERA GCMs simulate very similar distribution to CORDEX RCMs that CMIP5 cannot because of their coarse resolutions. PRIMAVERA and CORDEX ensembles generally show similar strengths and weaknesses. They are of good quality in summer and autumn in most European regions, but tend to overestimate precipitation in winter and spring. PRIMAVERA show improvements in the latter bias by reducing mid-rain rate biases in Central and Eastern Europe. Moreover, CORDEX simulate less light rainfall than PRIMAVERA in most regions and seasons, which improves this common GCM bias. Finally, PRIMAVERA simulate less heavy precipitation than CORDEX in most regions and seasons, especially in summer. PRIMAVERA appear to be closer to observations. However, when we apply an a</w:t>
      </w:r>
    </w:p>
    <w:p>
      <w:pPr/>
      <w:r>
        <w:rPr>
          <w:b/>
        </w:rPr>
        <w:t>POSSIBLE 2020:</w:t>
      </w:r>
      <w:r>
        <w:t xml:space="preserve"> Partitioning uncertainty components of mean climate and climate change in a large ensemble of European regional climate model projections — https://doi.org/10.1007/s00382-020-05229-y</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Abstract A study of seasonal mean temperature, precipitation, and wind speed has been performed for a set of 19 global climate model (GCM) driven high-resolution regional climate model (RCM) simulations forming a complete 5 × 4 GCM × RCM matrix with only one missing simulation. Differences between single simulations and between groups of simulations forced by a specific GCM or a specific RCM are identified. With the help of an analysis of variance (ANOVA) we split the ensemble variance into linear GCM and RCM contributions and cross terms for both mean climate and climate change for the end of the current century according to the RCP8.5 emission scenario. The results document that the choice of GCM generally has a larger influence on the climate change signal than the choice of RCM, having a significant influence for roughly twice as many points in the area for the fields investigated (temperature, precipitation and wind speed). It is also clear that the RCM influence is generally concentrated close to the eastern and northern boundaries and in mountainous areas, i.e., in areas where the added surface detail of e.g. orography, snow and ice seen by the RCM is expected to have considerable influence on the climate, and in areas where the air in general has spent the most time within the regional domain. The analysis results in estimates of areas where the specific identity of eit</w:t>
      </w:r>
    </w:p>
    <w:p>
      <w:pPr/>
      <w:r>
        <w:rPr>
          <w:b/>
        </w:rPr>
        <w:t>POSSIBLE 2018:</w:t>
      </w:r>
      <w:r>
        <w:t xml:space="preserve"> European climate change at global mean temperature increases of 1.5 and 2 °C above pre-industrial conditions as simulated by the EURO-CORDEX regional climate models — https://doi.org/10.5194/esd-9-459-2018</w:t>
      </w:r>
    </w:p>
    <w:p>
      <w:pPr/>
      <w:r>
        <w:rPr>
          <w:b/>
        </w:rPr>
        <w:t>Shared claim-specific concepts:</w:t>
      </w:r>
      <w:r>
        <w:t xml:space="preserve"> regional, climate, used, investigate, temperature; EU scope visible. This is a provisional connection, not an outcome finding.</w:t>
      </w:r>
    </w:p>
    <w:p>
      <w:pPr>
        <w:pStyle w:val="SourceNote"/>
      </w:pPr>
      <w:r>
        <w:rPr>
          <w:b/>
        </w:rPr>
        <w:t>Available abstract (not full text):</w:t>
      </w:r>
      <w:r>
        <w:t xml:space="preserve"> Abstract. We investigate European regional climate change for time periods when the global mean temperature has increased by 1.5 and 2 °C compared to pre-industrial conditions. Results are based on regional downscaling of transient climate change simulations for the 21st century with global climate models (GCMs) from the fifth-phase Coupled Model Intercomparison Project (CMIP5). We use an ensemble of EURO-CORDEX high-resolution regional climate model (RCM) simulations undertaken at a computational grid of 12.5 km horizontal resolution covering Europe. The ensemble consists of a range of RCMs that have been used for downscaling different GCMs under the RCP8.5 forcing scenario. The results indicate considerable near-surface warming already at the lower 1.5 °C of warming. Regional warming exceeds that of the global mean in most parts of Europe, being the strongest in the northernmost parts of Europe in winter and in the southernmost parts of Europe together with parts of Scandinavia in summer. Changes in precipitation, which are less robust than the ones in temperature, include increases in the north and decreases in the south with a borderline that migrates from a northerly position in summer to a southerly one in winter. Some of these changes are already seen at 1.5 °C of warming but are larger and more robust at 2 °C. Changes in near-surface wind speed are associated with a lar</w:t>
      </w:r>
    </w:p>
    <w:p>
      <w:pPr>
        <w:pStyle w:val="Heading2"/>
      </w:pPr>
      <w:r>
        <w:t>815.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r>
        <w:rPr>
          <w:b/>
        </w:rPr>
        <w:t>POSSIBLE 2020:</w:t>
      </w:r>
      <w:r>
        <w:t xml:space="preserve"> Central and Peripheral Neuromuscular Adaptations to Ageing — https://doi.org/10.3390/jcm9030741</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Ageing is accompanied by a severe muscle function decline presumably caused by structural and functional adaptations at the central and peripheral level. Although researchers have reported an extensive analysis of the alterations involving muscle intrinsic properties, only a limited number of studies have recognised the importance of the central nervous system, and its reorganisation, on neuromuscular decline. Neural changes, such as degeneration of the human cortex and function of spinal circuitry, as well as the remodelling of the neuromuscular junction and motor units, appear to play a fundamental role in muscle quality decay and culminate with considerable impairments in voluntary activation and motor performance. Modern diagnostic techniques have provided indisputable evidence of a structural and morphological rearrangement of the central nervous system during ageing. Nevertheless, there is no clear insight on how such structural reorganisation contributes to the age-related functional decline and whether it is a result of a neural malfunction or serves as a compensatory mechanism to preserve motor control and performance in the elderly population. Combining leading-edge techniques such as high-density surface electromyography (EMG) and improved diagnostic procedures such as functional magnetic resonance imaging (fMRI) or high-resolution electroencephalography (EEG) could </w:t>
      </w:r>
    </w:p>
    <w:p>
      <w:pPr/>
      <w:r>
        <w:rPr>
          <w:b/>
        </w:rPr>
        <w:t>POSSIBLE 2019:</w:t>
      </w:r>
      <w:r>
        <w:t xml:space="preserve"> Food Allergies and Ageing — https://doi.org/10.3390/ijms20225580</w:t>
      </w:r>
    </w:p>
    <w:p>
      <w:pPr/>
      <w:r>
        <w:rPr>
          <w:b/>
        </w:rPr>
        <w:t>Shared claim-specific concepts:</w:t>
      </w:r>
      <w:r>
        <w:t xml:space="preserve"> ageing, problem, age, system, until; EU scope not established. This is a provisional connection, not an outcome finding.</w:t>
      </w:r>
    </w:p>
    <w:p>
      <w:pPr>
        <w:pStyle w:val="SourceNote"/>
      </w:pPr>
      <w:r>
        <w:rPr>
          <w:b/>
        </w:rPr>
        <w:t>Available abstract (not full text):</w:t>
      </w:r>
      <w:r>
        <w:t xml:space="preserve"> All over the world, there is an increase in the overall survival of the population and the number of elderly people. The incidence of allergic reactions is also rising worldwide. Until recently, allergies, and in particular food allergies (FAs), was regarded as a pediatric problem, since some of them start in early childhood and may spontaneously disappear in adulthood. It is being discovered that, on the contrary, these problems are increasingly affecting even the elderly. Along with other diseases that are considered characteristics of advanced age, such as cardiovascular, dysmetabolic, autoimmune, neurodegenerative, and oncological diseases, even FAs are increasingly frequent in the elderly. An FA is a pleiomorphic and multifactorial disease, characterized by an abnormal immune response and an impaired gut barrier function. The elderly exhibit distinct FA phenotypes, and diagnosis is difficult due to frequent co-morbidities and uncertainty in the interpretation of in vitro and in vivo tests. Several factors render the elderly susceptible to FAs, including the physiological changes of aging, a decline in gut barrier function, the skewing of adaptive immunity to a Th2 response, dysregulation of innate immune cells, and age-related changes of gut microbiota. Aging is accompanied by a progressive remodeling of immune system functions, leading to an increased pro-inflammatory sta</w:t>
      </w:r>
    </w:p>
    <w:p>
      <w:pPr/>
      <w:r>
        <w:rPr>
          <w:b/>
        </w:rPr>
        <w:t>POSSIBLE 2018:</w:t>
      </w:r>
      <w:r>
        <w:t xml:space="preserve"> On loneliness and the ageing process* — https://doi.org/10.4324/9780429476266-2</w:t>
      </w:r>
    </w:p>
    <w:p>
      <w:pPr/>
      <w:r>
        <w:rPr>
          <w:b/>
        </w:rPr>
        <w:t>Shared claim-specific concepts:</w:t>
      </w:r>
      <w:r>
        <w:t xml:space="preserve"> ageing, severe, because; EU scope not established. This is a provisional connection, not an outcome finding.</w:t>
      </w:r>
    </w:p>
    <w:p>
      <w:pPr>
        <w:pStyle w:val="SourceNote"/>
      </w:pPr>
      <w:r>
        <w:rPr>
          <w:b/>
        </w:rPr>
        <w:t>Available abstract (not full text):</w:t>
      </w:r>
      <w:r>
        <w:t xml:space="preserve"> Pearl King, at the 31st International Congress, pointed out that it was the first time that a paper on the problems concerned with the psychoanalysis of elderly patients had been arranged. She indicated that researches in the theory and practice of psychoanalysis over the past few decades have necessitated a re-evaluation of psychoanalysts&amp;s; attitudes, and the criteria they use for the selection of such patients. Among such researches, the author particularly refers to the changes in psychoanalytic understanding and technique that have facilitated clinical exploration of severe narcissistic disorders. Psychoanalysts find themselves confronted with severe narcissistic patients frequently when patients are middle-aged and later, because the very nature of their disorder has not allowed them to seek help earlier. The author illustrates the general points of loneliness of mind by reference to case material of an ageing patient, who presented with a traumatized history and severe narcissistic problems.</w:t>
      </w:r>
    </w:p>
    <w:p>
      <w:pPr/>
      <w:r>
        <w:rPr>
          <w:b/>
        </w:rPr>
        <w:t>POSSIBLE 2018:</w:t>
      </w:r>
      <w:r>
        <w:t xml:space="preserve"> Ageing Process and Physiological Changes — https://doi.org/10.5772/intechopen.76249</w:t>
      </w:r>
    </w:p>
    <w:p>
      <w:pPr/>
      <w:r>
        <w:rPr>
          <w:b/>
        </w:rPr>
        <w:t>Shared claim-specific concepts:</w:t>
      </w:r>
      <w:r>
        <w:t xml:space="preserve"> ageing, age, place; EU scope not established. This is a provisional connection, not an outcome finding.</w:t>
      </w:r>
    </w:p>
    <w:p>
      <w:pPr>
        <w:pStyle w:val="SourceNote"/>
      </w:pPr>
      <w:r>
        <w:rPr>
          <w:b/>
        </w:rPr>
        <w:t>Available abstract (not full text):</w:t>
      </w:r>
      <w:r>
        <w:t xml:space="preserve"> Ageing is a natural process. Everyone must undergo this phase of life at his or her own time and pace. In the broader sense, ageing reflects all the changes taking place over the course of life. These changes start from birth—one grows, develops and attains maturity. To the young, ageing is exciting. Middle age is the time when people notice the age-related changes like greying of hair, wrinkled skin and a fair amount of physical decline. Even the healthiest, aesthetically fit cannot escape these changes. Slow and steady physical impairment and functional disability are noticed resulting in increased dependency in the period of old age. According to World Health Organization, ageing is a course of biological reality which starts at conception and ends with death. It has its own dynamics, much beyond human control. However, this process of ageing is also subject to the constructions by which each society makes sense of old age. In most of the developed countries, the age of 60 is considered equivalent to retirement age and it is said to be the beginning of old age. In this chapter, you understand the details of ageing processes and associated physiological changes.</w:t>
      </w:r>
    </w:p>
    <w:p>
      <w:pPr/>
      <w:r>
        <w:rPr>
          <w:b/>
        </w:rPr>
        <w:t>POSSIBLE 2017:</w:t>
      </w:r>
      <w:r>
        <w:t xml:space="preserve"> Chronic kidney disease and ageing — https://openalex.org/W3208943687</w:t>
      </w:r>
    </w:p>
    <w:p>
      <w:pPr/>
      <w:r>
        <w:rPr>
          <w:b/>
        </w:rPr>
        <w:t>Shared claim-specific concepts:</w:t>
      </w:r>
      <w:r>
        <w:t xml:space="preserve"> ageing, severe, problem, because, system; EU scope not established. This is a provisional connection, not an outcome finding.</w:t>
      </w:r>
    </w:p>
    <w:p>
      <w:pPr>
        <w:pStyle w:val="SourceNote"/>
      </w:pPr>
      <w:r>
        <w:rPr>
          <w:b/>
        </w:rPr>
        <w:t>Available abstract (not full text):</w:t>
      </w:r>
      <w:r>
        <w:t xml:space="preserve"> In recent decades, life expectancy has significantly extended, and the number of elderly people in each populationincreases significantly during the subsequent years. Ageing is associated with a physiological deteriorationof kidney function, however, in patients with additional diseases such as diabetes, hypertension andobesity, there is often stronger severity of kidney damage. It has been estimated that the prevalence of chronickidney disease (CKD) in the older population is several times higher than in the general population. It is consideredthat in addition to the mentioned above comorbid the socio-economic factors also increases prevalenceof CKD. The occurrence of CKD significantly increases the mortality, deteriorating the quality of life of thesesubjects and is also severe financial problem for the health care system because of the high costs of renal replacementtherapy. For this reason, renal replacement therapy in elderly patients is expensive and not alwaysbrings measurable benefits.</w:t>
      </w:r>
    </w:p>
    <w:p>
      <w:pPr/>
      <w:r>
        <w:rPr>
          <w:b/>
        </w:rPr>
        <w:t>POSSIBLE 2016:</w:t>
      </w:r>
      <w:r>
        <w:t xml:space="preserve"> HIV and ageing — https://doi.org/10.1097/coh.0000000000000305</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OF REVIEW: Evidence-based strategies are needed to address the growing complexity of care of those ageing with HIV so that as life expectancy is extended, quality of life is also enhanced. RECENT FINDINGS: Modifiable contributing factors to the quantity and quality of life in adults ageing with HIV include: burden of harmful health behaviours, injury from HIV infection, HIV treatment toxicity and general burden of age-associated comorbidities. In turn, these factors contribute to geriatric syndromes including multimorbidity and polypharmacy, physiologic frailty, falls and fragility fractures and cognitive dysfunction, which further compromise the quality of life long before they lead to mortality. SUMMARY: Viral suppression of HIV with combination antiviral therapy has led to increasing longevity but has not enabled a complete return to health among ageing HIV-infected individuals (HIV+). As adults age with HIV, the role of HIV itself and associated inflammation, effects of exposure to antiretroviral agents, the high prevalence of modifiable risk factors for age-associated conditions (e.g. smoking), and the effects of other viral coinfections are all influencing the health trajectory of persons ageing with HIV. We must move from the simplistic notion of HIV becoming a 'chronic controllable illness' to understanding the continually evolving 'treated' history of HIV infec</w:t>
      </w:r>
    </w:p>
    <w:p>
      <w:pPr/>
      <w:r>
        <w:rPr>
          <w:b/>
        </w:rPr>
        <w:t>POSSIBLE 2016:</w:t>
      </w:r>
      <w:r>
        <w:t xml:space="preserve"> Suicide in an ageing UK population: problems and prevention — https://doi.org/10.1108/qaoa-05-2015-0022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Purpose Suicide can be an emotive, and at times, controversial subject. The purpose of this paper is to reflect on the social, health, personal, and cultural issues that can arise in later life and the potential reasons for suicide. It will analyse already recognised risk factors of suicide in older adults and focus on improving knowledge about the social meaning and causation of suicide for older people. It will also consider suicide prevention policies, their practice implications, and whether they are successful in protecting this potentially vulnerable cohort. Design/methodology/approach A synopsis of available literature in the form of a general review paper of suicide of older adults. Findings There is evidence that the ageing process often leads to a set of co-morbidities and a complex and diverse set of individual challenges. This in turn equates to an increased risk of suicide. There is no easy answer to why there is evidence of a growing number of older adults deciding that suicide is there only option, and even fewer suggestions on how to manage this risk. Social implications The entry of the “baby boom” generation into retirement will lead to the potential of an increase in both suicide risk factors and older adults completing suicide. This is on the background of a demographic surge which is likely to place additional pressures on already under-resourced, and under</w:t>
      </w:r>
    </w:p>
    <w:p>
      <w:pPr/>
      <w:r>
        <w:rPr>
          <w:b/>
        </w:rPr>
        <w:t>POSSIBLE 2016:</w:t>
      </w:r>
      <w:r>
        <w:t xml:space="preserve"> Innate immune responses in the ageing lung — https://doi.org/10.1111/cei.12881</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The world is undergoing an unprecedented shift in demographics, with the number of individuals over the age of 60 years projected to reach 2 billion or more by 2050, representing 22% of the global population. Elderly people are at a higher risk for chronic disease and more susceptible to infection, due in part to age-related dysfunction of the immune system resulting from low-grade chronic inflammation known as 'inflamm-ageing'. The innate immune system of older individuals exhibits a diminished ability to respond to microbial threats and clear infections, resulting in a greater occurrence of many infectious diseases in elderly people. In particular, the incidence of and mortality from lung infections increase sharply with age, with such infections often leading to worse outcomes, prolonged hospital stays and life-threatening complications, such as sepsis or acute respiratory distress syndrome. In this review, we highlight research on bacterial pneumonias and pulmonary viral infections and discuss age-related changes in innate immunity that contribute to the higher rate of these infections in older populations. By understanding more clearly the innate immune defects in elderly individuals, we can design age-specific therapies to address lung infections in such a vulnerable population.</w:t>
      </w:r>
    </w:p>
    <w:p>
      <w:pPr>
        <w:pStyle w:val="Heading2"/>
      </w:pPr>
      <w:r>
        <w:t>816.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r>
        <w:rPr>
          <w:b/>
        </w:rPr>
        <w:t>POSSIBLE 2022:</w:t>
      </w:r>
      <w:r>
        <w:t xml:space="preserve"> A Reference Model for Common Understanding of Capabilities and Skills in Manufacturing — https://doi.org/10.48550/arxiv.2209.09632</w:t>
      </w:r>
    </w:p>
    <w:p>
      <w:pPr/>
      <w:r>
        <w:rPr>
          <w:b/>
        </w:rPr>
        <w:t>Shared claim-specific concepts:</w:t>
      </w:r>
      <w:r>
        <w:t xml:space="preserve"> common, understanding, industry; EU scope not established. This is a provisional connection, not an outcome finding.</w:t>
      </w:r>
    </w:p>
    <w:p>
      <w:pPr>
        <w:pStyle w:val="SourceNote"/>
      </w:pPr>
      <w:r>
        <w:rPr>
          <w:b/>
        </w:rPr>
        <w:t>Available abstract (not full text):</w:t>
      </w:r>
      <w:r>
        <w:t xml:space="preserve"> In manufacturing, many use cases of Industry 4.0 require vendor-neutral and machine-readable information models to describe, implement and execute resource functions. Such models have been researched under the terms capabilities and skills. Standardization of such models is required, but currently not available. This paper presents a reference model developed jointly by members of various organizations in a working group of the Plattform Industrie 4.0. This model covers definitions of most important aspects of capabilities and skills. It can be seen as a basis for further standardization efforts.</w:t>
      </w:r>
    </w:p>
    <w:p>
      <w:pPr/>
      <w:r>
        <w:rPr>
          <w:b/>
        </w:rPr>
        <w:t>POSSIBLE 2021:</w:t>
      </w:r>
      <w:r>
        <w:t xml:space="preserve"> What We All Know: Community in Moore's "A Defence of Common Sense" — https://doi.org/10.1353/hph.2021.0064</w:t>
      </w:r>
    </w:p>
    <w:p>
      <w:pPr/>
      <w:r>
        <w:rPr>
          <w:b/>
        </w:rPr>
        <w:t>Shared claim-specific concepts:</w:t>
      </w:r>
      <w:r>
        <w:t xml:space="preserve"> common, understanding, all; EU scope not established. This is a provisional connection, not an outcome finding.</w:t>
      </w:r>
    </w:p>
    <w:p>
      <w:pPr>
        <w:pStyle w:val="SourceNote"/>
      </w:pPr>
      <w:r>
        <w:rPr>
          <w:b/>
        </w:rPr>
        <w:t>Available abstract (not full text):</w:t>
      </w:r>
      <w:r>
        <w:t xml:space="preserve"> I defend an account of Moore's conception of Common Sense—as it figures in "A Defence of Common Sense"—according to which it is based in a vision of the community of human beings as bound and unified by a settled common understanding of the meaning of our words and statements. This, for Moore, is our inalienable starting point in philosophy. When Moore invokes Common Sense against idealist (and skeptical) philosophers, he is reminding them that they too are bound by this common understanding, which cannot just be left behind as they confusedly believe. On Moore's conception, Common Sense becomes nothing other than the affirmation that there is such a common understanding—that there is Common Sense—which yields a specific body of Common Sense knowledge. This yields a more principled account of Common Sense than a mere tallying of what contingently happens to be believed (or known) by all.</w:t>
      </w:r>
    </w:p>
    <w:p>
      <w:pPr/>
      <w:r>
        <w:rPr>
          <w:b/>
        </w:rPr>
        <w:t>POSSIBLE 2021:</w:t>
      </w:r>
      <w:r>
        <w:t xml:space="preserve"> Understanding the common mechanisms of heart and skeletal muscle wasting in cancer cachexia — https://doi.org/10.1038/s41389-020-00288-6</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Cachexia is a severe complication of cancer that adversely affects the course of the disease, with currently no effective treatments. It is characterized by a progressive atrophy of skeletal muscle and adipose tissue, resulting in weight loss, a reduced quality of life, and a shortened life expectancy. Although the cachectic condition primarily affects the skeletal muscle, a tissue that accounts for ~40% of total body weight, cachexia is considered a multi-organ disease that involves different tissues and organs, among which the cardiac muscle stands out for its relevance. Patients with cancer often experience severe cardiac abnormalities and manifest symptoms that are indicative of chronic heart failure, including fatigue, shortness of breath, and impaired exercise tolerance. Furthermore, cardiovascular complications are among the major causes of death in cancer patients who experienced cachexia. The lack of effective treatments for cancer cachexia underscores the need to improve our understanding of the underlying mechanisms. Increasing evidence links the wasting of the cardiac and skeletal muscles to metabolic alterations, primarily increased energy expenditure, and to increased proteolysis, ensuing from activation of the major proteolytic machineries of the cell, including ubiquitin-dependent proteolysis and autophagy. This review aims at providing an overview of the key me</w:t>
      </w:r>
    </w:p>
    <w:p>
      <w:pPr/>
      <w:r>
        <w:rPr>
          <w:b/>
        </w:rPr>
        <w:t>POSSIBLE 2021:</w:t>
      </w:r>
      <w:r>
        <w:t xml:space="preserve"> From common operational picture to common situational understanding: An analysis based on practitioner perspectives — https://doi.org/10.1016/j.ssci.2021.105381</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concepts of Situational Awareness (SA) and Common Operational Picture (COP) are closely related and well-acknowledged to be crucial factors for effective emergency management. In multi-agency operations, such as extreme weather events, the involved first responders manage the event with different mandates, objectives, and tools which can make it challenging to build a COP. Effective collaboration requires a common situational understanding, based on knowledge about each other’s responsibilities and tasks, mutual respect and trust, as well as common communication tools for emergency communication and information sharing. This paper argues that the COP serves as a basis for deciding on further action, and thus represents a first stage in the process of establishing common situational understanding among the involved actors. The empirical basis for the study includes interviews with Norwegian emergency management stakeholders, analysis of audio-logs, and review of public documents. Based on the analysis we present a framework comprising activities and processes involved in establishing a COP as a basis for common situational understanding.</w:t>
      </w:r>
    </w:p>
    <w:p>
      <w:pPr/>
      <w:r>
        <w:rPr>
          <w:b/>
        </w:rPr>
        <w:t>POSSIBLE 2021:</w:t>
      </w:r>
      <w:r>
        <w:t xml:space="preserve"> What Is Open Pedagogy? Identifying Commonalities — https://doi.org/10.19173/irrodl.v22i2.5161</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Open pedagogy has been touted by advocates as a promising expansion of open educational resources because it involves shifting from making resources accessible to impacting the practice of teaching. The allure of the term coupled with its promise to bring greater innovation to pedagogy has led to its widespread use at conferences and publications. However, as the concept has gained increasing levels of popularity, it has also sparked considerable debate as to what it means. For example, how is open pedagogy distinct from other forms of pedagogy such as critical or cultural? What does it mean to practice open pedagogy? Without a clear understanding of its meaning, establishing a solid research foundation on which to make claims about the impact of open pedagogy approaches is difficult. Accordingly, this article argues that the current debate signals the need for the development of robust analytical frameworks in order to construct a cohesive body of research that can be used to advance it as a field of study. To do this, the authors review the literature and identify common characteristics within it. The authors then propose a five-part framework that encourages the long-term sustainability of open pedagogy.</w:t>
      </w:r>
    </w:p>
    <w:p>
      <w:pPr>
        <w:pStyle w:val="Heading2"/>
      </w:pPr>
      <w:r>
        <w:t>817.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2022:</w:t>
      </w:r>
      <w:r>
        <w:t xml:space="preserve"> Climate services for the railway sector: A synthesis of adaptation information needs in Europe — https://doi.org/10.3389/fclim.2022.968298</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Given that climate variability and change present unprecedented challenges to the rail sector, efforts to produce relevant climate data/information for climate risk management and adaptive decision making in the rail sector are gaining traction. However, inadequate understanding of climate change impact and information needs raises several concerns for the sector. This paper addressed the question: What climate risk information services are needed to support the adaptation needs of the rail sector? Data from interviews, literature reviews, and workshops were used. The results show that changes in precipitation, temperature, sea-level rise, and thunderstorms are the top drivers of climate risk in the sector. Additionally, the need for tailor-made climate information to manage these changes is in high demand. Although insufficient, rail organizations use special protocols to manage climate risk. Understudied countries have operational and design standards formulated in metrics and codes related to specific critical weather conditions as part of their Natural Hazard Management process. However, desirable adjustments in the standards are currently based on past events rather than future climate conditions. Future climate change information is relevant for medium- to longer-term decisions, strategy, and policymaking. For operational and design standards, weather and climate informat</w:t>
      </w:r>
    </w:p>
    <w:p>
      <w:pPr/>
      <w:r>
        <w:rPr>
          <w:b/>
        </w:rPr>
        <w:t>POSSIBLE 2021:</w:t>
      </w:r>
      <w:r>
        <w:t xml:space="preserve"> Climate change, adaptation, and global jobs: Lessons and urgent policy options for Africa — https://doi.org/10.35877/454ri.qems298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Climate change remains one of the world’s greatest challenge in the 21st century. It causes inevitable changes that alter human activities. Adaptation to climate change creates and at the same time limits opportunities that support human existence. While United States of America, Europe, China, India and other countries are maximizing the opportunities climate change adaptation offers especially in areas of green technology, energy and agriculture, that of Africa who are more vulnerable to climate change are complacent and at most show less commitment. As the negative impacts of climate change increases and livelihoods erode, and as jobs continue to disappear leading to conflicts and upheavals in Africa, governments across the continent need policy options that will enable them to mitigate and adapt to climate change while at the same time address the problem of unemployment and create new patterns of livelihood. This paper, therefore, explores options that support these objectives. It offered policy suggestions in green energy and agriculture where Africa have a comparative advantage over other nations, and which also has the capacity of employing 90 per cent of the continent's workforce. It makes suggestions on how Lake Chad and other water sources affected by climate change in Africa can be revived to support agricultural activities and hydropower industry as well as create </w:t>
      </w:r>
    </w:p>
    <w:p>
      <w:pPr/>
      <w:r>
        <w:rPr>
          <w:b/>
        </w:rPr>
        <w:t>POSSIBLE 2021:</w:t>
      </w:r>
      <w:r>
        <w:t xml:space="preserve"> CLIMADA v1.4.1: towards a globally consistent adaptation options appraisal tool — https://doi.org/10.5194/gmd-14-351-2021</w:t>
      </w:r>
    </w:p>
    <w:p>
      <w:pPr/>
      <w:r>
        <w:rPr>
          <w:b/>
        </w:rPr>
        <w:t>Shared claim-specific concepts:</w:t>
      </w:r>
      <w:r>
        <w:t xml:space="preserve"> adaptation, options, assessment; EU scope not established. This is a provisional connection, not an outcome finding.</w:t>
      </w:r>
    </w:p>
    <w:p>
      <w:pPr>
        <w:pStyle w:val="SourceNote"/>
      </w:pPr>
      <w:r>
        <w:rPr>
          <w:b/>
        </w:rPr>
        <w:t>Available abstract (not full text):</w:t>
      </w:r>
      <w:r>
        <w:t xml:space="preserve"> Abstract. Climate change is a fact and adaptation to a changing environment therefore a necessity. Adaptation is ultimately local, yet similar challenges pose themselves to decision-makers all across the globe and on all levels. The Economics of Climate Adaptation (ECA) methodology established an economic framework to fully integrate risk and reward perspectives of different 10 stakeholders, underpinned by the CLIMADA impact modelling platform. We present an extension of the latter to appraise adaption options in a consistent fashion in order to provide decision-makers from the local to the global level with the necessary facts to identify the most effective instruments to meet the adaptation challenge. We apply the open-source methodology and its Python implementation to a case study in the Caribbean, which allows to prioritize a small basked of adaptation options, namely green and grey infrastructure options as well as behavioural measures, and permits inter-island comparisons. In 15 Anguilla, for example, mangroves avert simulated damages more than 4 times the cost estimated for restoration, while enforcement of building codes shows to be effective in the Turks and Caicos islands. For all islands, cost-effective measures reduce the cost of risk transfer, which covers damage of high impact events that cannot be cost-effectively prevented by other measures. This extended versi</w:t>
      </w:r>
    </w:p>
    <w:p>
      <w:pPr/>
      <w:r>
        <w:rPr>
          <w:b/>
        </w:rPr>
        <w:t>POSSIBLE 2021:</w:t>
      </w:r>
      <w:r>
        <w:t xml:space="preserve"> Rethinking urban heat stress: Assessing risk and adaptation options across socioeconomic groups in Bonn, Germany — https://doi.org/10.1016/j.uclim.2021.100857</w:t>
      </w:r>
    </w:p>
    <w:p>
      <w:pPr/>
      <w:r>
        <w:rPr>
          <w:b/>
        </w:rPr>
        <w:t>Shared claim-specific concepts:</w:t>
      </w:r>
      <w:r>
        <w:t xml:space="preserve"> adaptation, options, between, integrated; EU scope visible. This is a provisional connection, not an outcome finding.</w:t>
      </w:r>
    </w:p>
    <w:p>
      <w:pPr>
        <w:pStyle w:val="SourceNote"/>
      </w:pPr>
      <w:r>
        <w:rPr>
          <w:b/>
        </w:rPr>
        <w:t>Available abstract (not full text):</w:t>
      </w:r>
      <w:r>
        <w:t xml:space="preserve"> With climate change and socioeconomic trends expected to exacerbate the risk of urban heat stress, implementing adaptation measures is paramount to limit adverse impacts of heat on urban inhabitants. Identification of the best options needs to be based on sound, localised assessments of risk, understood as the interaction of hazard, exposure and vulnerability. Yet a review of the literature reveals that minimal research to date considers the perceived impacts of heat among urban residents. Based on a household survey in Bonn, Germany, this paper adopts an integrated approach to assess how different socioeconomic groups are affected by heat stress and explores the connections between perceived impacts of heat and indicators of exposure and vulnerability across groups. Results indicate that all socioeconomic groups are at risk of urban heat stress, though to differing extents and for different reasons. Exposure was found to be lowest in groups typically considered to be of higher risk, such as older respondents, who at the same time have the highest susceptibility. Students and other younger respondents, on the other hand, face comparably high exposure and have the lowest coping and adaptive capacities. At the same time, each group has its own capacities with the potential to mitigate risk. The study shows that urban inhabitants beyond “classic risk groups” usually addressed in l</w:t>
      </w:r>
    </w:p>
    <w:p>
      <w:pPr/>
      <w:r>
        <w:rPr>
          <w:b/>
        </w:rPr>
        <w:t>POSSIBLE 2020:</w:t>
      </w:r>
      <w:r>
        <w:t xml:space="preserve"> Assessing the feasibility of adaptation options: methodological advancements and directions for climate adaptation research and practice — https://doi.org/10.1007/s10584-020-02762-x</w:t>
      </w:r>
    </w:p>
    <w:p>
      <w:pPr/>
      <w:r>
        <w:rPr>
          <w:b/>
        </w:rPr>
        <w:t>Shared claim-specific concepts:</w:t>
      </w:r>
      <w:r>
        <w:t xml:space="preserve"> adaptation, options, offer, trade-offs, assessment; EU scope not established. This is a provisional connection, not an outcome finding.</w:t>
      </w:r>
    </w:p>
    <w:p>
      <w:pPr>
        <w:pStyle w:val="SourceNote"/>
      </w:pPr>
      <w:r>
        <w:rPr>
          <w:b/>
        </w:rPr>
        <w:t>Available abstract (not full text):</w:t>
      </w:r>
      <w:r>
        <w:t xml:space="preserve"> Abstract The Paris Agreement put adaptation prominently on the global climate action agenda. Despite a surge in research and praxis-based knowledge on adaptation, a critical policy roadblock is synthesizing and assessing this burgeoning evidence. We develop an approach to assess the multidimensional feasibility of adaptation options in a robust and transparent manner, providing direction for global climate policy and identifying knowledge gaps to further future climate research. The approach, which was tested in the IPCC Special Report on 1.5 °C (SR1.5) to assess 23 adaptation options, is underpinned by a systematic review of recent literature, expert elicitation, and iterative peer review. It responds to the challenge of limited agreement on adaptation indicators, lack of fine-scale adaptation data, and challenges of assessing synergies and trade-offs with mitigation. The findings offer methodological insights into how future assessments such as the IPCC Assessment Report (AR) six and regional, national, and sectoral assessment exercises could assess adaptation feasibility and synthesize the growing body of knowledge on climate change adaptation.</w:t>
      </w:r>
    </w:p>
    <w:p>
      <w:pPr/>
      <w:r>
        <w:rPr>
          <w:b/>
        </w:rPr>
        <w:t>POSSIBLE 2018:</w:t>
      </w:r>
      <w:r>
        <w:t xml:space="preserve"> Upholding labour productivity under climate change: an assessment of adaptation options — https://doi.org/10.1080/14693062.2018.1517640</w:t>
      </w:r>
    </w:p>
    <w:p>
      <w:pPr/>
      <w:r>
        <w:rPr>
          <w:b/>
        </w:rPr>
        <w:t>Shared claim-specific concepts:</w:t>
      </w:r>
      <w:r>
        <w:t xml:space="preserve"> adaptation, options, but, assessment, importance; EU scope not established. This is a provisional connection, not an outcome finding.</w:t>
      </w:r>
    </w:p>
    <w:p>
      <w:pPr>
        <w:pStyle w:val="SourceNote"/>
      </w:pPr>
      <w:r>
        <w:rPr>
          <w:b/>
        </w:rPr>
        <w:t>Available abstract (not full text):</w:t>
      </w:r>
      <w:r>
        <w:t xml:space="preserve"> Changes in labour productivity feed through directly to national income. An external shock, like climate change, which may substantially reduce the productivity of workers is therefore a macroeconomic concern. The biophysical impact of higher temperatures on human performance is well documented. Less well understood are the wider effects of higher temperatures on the aggregate productivity of modern, diversified economies, where economic output is produced in contexts ranging from outdoor agriculture to work in air-conditioned buildings. Working conditions are at least to some extent the result of societal choices, which means that the labour productivity effects of heat can be alleviated through careful adaptation. A range of technical, regulatory/infrastructural and behavioural options are available to individuals, businesses and governments. The importance of local contexts prevents a general ranking of the available measures, but many appear cost-effective. Promising options include the optimization of working hours and passive cooling mechanisms. Climate-smart urban planning and adjustments to building design are most suitable to respond to high base temperature, while air conditioning can respond flexibly to short temperature peaks if there is sufficient cheap, reliable and clean electricity.Key policy insights The effect of heat stress on labour productivity is a key eco</w:t>
      </w:r>
    </w:p>
    <w:p>
      <w:pPr/>
      <w:r>
        <w:rPr>
          <w:b/>
        </w:rPr>
        <w:t>POSSIBLE 2018:</w:t>
      </w:r>
      <w:r>
        <w:t xml:space="preserve"> Evaluation of adaptation options to flood risk in a probabilistic framework — https://doi.org/10.1016/j.ejrh.2018.07.001</w:t>
      </w:r>
    </w:p>
    <w:p>
      <w:pPr/>
      <w:r>
        <w:rPr>
          <w:b/>
        </w:rPr>
        <w:t>Shared claim-specific concepts:</w:t>
      </w:r>
      <w:r>
        <w:t xml:space="preserve"> adaptation, options, but; EU scope not established. This is a provisional connection, not an outcome finding.</w:t>
      </w:r>
    </w:p>
    <w:p>
      <w:pPr>
        <w:pStyle w:val="SourceNote"/>
      </w:pPr>
      <w:r>
        <w:rPr>
          <w:b/>
        </w:rPr>
        <w:t>Available abstract (not full text):</w:t>
      </w:r>
      <w:r>
        <w:t xml:space="preserve"> Study region City of Niamey, Niger, West Africa. Study focus This paper aims to explore the possibility of implementing a probabilistic framework for flood risk estimation for the city of Niamey, Niger. A probabilistic set of flood maps were generated by forcing a HEC-RAS model with a stochastically generated ensemble of flood peaks representing the river regime at Niamey. Loss curves were derived from expert judgment, and various adaptation options to flood risk were examined by considering two main variables: a) buildings’ material; b) dike height (ranged from 180.5 m to 184 m, at a 0.5 m interval) within a scenario-based framework. Floods with return periods of 2- to 1000-yr were considered in estimating total loss, and benefits and costs of different adaptation options were compared. New hydrological insights for the region It was found that increasing the height of the dikes would lead to smaller economic losses, while rebuilding with better materials would increase the average annual economic losses, but might decrease the risk of human casualties. Individual and combined impact of decision variables on flood risk were estimated for the city of Niamey. Quantitative tools were developed to help decision-makers and regulators choose the best preventive measures to mitigate flood risk.</w:t>
      </w:r>
    </w:p>
    <w:p>
      <w:pPr/>
      <w:r>
        <w:rPr>
          <w:b/>
        </w:rPr>
        <w:t>POSSIBLE 2017:</w:t>
      </w:r>
      <w:r>
        <w:t xml:space="preserve"> Sunflower crop and climate change: vulnerability, adaptation, and mitigation potential from case-studies in Europe — https://doi.org/10.1051/ocl/2016052</w:t>
      </w:r>
    </w:p>
    <w:p>
      <w:pPr/>
      <w:r>
        <w:rPr>
          <w:b/>
        </w:rPr>
        <w:t>Shared claim-specific concepts:</w:t>
      </w:r>
      <w:r>
        <w:t xml:space="preserve"> adaptation, opportunities, but, account; EU scope visible. This is a provisional connection, not an outcome finding.</w:t>
      </w:r>
    </w:p>
    <w:p>
      <w:pPr>
        <w:pStyle w:val="SourceNote"/>
      </w:pPr>
      <w:r>
        <w:rPr>
          <w:b/>
        </w:rPr>
        <w:t>Available abstract (not full text):</w:t>
      </w:r>
      <w:r>
        <w:t xml:space="preserve"> Climate change is characterized by higher temperatures, elevated atmospheric CO2 concentrations, extreme climatic hazards, and less water available for agriculture. Sunflower, a spring-sown crop often cultivated in southern and eastern regions of Europe, could be more vulnerable to the direct effect of heat stress at anthesis and drought during its growing cycle, both factors resulting in severe yield loss, oil content decrease, and fatty acid alterations. Adaptations through breeding (earliness, stress tolerance), crop management (planting dates), and shifting of growing areas could be developed, assessed and combined to partly cope with these negative impacts. New cultivation opportunities could be expected in northern parts of Europe where sunflower is not grown presently and where it could usefully contribute to diversify cereal-based cropping systems. In addition, sunflower crop could participate to the mitigation solution as a low greenhouse gas emitter compared to cereals and oilseed rape. Sunflower crop models should be revised to account for these emerging environmental factors in order to reduce the uncertainties in yield and oil predictions. The future of sunflower in Europe is probably related to its potential adaptation to climate change but also to its competitiveness and attractiveness for food and energy.</w:t>
      </w:r>
    </w:p>
    <w:p>
      <w:pPr/>
      <w:r>
        <w:rPr>
          <w:b/>
        </w:rPr>
        <w:t>POSSIBLE 2016:</w:t>
      </w:r>
      <w:r>
        <w:t xml:space="preserve"> Adaptation Pathways and Real Options Analysis: An approach to deep uncertainty in climate change adaptation policies — https://doi.org/10.1016/j.polsoc.2016.05.002</w:t>
      </w:r>
    </w:p>
    <w:p>
      <w:pPr/>
      <w:r>
        <w:rPr>
          <w:b/>
        </w:rPr>
        <w:t>Shared claim-specific concepts:</w:t>
      </w:r>
      <w:r>
        <w:t xml:space="preserve"> adaptation, options, complex; EU scope not established. This is a provisional connection, not an outcome finding.</w:t>
      </w:r>
    </w:p>
    <w:p>
      <w:pPr>
        <w:pStyle w:val="SourceNote"/>
      </w:pPr>
      <w:r>
        <w:rPr>
          <w:b/>
        </w:rPr>
        <w:t>Available abstract (not full text):</w:t>
      </w:r>
      <w:r>
        <w:t xml:space="preserve"> Abstract Governments face the daunting task of developing policies and making investment decisions for climate change adaptation in an environment that consist of complex, interlinked systems with manifold uncertainties. Instead of responding to surprises and making decisions on ad hoc basis, a structured approach to deal with complex systems and uncertainties can provide indispensable support for policy making. This contribution proposes a structured approach for designing climate adaptation policies based on the concepts of Adaptation Pathways, Adaptive Policy Making, and Real Options Analysis. Such an approach results in incorporation of flexibility that allows change over time in response to how the future unfolds, what is learned about the system, and changes in societal preferences. The approach is illustrated by looking at drainage policies and measures to address flooding in Singapore.</w:t>
      </w:r>
    </w:p>
    <w:p>
      <w:pPr>
        <w:pStyle w:val="Heading2"/>
      </w:pPr>
      <w:r>
        <w:t>818.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2023:</w:t>
      </w:r>
      <w:r>
        <w:t xml:space="preserve"> Harnessing on the potential of migrants in the socio-economic development of the Republic of Moldova — https://doi.org/10.53486/2537-6179.9-1.01</w:t>
      </w:r>
    </w:p>
    <w:p>
      <w:pPr/>
      <w:r>
        <w:rPr>
          <w:b/>
        </w:rPr>
        <w:t>Shared claim-specific concepts:</w:t>
      </w:r>
      <w:r>
        <w:t xml:space="preserve"> socio-economic, population, current, currently; EU scope visible. This is a provisional connection, not an outcome finding.</w:t>
      </w:r>
    </w:p>
    <w:p>
      <w:pPr>
        <w:pStyle w:val="SourceNote"/>
      </w:pPr>
      <w:r>
        <w:rPr>
          <w:b/>
        </w:rPr>
        <w:t>Available abstract (not full text):</w:t>
      </w:r>
      <w:r>
        <w:t xml:space="preserve"> Migration is an important component of the development of the Republic of Moldova at the current stage. The economic and social instability that followed after obtaining political independence in 1991, the inefficiency of reforms in several socio-economic fields, the institutional uncertainty led the population to migrate, this being a strategy to adapt it to the created conjuncture situation. The increase in intensity migration was also influenced by the processes of liberalization of entry and exit procedures from the territory of the Republic of Moldova. Currently, our country represents one of the countries in the world with the largest shares of the migrant working population, as well as the share of remittances in GDP, the effects of migration being felt in all areas of social-economic life in the country. Concern for the support of migrants over time has materialized through the creation of governmental structures with the aim of monitoring and launching various strategies, programs, projects addressed to citizens outside the country's borders. Ensuring the reintegration of returned migrants, after a migratory experience of work or life abroad, is of great importance both for citizens and for the state authorities that have the duty to support emigrant citizens regardless of their options to return or settle in the adoptive country. Through this scientific approach, the </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coherent, between, climate;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2022:</w:t>
      </w:r>
      <w:r>
        <w:t xml:space="preserve"> THE INFLUENCE OF ECONOMIC MENTALITY ON SOCIO-ECONOMIC DEVELOPMENT — https://doi.org/10.55643/fcaptp.1.42.2022.3670</w:t>
      </w:r>
    </w:p>
    <w:p>
      <w:pPr/>
      <w:r>
        <w:rPr>
          <w:b/>
        </w:rPr>
        <w:t>Shared claim-specific concepts:</w:t>
      </w:r>
      <w:r>
        <w:t xml:space="preserve"> socio-economic, between, current; EU scope not established. This is a provisional connection, not an outcome finding.</w:t>
      </w:r>
    </w:p>
    <w:p>
      <w:pPr>
        <w:pStyle w:val="SourceNote"/>
      </w:pPr>
      <w:r>
        <w:rPr>
          <w:b/>
        </w:rPr>
        <w:t>Available abstract (not full text):</w:t>
      </w:r>
      <w:r>
        <w:t xml:space="preserve"> Abstract. The current stage of socio-economic development is characterized by structural reforms connected with forming of competitive market environment, development of various forms of ownership, formation of qualitatively new forms of economic activity organization, deepening integration processes. Authors underline inconsistenciesbetween the interaction of the formal and historically formed informal institutions actualizes the role of economic mentality, since it directly influences the general vector of socio-economic system development. The article draws attention to the informal component of the institutional environment — economic mentality, which haracterizes the historically formed values, motives and models of economic behavior of individual and collective actors that directly affect the overall vector of socio-economic system development and transformation.It is determined that economic mentality determines the dynamics of the institutional environment development of by influencing the effectiveness of formal and informal institutions interaction, ensuring the performance of complementary functions; mediates the process of institutionalization of historically determined values, stereotypes and models of economic behavior in the system of formal norms and rules; provides under the influence of other socio-economic factors adaptability and dynamism of nstitutional str</w:t>
      </w:r>
    </w:p>
    <w:p>
      <w:pPr/>
      <w:r>
        <w:rPr>
          <w:b/>
        </w:rPr>
        <w:t>POSSIBLE 2022:</w:t>
      </w:r>
      <w:r>
        <w:t xml:space="preserve"> Political Leadership and Socio-economic Development of Rivers State — https://doi.org/10.51699/cajssh.v3i4.283</w:t>
      </w:r>
    </w:p>
    <w:p>
      <w:pPr/>
      <w:r>
        <w:rPr>
          <w:b/>
        </w:rPr>
        <w:t>Shared claim-specific concepts:</w:t>
      </w:r>
      <w:r>
        <w:t xml:space="preserve"> socio-economic, population, compared; EU scope not established. This is a provisional connection, not an outcome finding.</w:t>
      </w:r>
    </w:p>
    <w:p>
      <w:pPr>
        <w:pStyle w:val="SourceNote"/>
      </w:pPr>
      <w:r>
        <w:rPr>
          <w:b/>
        </w:rPr>
        <w:t>Available abstract (not full text):</w:t>
      </w:r>
      <w:r>
        <w:t xml:space="preserve"> The paper examined the role of political leadership on socio-economic development of Rivers State. The study raised two research questions and two corresponding objectives. Elite theory was adopted as the theoretical frame work. Both primary and secondary data were utilized. The population for this study is 7,303,924 based on 2022 city projected population. A sample of 400 respondents was drawn with the aid of Taro Yamene formula. The study adopted stratified sampling and purposive sampling technique to administer the research instrument to the respondents. The study generated data from primary and secondary sources. A questionnaire instrument was used in this study titled; “Role of Political Leadership on Socio-economic Development Questionnaire (RPLSEDQ)”. The study employed the test-re-test method. This method allowed the researcher to assess the survey instrument by applying two separate measurements on the same elements at different times with the same methods. The outcome of the pilot survey was compared with that of the final survey to confirm if the results are the same. The data generated were analyzed with Mean and Standard Deviation through the aid of SPSS version 25. The criterion mean was 2.5 which implied that any item found equal or above 2.5 was accounted as Agreed, while item means lesser than 2.5 were interpreted to be disagreed. The study found that the polit</w:t>
      </w:r>
    </w:p>
    <w:p>
      <w:pPr/>
      <w:r>
        <w:rPr>
          <w:b/>
        </w:rPr>
        <w:t>POSSIBLE 2022:</w:t>
      </w:r>
      <w:r>
        <w:t xml:space="preserve"> REMITTANCE OF INDIAN IMMIGRANTS: CATALYTIC FOR SOCIO-ECONOMIC DEVELOPMENT — https://doi.org/10.47509/ijaeb.2023.v05i01.09</w:t>
      </w:r>
    </w:p>
    <w:p>
      <w:pPr/>
      <w:r>
        <w:rPr>
          <w:b/>
        </w:rPr>
        <w:t>Shared claim-specific concepts:</w:t>
      </w:r>
      <w:r>
        <w:t xml:space="preserve"> socio-economic, population, range, annual; EU scope not established. This is a provisional connection, not an outcome finding.</w:t>
      </w:r>
    </w:p>
    <w:p>
      <w:pPr>
        <w:pStyle w:val="SourceNote"/>
      </w:pPr>
      <w:r>
        <w:rPr>
          <w:b/>
        </w:rPr>
        <w:t>Available abstract (not full text):</w:t>
      </w:r>
      <w:r>
        <w:t xml:space="preserve"> Immigrants have become an integral component of socio-economic development, and play a diverse set of roles, preserving a range of influences on the economy of their origin. International migration, usually network-driven is a natural consequence of capitalist market formation in the developing world penetrating peripheral regions. Every year 2.5 million (25 lakh) Indians migrate overseas, which is the highest annual number of migrants in the world. Indians represent the second largest U.S. immigrant group, after Mexicans and ahead of Chinese and Filipinos. The 2.7 million Indianimmigrants residing in the United States as of 2021 made up 6 per cent of the total foreignborn population, and their numbers continue to expand. USA ranks second on the list with so many growth opportunities accessible for Indians in the spheres of technology and biological sciences. Based on secondary sources of data, the present research assesses the trend, major flow of immigrants and their contribution to the development of Indian economy, which concludes that with the help of remittances, immigration can contribute positively to the developmental activity of a country, including employment, economic growth, poverty reduction, social empowerment, and technological progress.</w:t>
      </w:r>
    </w:p>
    <w:p>
      <w:pPr/>
      <w:r>
        <w:rPr>
          <w:b/>
        </w:rPr>
        <w:t>POSSIBLE 2021:</w:t>
      </w:r>
      <w:r>
        <w:t xml:space="preserve"> Modern trends in the socio-economic development of the Moscow region — https://doi.org/10.25634/mirbis.2021.4.15</w:t>
      </w:r>
    </w:p>
    <w:p>
      <w:pPr/>
      <w:r>
        <w:rPr>
          <w:b/>
        </w:rPr>
        <w:t>Shared claim-specific concepts:</w:t>
      </w:r>
      <w:r>
        <w:t xml:space="preserve"> socio-economic, population, current; EU scope not established. This is a provisional connection, not an outcome finding.</w:t>
      </w:r>
    </w:p>
    <w:p>
      <w:pPr>
        <w:pStyle w:val="SourceNote"/>
      </w:pPr>
      <w:r>
        <w:rPr>
          <w:b/>
        </w:rPr>
        <w:t>Available abstract (not full text):</w:t>
      </w:r>
      <w:r>
        <w:t xml:space="preserve"> Насущной проблемой развития отечественной экономики является переход к устойчивому экономическому росту, который будет способствовать закреплению России в составе государств, освоивших шестой технологический уклад. В нынешних условиях концепция управления социальноэкономическим развитием, нацеленная на повышение эффективности экономики трансформируется в вектор, направленный на существенное преобразование параметров и требований к повышению качества условий жизнедеятельности гражданина страны. Важно отметить при этом, что именно от региональных властей требуется проведение политики, направленной на всеобъемлющее повышение качественных параметров уровня жизни населения. В статье рассматриваются особенности развития Московской области, возможности устойчивой прогрессивной динамики по ключевым параметрам в долгосрочной перспективе. Анализируются управленческие решения органов региональной власти по определению приоритетов и направлений прогресса социальной и экономической систем, характеризуются достижения субъекта Федерации в рамках стратегии социально-экономического развития до 2030 год. This An urgent problem in the development of the domestic economy is the transition to sustainable economic growth, which will contribute to the consolidation of Russia among the states that have mastered the sixth technological mode. In the current conditions, the concept of managing socio-econ</w:t>
      </w:r>
    </w:p>
    <w:p>
      <w:pPr/>
      <w:r>
        <w:rPr>
          <w:b/>
        </w:rPr>
        <w:t>POSSIBLE 2019:</w:t>
      </w:r>
      <w:r>
        <w:t xml:space="preserve"> A protocol to develop Shared Socio-economic Pathways for European agriculture — https://doi.org/10.1016/j.jenvman.2019.109701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pPr/>
      <w:r>
        <w:rPr>
          <w:b/>
        </w:rPr>
        <w:t>POSSIBLE 2018:</w:t>
      </w:r>
      <w:r>
        <w:t xml:space="preserve"> National Identities and Socio-Economic Development in European Union — https://openalex.org/W2904096159</w:t>
      </w:r>
    </w:p>
    <w:p>
      <w:pPr/>
      <w:r>
        <w:rPr>
          <w:b/>
        </w:rPr>
        <w:t>Shared claim-specific concepts:</w:t>
      </w:r>
      <w:r>
        <w:t xml:space="preserve"> socio-economic, between; EU scope visible. This is a provisional connection, not an outcome finding.</w:t>
      </w:r>
    </w:p>
    <w:p>
      <w:pPr>
        <w:pStyle w:val="SourceNote"/>
      </w:pPr>
      <w:r>
        <w:rPr>
          <w:b/>
        </w:rPr>
        <w:t>Available abstract (not full text):</w:t>
      </w:r>
      <w:r>
        <w:t xml:space="preserve"> This paper analyses the relationship between identity and level of socio-economic development in the member states of the European Union. This work is an empirical study which uses original data on the number of national mottos and country logos, GDP/ Capita and Human Development Index (HDI) for 2016 disaggregated by states of the EU28. Our findings suggest the existence of a symmetrical interdependence between the consistency of national identities and the degree of socio-economic development, between which there is a relative territorial overlap. We attempt to demonstrate that the symmetry of their arrangement with each other maps out a community-wide asymmetry, resulting in a territorial cohesion deficit and segregated segregation of the Union, generating an asymmetric European Union with more identity-development speeds.</w:t>
      </w:r>
    </w:p>
    <w:p>
      <w:pPr/>
      <w:r>
        <w:rPr>
          <w:b/>
        </w:rPr>
        <w:t>POSSIBLE 2018:</w:t>
      </w:r>
      <w:r>
        <w:t xml:space="preserve"> New European socio-economic scenarios for climate change research: operationalising concepts to extend the shared socio-economic pathways — https://doi.org/10.1007/s10113-018-1400-0</w:t>
      </w:r>
    </w:p>
    <w:p>
      <w:pPr/>
      <w:r>
        <w:rPr>
          <w:b/>
        </w:rPr>
        <w:t>Shared claim-specific concepts:</w:t>
      </w:r>
      <w:r>
        <w:t xml:space="preserve"> socio-economic, pathways, climate; EU scope visible. This is a provisional connection, not an outcome finding.</w:t>
      </w:r>
    </w:p>
    <w:p>
      <w:pPr>
        <w:pStyle w:val="SourceNote"/>
      </w:pPr>
      <w:r>
        <w:rPr>
          <w:b/>
        </w:rPr>
        <w:t>Available abstract (not full text):</w:t>
      </w:r>
      <w:r>
        <w:t xml:space="preserve"> Scenarios have been recognised as a useful tool for planning, which have resulted in a strong increase in the number of (multi-scale) scenarios in climate change research. This paper addresses the need for methodological progress and testing of conceptual considerations, by extending the global shared socio-economic pathways (SSPs). We present a set of four European SSPs until 2100 and a novel method to develop qualitative stories for Europe equivalent to the global SSPs starting from an existing set of European scenarios. Similar to the global SSPs, the set includes a sustainable future with global cooperation and less intensive lifestyles (We are the World; Eur-SSP1); a future in which countries struggle to maintain living standards in a high-carbon intensive Europe (Icarus; Eur-SSP3); a world in which power becomes concentrated in a small elite and where Europe becomes an important player (Riders on the Storm; Eur-SSP4); and one where a lack of environmental concern leads to the over-exploitation of fossil fuel resources addressed by technological solutions (Fossil-fuelled Development; Eur-SSP5). We conclude that the global SSPs are a good starting point for developing equivalent continental scale scenarios that, in turn, can serve multiple purposes. There are, however, methodological challenges related to the choice for equivalence and the exact methods by which scenarios a</w:t>
      </w:r>
    </w:p>
    <w:p>
      <w:pPr/>
      <w:r>
        <w:rPr>
          <w:b/>
        </w:rPr>
        <w:t>POSSIBLE 2016:</w:t>
      </w:r>
      <w:r>
        <w:t xml:space="preserve"> European Union policy for the socio-economic development of Africa — https://doi.org/10.22630/amme.2016.2.1.3</w:t>
      </w:r>
    </w:p>
    <w:p>
      <w:pPr/>
      <w:r>
        <w:rPr>
          <w:b/>
        </w:rPr>
        <w:t>Shared claim-specific concepts:</w:t>
      </w:r>
      <w:r>
        <w:t xml:space="preserve"> socio-economic, between, current; EU scope visible. This is a provisional connection, not an outcome finding.</w:t>
      </w:r>
    </w:p>
    <w:p>
      <w:pPr>
        <w:pStyle w:val="SourceNote"/>
      </w:pPr>
      <w:r>
        <w:rPr>
          <w:b/>
        </w:rPr>
        <w:t>Available abstract (not full text):</w:t>
      </w:r>
      <w:r>
        <w:t xml:space="preserve"> The main goal of the research was to show the European Union’s policy towards the regional development of the African continent. Recently, Africa has played a very important role on the international political arena and it has been empowered thanks to a plentiful supply of raw materials. The Communities’ help is based mainly on financial support and promotion of the Mediterranean area. Under the long-term cooperation between the two continents, many agreements, acts, and documents have been signed that would directly benefit the African states and indirectly help the entire European Union. While these documents and agreements cover a variety of matters, including environmental protection and human rights, they are diffuse and lack clear goals. The article relies on the relevant and current literature and a variety of statistics.</w:t>
      </w:r>
    </w:p>
    <w:p>
      <w:pPr>
        <w:pStyle w:val="Heading2"/>
      </w:pPr>
      <w:r>
        <w:t>819.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pStyle w:val="Heading2"/>
      </w:pPr>
      <w:r>
        <w:t>820.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2021:</w:t>
      </w:r>
      <w:r>
        <w:t xml:space="preserve"> Second bottom-up model simulations : Deliverably D3.5 — https://openalex.org/W3211137343</w:t>
      </w:r>
    </w:p>
    <w:p>
      <w:pPr/>
      <w:r>
        <w:rPr>
          <w:b/>
        </w:rPr>
        <w:t>Shared claim-specific concepts:</w:t>
      </w:r>
      <w:r>
        <w:t xml:space="preserve"> bottom-up, system, role; EU scope visible. This is a provisional connection, not an outcome finding.</w:t>
      </w:r>
    </w:p>
    <w:p>
      <w:pPr>
        <w:pStyle w:val="SourceNote"/>
      </w:pPr>
      <w:r>
        <w:rPr>
          <w:b/>
        </w:rPr>
        <w:t>Available abstract (not full text):</w:t>
      </w:r>
      <w:r>
        <w:t xml:space="preserve"> Models play a crucial role in the quantification of GHG emissions. They can extrapolate and interpolate measurements spatially and temporally. Different models are designed for different purposes, from data-driven models that make the most efficient use of existing data, to process-based models which provide increased resolution of underlying driving mechanisms. VERIFY incorporates a wide variety of different model types to enable the system to respond to a far-reaching host of questions.Therefore, the aim of this WP is to simulate terrestrial carbon fluxes in both natural and anthropogenic systems. Using harmonized input data collected and reported on in D3.2, WP3 produced a variety of gridded flux and stock estimates of carbon within Europe. This particular deliverable shows carbon dioxide emissions from croplands, grasslands, and forests across the continent, using a variety of approaches. These approaches include models making extensive use of country-level statistics, those aiming for comprehensive descriptions of ecosystem processes, and statistical upscaling of site-level results to the continental scale.This deliverable provides details about the results of the second round of simulations from the bottom-up land models. Simulation methods will be improved during the course of the project, reflecting new scientific and technical understanding.</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2020:</w:t>
      </w:r>
      <w:r>
        <w:t xml:space="preserve"> Classification and challenges of bottom-up energy system models - A review — https://doi.org/10.1016/j.rser.2020.109917</w:t>
      </w:r>
    </w:p>
    <w:p>
      <w:pPr/>
      <w:r>
        <w:rPr>
          <w:b/>
        </w:rPr>
        <w:t>Shared claim-specific concepts:</w:t>
      </w:r>
      <w:r>
        <w:t xml:space="preserve"> bottom-up, energy, system, used, current, long-term; EU scope not established. This is a provisional connection, not an outcome finding.</w:t>
      </w:r>
    </w:p>
    <w:p>
      <w:pPr>
        <w:pStyle w:val="SourceNote"/>
      </w:pPr>
      <w:r>
        <w:rPr>
          <w:b/>
        </w:rPr>
        <w:t>Available abstract (not full text):</w:t>
      </w:r>
      <w:r>
        <w:t xml:space="preserve"> This paper reviews the classification schemes used for bottom-up energy system modelling and proposes a novel one as re-elaboration of the previous schemes. Moreover, this paper identifies that the main challenges of this research field rotate around the concept of resolution. A matrix of challenges in which four main fields are identified: resolution in time, in space, in techno-economic detail and in sector-coupling. These main fields are divided into different levels of resolution: low, medium and high. The use of a low resolution introduces errors in the modelling as demonstrated by different studies. Several existing bottom-up energy system models are reviewed in order to classify them according to the proposed approach and map them through the proposed matrix. 13 different models are analyzed in the category of bottom-up short-term and 9 as bottom-up long-term energy system models. The following mapping shows how several models reach a high level of resolution in one or more than one area. However, the ultimate challenge is the simultaneous achievement of high resolution in all these fields. The literature review has shown how this final aim is not reached by any model at the current stage and it highlights the gap and weaknesses of this branch of research and the direction versus which is important to work to improve this type of modelling.</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energy, climate, become;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2020:</w:t>
      </w:r>
      <w:r>
        <w:t xml:space="preserve"> HERMESv3, a stand-alone multi-scale atmospheric emission modelling framework – Part 2: The bottom–up module — https://doi.org/10.5194/gmd-13-873-2020</w:t>
      </w:r>
    </w:p>
    <w:p>
      <w:pPr/>
      <w:r>
        <w:rPr>
          <w:b/>
        </w:rPr>
        <w:t>Shared claim-specific concepts:</w:t>
      </w:r>
      <w:r>
        <w:t xml:space="preserve"> bottom-up, system, two; EU scope visible. This is a provisional connection, not an outcome finding.</w:t>
      </w:r>
    </w:p>
    <w:p>
      <w:pPr>
        <w:pStyle w:val="SourceNote"/>
      </w:pPr>
      <w:r>
        <w:rPr>
          <w:b/>
        </w:rPr>
        <w:t>Available abstract (not full text):</w:t>
      </w:r>
      <w:r>
        <w:t xml:space="preserve"> Abstract. We describe the bottom-up module of the High-Elective Resolution Modelling Emission System version 3 (HERMESv3), a python-based and multiscale modelling tool intended for the processing and computation of atmospheric emissions for air quality modelling. HERMESv3 is composed of two separate modules: the global_regional module and the bottom_up module. In a companion paper (Part 1, Guevara et al., 2019) we presented the global_regional module. The bottom_up module described in this contribution is an emission model that estimates anthropogenic emissions at high spatial (e.g. road link level) and temporal (hourly) resolution using state-of-the-art calculation methods that combine local activity and emission factors along with meteorological data. The model computes bottom-up emissions from point sources, road transport, residential and commercial combustion, other mobile sources and agricultural activities. The computed pollutants include main criteria pollutants (i.e. NOx, CO, NMVOC, SOx, NH3, PM10 and PM2.5) and greenhouse gases (i.e. CO2 and CH4, only related to combustion processes). Specific emission estimation methodologies are provided for each source, and are mostly based on (but not limited to) the calculation methodologies reported by the European EMEP/EEA air pollutant emission inventory guidebook. Meteorological-dependent functions are also included to take i</w:t>
      </w:r>
    </w:p>
    <w:p>
      <w:pPr/>
      <w:r>
        <w:rPr>
          <w:b/>
        </w:rPr>
        <w:t>POSSIBLE 2019:</w:t>
      </w:r>
      <w:r>
        <w:t xml:space="preserve"> Modelling flexible power demand and supply in the EU power system: soft-linking between JRC-EU-TIMES and the open-source Dispa-SET model — https://openalex.org/W3002138420</w:t>
      </w:r>
    </w:p>
    <w:p>
      <w:pPr/>
      <w:r>
        <w:rPr>
          <w:b/>
        </w:rPr>
        <w:t>Shared claim-specific concepts:</w:t>
      </w:r>
      <w:r>
        <w:t xml:space="preserve"> jrc-eu-times, eu28, energy, system, used, assess; EU scope visible. This is a provisional connection, not an outcome finding.</w:t>
      </w:r>
    </w:p>
    <w:p>
      <w:pPr>
        <w:pStyle w:val="SourceNote"/>
      </w:pPr>
      <w:r>
        <w:rPr>
          <w:b/>
        </w:rPr>
        <w:t>Available abstract (not full text):</w:t>
      </w:r>
      <w:r>
        <w:t xml:space="preserve"> Modelling the variability of renewable energy sources together with flexible and/or storage technologies is highly relevant for the current EU power system. Dispa-SET is an open-source unit commitment and optimal dispatch model that covers various energy sectors (power systems, heating &amp; cooling, transportation) and the 26 European countries plus Switzerland and Norway. It uses high-resolution time series for the demands, renewable generation and outages to optimize the system operation under technical constraints (e.g. maximum ramping rates of power plants, interconnection capacities, heating &amp; cooling constraints, etc.). This work evaluates the application of the model on the ENTSOE EU28 open-dataset and calibrates critical inputs such as renewables availability, power plant outages, hydro levels and power demands to match historic data for the year 2016. The calibrated model is finally used to assess the implementation of future low carbon EU strategies and policies through several “what if” scenarios and soft linking with the JRC-EU-TIMES model.</w:t>
      </w:r>
    </w:p>
    <w:p>
      <w:pPr/>
      <w:r>
        <w:rPr>
          <w:b/>
        </w:rPr>
        <w:t>POSSIBLE 2019:</w:t>
      </w:r>
      <w:r>
        <w:t xml:space="preserve"> Life cycle assessment integration into energy system models: An application for Power-to-Methane in the EU — https://doi.org/10.1016/j.apenergy.2019.114160</w:t>
      </w:r>
    </w:p>
    <w:p>
      <w:pPr/>
      <w:r>
        <w:rPr>
          <w:b/>
        </w:rPr>
        <w:t>Shared claim-specific concepts:</w:t>
      </w:r>
      <w:r>
        <w:t xml:space="preserve"> jrc-eu-times, energy, system, used, climate, indicate; EU scope visible. This is a provisional connection, not an outcome finding.</w:t>
      </w:r>
    </w:p>
    <w:p>
      <w:pPr>
        <w:pStyle w:val="SourceNote"/>
      </w:pPr>
      <w:r>
        <w:rPr>
          <w:b/>
        </w:rPr>
        <w:t>Available abstract (not full text):</w:t>
      </w:r>
      <w:r>
        <w:t xml:space="preserve"> As the EU energy system transitions to low carbon, the technology choices should consider a broader set of criteria. The use of Life Cycle Assessment (LCA) prevents burden shift across life cycle stages or impact categories, while the use of Energy System Models (ESM) allows evaluating alternative policies, capacity evolution and covering all the sectors. This study does an ex-post LCA analysis of results from JRC-EU-TIMES and estimates the environmental impact indicators across 18 categories in scenarios that achieve 80–95% CO2 emission reduction by 2050. Results indicate that indirect CO2 emissions can be as large as direct ones for an 80% CO2 reduction target and up to three times as large for 95% CO2 reduction. Impact across most categories decreases by 20–40% as the CO2 emission target becomes stricter. However, toxicity related impacts can become 35–100% higher. The integrated framework was also used to evaluate the Power-to-Methane (PtM) system to relate the electricity mix and various CO2 sources to the PtM environmental impact. To be more attractive than natural gas, the climate change impact of the electricity used for PtM should be 123–181 gCO2eq/kWh when the CO2 comes from air or biogenic sources and 4–62 gCO2eq/kWh if the CO2 is from fossil fuels. PtM can have an impact up to 10 times larger for impact categories other than climate change. A system without PtM resu</w:t>
      </w:r>
    </w:p>
    <w:p>
      <w:pPr/>
      <w:r>
        <w:rPr>
          <w:b/>
        </w:rPr>
        <w:t>POSSIBLE 2019:</w:t>
      </w:r>
      <w:r>
        <w:t xml:space="preserve"> How will second-use of batteries affect stocks and flows in the EU? A model for traction Li-ion batteries — https://doi.org/10.1016/j.resconrec.2019.02.022</w:t>
      </w:r>
    </w:p>
    <w:p>
      <w:pPr/>
      <w:r>
        <w:rPr>
          <w:b/>
        </w:rPr>
        <w:t>Shared claim-specific concepts:</w:t>
      </w:r>
      <w:r>
        <w:t xml:space="preserve"> energy, two; EU scope visible. This is a provisional connection, not an outcome finding.</w:t>
      </w:r>
    </w:p>
    <w:p>
      <w:pPr>
        <w:pStyle w:val="SourceNote"/>
      </w:pPr>
      <w:r>
        <w:rPr>
          <w:b/>
        </w:rPr>
        <w:t>Available abstract (not full text):</w:t>
      </w:r>
      <w:r>
        <w:t xml:space="preserve"> Although not yet developed in Europe, second-use of traction batteries enables an extension of their lifetime and potentially improves life cycle environmental performance. Li-ion batteries (LIBs) offer the most promising chemistry for traction batteries in electric vehicles (xEVs) and for second-use. Due to the novelty of the topic and the expected increase of e-mobility in the next decades, more efforts to understand the potential consequences of second-use of batteries from different perspectives are needed. This paper develops a dynamic, parameterised Material Flow Analysis (MFA) model to estimate stocks and flows of LIBs after their removal from xEVs along the specific processes of the european value-chain. Direct reuse, second-use and recycling are included in the model and parameters make it customisable and updatable. Focusing on full and plug-in electric vehicles, LIBs and energy storage capacity flows are estimated. Stocks and flows of two embedded materials relevant for Europe were also assessed (cobalt and lithium). Results showed that second-use corresponds to a better exploitation of LIBs' storage capacity. Meanwhile, Co and Li in-use stocks are locked in LIBs and their recovery is delayed by second-use; depending on the slower/faster development of second-use, the amount of Co available for recycling in 2030 ranges between 9% and 15% of Co demand and between 7 an</w:t>
      </w:r>
    </w:p>
    <w:p>
      <w:pPr/>
      <w:r>
        <w:rPr>
          <w:b/>
        </w:rPr>
        <w:t>POSSIBLE 2018:</w:t>
      </w:r>
      <w:r>
        <w:t xml:space="preserve"> VEIN v0.2.2: an R package for bottom–up vehicular emissions inventories — https://doi.org/10.5194/gmd-11-2209-2018</w:t>
      </w:r>
    </w:p>
    <w:p>
      <w:pPr/>
      <w:r>
        <w:rPr>
          <w:b/>
        </w:rPr>
        <w:t>Shared claim-specific concepts:</w:t>
      </w:r>
      <w:r>
        <w:t xml:space="preserve"> bottom-up, used, climate, current; EU scope not established. This is a provisional connection, not an outcome finding.</w:t>
      </w:r>
    </w:p>
    <w:p>
      <w:pPr>
        <w:pStyle w:val="SourceNote"/>
      </w:pPr>
      <w:r>
        <w:rPr>
          <w:b/>
        </w:rPr>
        <w:t>Available abstract (not full text):</w:t>
      </w:r>
      <w:r>
        <w:t xml:space="preserve"> Abstract. Emission inventories are the quantification of pollutants from different sources. They provide important information not only for climate and weather studies, but also for urban planning and environmental health protection. We developed an open source model (named VEIN v0.2.2) that provides high resolution vehicular emissions inventories for different fields of studies. We focused on vehicular sources at street and hourly levels % they are the major source of air pollution in megacities. due to the current lack of information about these sources, mainly in developing countries. The type of emissions covered by VEIN are: exhaust (hot and cold) and evaporative considering the deterioration of the factors. VEIN also performs speciation and incorporates functions to generate and spatially allocate emissions databases. It allows users to load their own emissions factors, but it also provides emissions factors from the road transport model (Copert), the United States Environmental Protection Agency (EPA) and Brazilian databases. The VEIN model reads, distributes by age of use and extrapolates hourly traffic data, and estimates hourly and spatially emissions. Based on our knowledge, VEIN is the first bottom-up vehicle emissions software that allows input to the WRF-Chem model. Therefore, the VEIN model provides an important, easy and fast way of elaborating or analyzing vehi</w:t>
      </w:r>
    </w:p>
    <w:p>
      <w:pPr>
        <w:pStyle w:val="Heading2"/>
      </w:pPr>
      <w:r>
        <w:t>821.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r>
        <w:rPr>
          <w:b/>
        </w:rPr>
        <w:t>POSSIBLE 2021:</w:t>
      </w:r>
      <w:r>
        <w:t xml:space="preserve"> 2021 IEEE PES Innovative Smart Grid Technologies Europe (ISGT-Europe) — https://doi.org/10.1109/isgteurope52324.2021.9640224</w:t>
      </w:r>
    </w:p>
    <w:p>
      <w:pPr/>
      <w:r>
        <w:rPr>
          <w:b/>
        </w:rPr>
        <w:t>Shared claim-specific concepts:</w:t>
      </w:r>
      <w:r>
        <w:t xml:space="preserve"> smart, grid, energy, perspectives; EU scope visible. This is a provisional connection, not an outcome finding.</w:t>
      </w:r>
    </w:p>
    <w:p>
      <w:pPr>
        <w:pStyle w:val="SourceNote"/>
      </w:pPr>
      <w:r>
        <w:rPr>
          <w:b/>
        </w:rPr>
        <w:t>Available abstract (not full text):</w:t>
      </w:r>
      <w:r>
        <w:t xml:space="preserve"> Power grids are evolving into smart grids in order to create a sustainable energy system.Decentralized, intermittent generation and demand management needs, among other things, make the grid more dynamic and demanding, thus posing a management challenge.Communication and information technologies are used extensively to address this challenge.Wider penetration of open, public communication networks and information technologies induces vulnerabilities into the system.Furthermore, critical infrastructure assets, such as power grids, are primary targets in cyber warfare and cyber criminality.The panelists will share experiences on reliability and security of power grids with perspectives of resilience, cybersecurity, operation and control, data-driven approaches, and mobile communication.</w:t>
      </w:r>
    </w:p>
    <w:p>
      <w:pPr/>
      <w:r>
        <w:rPr>
          <w:b/>
        </w:rPr>
        <w:t>POSSIBLE 2021:</w:t>
      </w:r>
      <w:r>
        <w:t xml:space="preserve"> A Survey on Energy Efficiency in Smart Homes and Smart Grids — https://doi.org/10.3390/en14217273</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Empowered by the emergence of novel information and communication technologies (ICTs) such as sensors and high-performance digital communication systems, Europe has adapted its electricity distribution network into a modern infrastructure known as a smart grid (SG). The benefits of this new infrastructure include precise and real-time capacity for measuring and monitoring the different energy-relevant parameters on the various points of the grid and for the remote operation and optimization of distribution. Furthermore, a new user profile is derived from this novel infrastructure, known as a prosumer (a user that can produce and consume energy to/from the grid), who can benefit from the features derived from applying advanced analytics and semantic technologies in the rich amount of big data generated by the different subsystems. However, this novel, highly interconnected infrastructure also presents some significant drawbacks, like those related to information security (IS). We provide a systematic literature survey of the ICT-empowered environments that comprise SGs and homes, and the application of modern artificial intelligence (AI) related technologies with sensor fusion systems and actuators, ensuring energy efficiency in such systems. Furthermore, we outline the current challenges and outlook for this field. These address new developments on microgrids, and data-driven e</w:t>
      </w:r>
    </w:p>
    <w:p>
      <w:pPr/>
      <w:r>
        <w:rPr>
          <w:b/>
        </w:rPr>
        <w:t>POSSIBLE 2020:</w:t>
      </w:r>
      <w:r>
        <w:t xml:space="preserve"> Smart grid encounters edge computing: opportunities and applications — https://doi.org/10.1016/j.adapen.2020.100006</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Smart grids (SGs) are reforming towards utilizing massive data for operations and services. During this reform, the information and communication technologies (ICTs) play a critical role, especially for the computing model, which determines how data analytics in SG can be executed. Edge computing (EC), a novel computing paradigm innovation, has high potential to help with the digitization of SG. This paper seeks to provide a comprehensive review of interdisciplinary research on EC applications in SG. First, an in-depth analysis of EC, including the definition, architectures, characteristics, and key enabling technologies is conducted from the perspective of SG application requirements. Afterward, this paper systematically explores application scenarios of EC in SG based on its characteristics. Beyond that, the synergistic effect of the integration of EC and SG is also assessed: SG not only benefits from EC but also supports EC to become sustainable. Challenges and open questions are then investigated.</w:t>
      </w:r>
    </w:p>
    <w:p>
      <w:pPr/>
      <w:r>
        <w:rPr>
          <w:b/>
        </w:rPr>
        <w:t>POSSIBLE 2019:</w:t>
      </w:r>
      <w:r>
        <w:t xml:space="preserve"> Determinants of the Smart Grid in energy projects — https://openalex.org/W2942906542</w:t>
      </w:r>
    </w:p>
    <w:p>
      <w:pPr/>
      <w:r>
        <w:rPr>
          <w:b/>
        </w:rPr>
        <w:t>Shared claim-specific concepts:</w:t>
      </w:r>
      <w:r>
        <w:t xml:space="preserve"> smart, grid, increasingly, energy, electricity; EU scope visible. This is a provisional connection, not an outcome finding.</w:t>
      </w:r>
    </w:p>
    <w:p>
      <w:pPr>
        <w:pStyle w:val="SourceNote"/>
      </w:pPr>
      <w:r>
        <w:rPr>
          <w:b/>
        </w:rPr>
        <w:t>Available abstract (not full text):</w:t>
      </w:r>
      <w:r>
        <w:t xml:space="preserve"> The development of electricity networks depends mainly on new technologies. Smart Grid – an intelligent, multi-grid is a tool for the future efficient use of increasingly expensive energy resources. In general, the implementation of intelligent networks will benefit individual customers, the national economy and the environment. Europe is now seeking to increase energy efficiency and reduce greenhouse gas emissions. The Smart Grid is a challenge which seeks to achieve this ambitious goal. The article presents the ideas of intelligent networks that will help energy companies to increase the reliability of energy supply and operational efficiency, expanding the scope of measurement and control of power systems and management of new technologies, even in the farthest points of the grid.</w:t>
      </w:r>
    </w:p>
    <w:p>
      <w:pPr/>
      <w:r>
        <w:rPr>
          <w:b/>
        </w:rPr>
        <w:t>POSSIBLE 2018:</w:t>
      </w:r>
      <w:r>
        <w:t xml:space="preserve"> Unbundled Smart meters in the new smart grid era: Assessment on compatibility with European standardisation efforts and with IoT features — https://doi.org/10.1109/melcon.2018.8379064</w:t>
      </w:r>
    </w:p>
    <w:p>
      <w:pPr/>
      <w:r>
        <w:rPr>
          <w:b/>
        </w:rPr>
        <w:t>Shared claim-specific concepts:</w:t>
      </w:r>
      <w:r>
        <w:t xml:space="preserve"> smart, grid, increasingly, energy, meters; EU scope visible. This is a provisional connection, not an outcome finding.</w:t>
      </w:r>
    </w:p>
    <w:p>
      <w:pPr>
        <w:pStyle w:val="SourceNote"/>
      </w:pPr>
      <w:r>
        <w:rPr>
          <w:b/>
        </w:rPr>
        <w:t>Available abstract (not full text):</w:t>
      </w:r>
      <w:r>
        <w:t xml:space="preserve"> With the new active distribution network where distributed energy resources are increasingly present and where Smart meters will become the most ubiquitous equipment in low voltage (LV) networks, the paper presents a new Smart Meter solution and a corresponding MV/LV dispatch center to contribute to both new energy market challenges as well as to Smart Grid services and evolving requirements. We are addressing some specific aspects of observability in LV network, based on wide-spread IP communication solutions, such as Synchro-SCADA and data anonymization, and presenting network services to assist dispatch, using also background network programs in LV such as power flow and state estimator. Moreover, the paper is analyzing and proposing a unifying approach for both Smart Meters and Smart Grid architectures, to allow a complex Smart Grid functionality and with Internet if Things features. The concepts are in progress to be implemented in the European R&amp;D project NOBEL GRID and developed also in the project Storage4Grid, showing the potential for generality.</w:t>
      </w:r>
    </w:p>
    <w:p>
      <w:pPr/>
      <w:r>
        <w:rPr>
          <w:b/>
        </w:rPr>
        <w:t>POSSIBLE 2017:</w:t>
      </w:r>
      <w:r>
        <w:t xml:space="preserve"> Power Quality aspects of Smart Grids — https://doi.org/10.24084/repqj08.583</w:t>
      </w:r>
    </w:p>
    <w:p>
      <w:pPr/>
      <w:r>
        <w:rPr>
          <w:b/>
        </w:rPr>
        <w:t>Shared claim-specific concepts:</w:t>
      </w:r>
      <w:r>
        <w:t xml:space="preserve"> smart, grid, energy, introduction, seen; EU scope not established. This is a provisional connection, not an outcome finding.</w:t>
      </w:r>
    </w:p>
    <w:p>
      <w:pPr>
        <w:pStyle w:val="SourceNote"/>
      </w:pPr>
      <w:r>
        <w:rPr>
          <w:b/>
        </w:rPr>
        <w:t>Available abstract (not full text):</w:t>
      </w:r>
      <w:r>
        <w:t xml:space="preserve"> This paper gives an overview of the smart grids developments, seen from a power-quality viewpoint; describes the main relations between smart grids and power quality, and goes into some detail for some of the aspects. Different types of real and virtual energy storage are distinguished. Power-quality monitoring in the smart grid is discussed in detail. Further aspects discussed in the paper are: emission by new devices; interference between devices and power-line communication; allocation of emission limits; improving voltage quality; immunity of devices; and weakening of the transmission grid. Although the smart grid brings many new power-quality challenges, these should not result in the introduction of unnecessary barriers against the introduction of new technology.</w:t>
      </w:r>
    </w:p>
    <w:p>
      <w:pPr/>
      <w:r>
        <w:rPr>
          <w:b/>
        </w:rPr>
        <w:t>POSSIBLE 2016:</w:t>
      </w:r>
      <w:r>
        <w:t xml:space="preserve"> From Smart Metering to Smart Grid — https://doi.org/10.1515/msr-2016-0017</w:t>
      </w:r>
    </w:p>
    <w:p>
      <w:pPr/>
      <w:r>
        <w:rPr>
          <w:b/>
        </w:rPr>
        <w:t>Shared claim-specific concepts:</w:t>
      </w:r>
      <w:r>
        <w:t xml:space="preserve"> smart, grid, electricity; EU scope not established. This is a provisional connection, not an outcome finding.</w:t>
      </w:r>
    </w:p>
    <w:p>
      <w:pPr>
        <w:pStyle w:val="SourceNote"/>
      </w:pPr>
      <w:r>
        <w:rPr>
          <w:b/>
        </w:rPr>
        <w:t>Available abstract (not full text):</w:t>
      </w:r>
      <w:r>
        <w:t xml:space="preserve"> Abstract The paper deals with evaluation of measurements in electrical distribution systems aimed at better use of data provided by Smart Metering systems. The influence of individual components of apparent power on the power loss is calculated and results of measurements under real conditions are presented. The significance of difference between the traditional and the complex evaluation of the electricity consumption efficiency by means of different definitions of the power factor is illustrated.</w:t>
      </w:r>
    </w:p>
    <w:p>
      <w:pPr/>
      <w:r>
        <w:rPr>
          <w:b/>
        </w:rPr>
        <w:t>POSSIBLE 2016:</w:t>
      </w:r>
      <w:r>
        <w:t xml:space="preserve"> Overview of power quality analysis and control technology for the smart grid — https://doi.org/10.1007/s40565-016-0185-8</w:t>
      </w:r>
    </w:p>
    <w:p>
      <w:pPr/>
      <w:r>
        <w:rPr>
          <w:b/>
        </w:rPr>
        <w:t>Shared claim-specific concepts:</w:t>
      </w:r>
      <w:r>
        <w:t xml:space="preserve"> smart, grid, increasingly, energy; EU scope not established. This is a provisional connection, not an outcome finding.</w:t>
      </w:r>
    </w:p>
    <w:p>
      <w:pPr>
        <w:pStyle w:val="SourceNote"/>
      </w:pPr>
      <w:r>
        <w:rPr>
          <w:b/>
        </w:rPr>
        <w:t>Available abstract (not full text):</w:t>
      </w:r>
      <w:r>
        <w:t xml:space="preserve"> With the wide application of non-linear loads and the large-scale access of distributed energy generations based on power electronics equipments, power quality problems in the distribution network are increasingly serious with new characteristics. Further in-depth research is of great significance in theory and practice. This paper provides an overview of power quality analysis, compensators, and control technologies under the new situation of smart grid. It focuses on the topologies and control methods for power quality conditioners, especially new characteristics of power quality and applicable control technologies in microgrids and distributed power plants. Finally, trends and prospects of power quality control technology are introduced, which is important to achieve security and efficient operation of the smart grid.</w:t>
      </w:r>
    </w:p>
    <w:p>
      <w:pPr>
        <w:pStyle w:val="Heading2"/>
      </w:pPr>
      <w:r>
        <w:t>822.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2018:</w:t>
      </w:r>
      <w:r>
        <w:t xml:space="preserve"> Prevalence and incidence of myalgic encephalomyelitis/chronic fatigue syndrome in Europe—the Euro-epiME study from the European network EUROMENE: a protocol for a systematic review — https://doi.org/10.1136/bmjopen-2017-020817</w:t>
      </w:r>
    </w:p>
    <w:p>
      <w:pPr/>
      <w:r>
        <w:rPr>
          <w:b/>
        </w:rPr>
        <w:t>Shared claim-specific concepts:</w:t>
      </w:r>
      <w:r>
        <w:t xml:space="preserve"> discuss, sections, methodological, applied; EU scope visible. This is a provisional connection, not an outcome finding.</w:t>
      </w:r>
    </w:p>
    <w:p>
      <w:pPr>
        <w:pStyle w:val="SourceNote"/>
      </w:pPr>
      <w:r>
        <w:rPr>
          <w:b/>
        </w:rPr>
        <w:t>Available abstract (not full text):</w:t>
      </w:r>
      <w:r>
        <w:t xml:space="preserve"> INTRODUCTION: Myalgic encephalomyelitis/chronic fatigue syndrome (ME/CFS) is a chronic disease involving central nervous system and immune system disorders, as well as cardiovascular abnormalities. ME/CFS is characterised by severe chronic fatigue lasting for at least 6 months, including clinical symptoms such as tender cervical or axillary lymph nodes, muscle pain, joint pain without swelling or redness, post-exertional malaise for more than 24 hours and unrefreshing sleep. Studies on the epidemiology of ME/CFS in Europe only include single countries and, therefore, the prevalence and incidence of ME/CFS in Europe (as a whole) is unknown. One of the purposes of the European Network on ME/CFS (EUROMENE; European Union-funded COST Action; Reference number: 15111) is to address this gap in knowledge. We will systematically review the literature reporting figures from European countries to provide a robust summary and identify new challenges. METHODS AND ANALYSIS: We will systematically search the literature databases Scopus, PubMed and Web of Science for studies published in the last 10 years (ie, after 2007). No language restriction will be applied. Two independent reviewers will search, screen and select studies as well as extract data about their main characteristics and evaluate their methodological and reporting quality. When disagreements emerge, the reviewers will discuss </w:t>
      </w:r>
    </w:p>
    <w:p>
      <w:pPr/>
      <w:r>
        <w:rPr>
          <w:b/>
        </w:rPr>
        <w:t>POSSIBLE 2017:</w:t>
      </w:r>
      <w:r>
        <w:t xml:space="preserve"> Recovery, reintegration, abstinence, harm reduction: the role of different goals within the drug treatment in the European context. — https://openalex.org/W2766289510</w:t>
      </w:r>
    </w:p>
    <w:p>
      <w:pPr/>
      <w:r>
        <w:rPr>
          <w:b/>
        </w:rPr>
        <w:t>Shared claim-specific concepts:</w:t>
      </w:r>
      <w:r>
        <w:t xml:space="preserve"> purpose, discuss, planning; EU scope visible. This is a provisional connection, not an outcome finding.</w:t>
      </w:r>
    </w:p>
    <w:p>
      <w:pPr>
        <w:pStyle w:val="SourceNote"/>
      </w:pPr>
      <w:r>
        <w:rPr>
          <w:b/>
        </w:rPr>
        <w:t>Available abstract (not full text):</w:t>
      </w:r>
      <w:r>
        <w:t xml:space="preserve"> The purpose of this paper is to discuss the different goals of ‘drug treatment’ within a European context and the key implications for those planning or delivering health and social responses. The heterogeneity of people who use drugs and the diversity in severity and complexity of drug taking and drug problems in Europe mean that a single goal or paradigm such as ‘harm reduction’, ‘recovery’ or ‘abstinence’ is no longer adequate to meet the diverse needs we face.</w:t>
      </w:r>
    </w:p>
    <w:p>
      <w:pPr>
        <w:pStyle w:val="Heading2"/>
      </w:pPr>
      <w:r>
        <w:t>823.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pStyle w:val="Heading2"/>
      </w:pPr>
      <w:r>
        <w:t>824.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2022:</w:t>
      </w:r>
      <w:r>
        <w:t xml:space="preserve"> PaLM: Scaling Language Modeling with Pathways — https://doi.org/10.48550/arxiv.2204.02311</w:t>
      </w:r>
    </w:p>
    <w:p>
      <w:pPr/>
      <w:r>
        <w:rPr>
          <w:b/>
        </w:rPr>
        <w:t>Shared claim-specific concepts:</w:t>
      </w:r>
      <w:r>
        <w:t xml:space="preserve"> pathways, achieve, increased, significant;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2021:</w:t>
      </w:r>
      <w:r>
        <w:t xml:space="preserve"> Co-productive agility and four collaborative pathways to sustainability transformations — https://doi.org/10.1016/j.gloenvcha.2021.102422</w:t>
      </w:r>
    </w:p>
    <w:p>
      <w:pPr/>
      <w:r>
        <w:rPr>
          <w:b/>
        </w:rPr>
        <w:t>Shared claim-specific concepts:</w:t>
      </w:r>
      <w:r>
        <w:t xml:space="preserve"> four, pathways, production; EU scope not established. This is a provisional connection, not an outcome finding.</w:t>
      </w:r>
    </w:p>
    <w:p>
      <w:pPr>
        <w:pStyle w:val="SourceNote"/>
      </w:pPr>
      <w:r>
        <w:rPr>
          <w:b/>
        </w:rPr>
        <w:t>Available abstract (not full text):</w:t>
      </w:r>
      <w:r>
        <w:t xml:space="preserve"> Co-production, the collaborative weaving of research and practice by diverse societal actors, is argued to play an important role in sustainability transformations. Yet, there is still poor understanding of how to navigate the tensions that emerge in these processes. Through analyzing 32 initiatives worldwide that co-produced knowledge and action to foster sustainable social-ecological relations, we conceptualize ‘co-productive agility’ as an emergent feature vital for turning tensions into transformations. Co-productive agility refers to the willingness and ability of diverse actors to iteratively engage in reflexive dialogues to grow shared ideas and actions that would not have been possible from the outset. It relies on embedding knowledge production within processes of change to constantly recognize, reposition, and navigate tensions and opportunities. Co-productive agility opens up multiple pathways to transformation through: (1) elevating marginalized agendas in ways that maintain their integrity and broaden struggles for justice; (2) questioning dominant agendas by engaging with power in ways that challenge assumptions, (3) navigating conflicting agendas to actively transform interlinked paradigms, practices, and structures; (4) exploring diverse agendas to foster learning and mutual respect for a plurality of perspectives. We explore six process considerations that vary</w:t>
      </w:r>
    </w:p>
    <w:p>
      <w:pPr/>
      <w:r>
        <w:rPr>
          <w:b/>
        </w:rPr>
        <w:t>POSSIBLE 2021:</w:t>
      </w:r>
      <w:r>
        <w:t xml:space="preserve"> It Is Still Possible to Achieve the Paris Climate Agreement: Regional, Sectoral, and Land-Use Pathways — https://doi.org/10.3390/en14082103</w:t>
      </w:r>
    </w:p>
    <w:p>
      <w:pPr/>
      <w:r>
        <w:rPr>
          <w:b/>
        </w:rPr>
        <w:t>Shared claim-specific concepts:</w:t>
      </w:r>
      <w:r>
        <w:t xml:space="preserve"> four, pathways, achieve, energy, climate, increased; EU scope not established. This is a provisional connection, not an outcome finding.</w:t>
      </w:r>
    </w:p>
    <w:p>
      <w:pPr>
        <w:pStyle w:val="SourceNote"/>
      </w:pPr>
      <w:r>
        <w:rPr>
          <w:b/>
        </w:rPr>
        <w:t>Available abstract (not full text):</w:t>
      </w:r>
      <w:r>
        <w:t xml:space="preserve"> It is still possible to comply with the Paris Climate Agreement to maintain a global temperature ‘well below +2.0 °C’ above pre-industrial levels. We present two global non-overshoot pathways (+2.0 °C and +1.5 °C) with regional decarbonization targets for the four primary energy sectors—power, heating, transportation, and industry—in 5-year steps to 2050. We use normative scenarios to illustrate the effects of efficiency measures and renewable energy use, describe the roles of increased electrification of the final energy demand and synthetic fuels, and quantify the resulting electricity load increases for 72 sub-regions. Non-energy scenarios include a phase-out of net emissions from agriculture, forestry, and other land uses, reductions in non-carbon greenhouse gases, and land restoration to scale up atmospheric CO2 removal, estimated at −377 Gt CO2 to 2100. An estimate of the COVID-19 effects on the global energy demand is included and a sensitivity analysis describes the impacts if implementation is delayed by 5, 7, or 10 years, which would significantly reduce the likelihood of achieving the 1.5 °C goal. The analysis applies a model network consisting of energy system, power system, transport, land-use, and climate models.</w:t>
      </w:r>
    </w:p>
    <w:p>
      <w:pPr/>
      <w:r>
        <w:rPr>
          <w:b/>
        </w:rPr>
        <w:t>POSSIBLE 2021:</w:t>
      </w:r>
      <w:r>
        <w:t xml:space="preserve"> Carbon‐Neutral Pathways for the United States — https://doi.org/10.1029/2020av000284</w:t>
      </w:r>
    </w:p>
    <w:p>
      <w:pPr/>
      <w:r>
        <w:rPr>
          <w:b/>
        </w:rPr>
        <w:t>Shared claim-specific concepts:</w:t>
      </w:r>
      <w:r>
        <w:t xml:space="preserve"> four, pathways, target, energy, climate, all; EU scope not established. This is a provisional connection, not an outcome finding.</w:t>
      </w:r>
    </w:p>
    <w:p>
      <w:pPr>
        <w:pStyle w:val="SourceNote"/>
      </w:pPr>
      <w:r>
        <w:rPr>
          <w:b/>
        </w:rPr>
        <w:t>Available abstract (not full text):</w:t>
      </w:r>
      <w:r>
        <w:t xml:space="preserve"> Abstract The Intergovernmental Panel on Climate Change (IPCC) Special Report on Global Warming of 1.5°C points to the need for carbon neutrality by mid‐century. Achieving this in the United States in only 30 years will be challenging, and practical pathways detailing the technologies, infrastructure, costs, and tradeoffs involved are needed. Modeling the entire U.S. energy and industrial system with new analysis tools that capture synergies not represented in sector‐specific or integrated assessment models, we created multiple pathways to net zero and net negative CO 2 emissions by 2050. They met all forecast U.S. energy needs at a net cost of 0.2–1.2% of GDP in 2050, using only commercial or near‐commercial technologies, and requiring no early retirement of existing infrastructure. Pathways with constraints on consumer behavior, land use, biomass use, and technology choices (e.g., no nuclear) met the target but at higher cost. All pathways employed four basic strategies: energy efficiency, decarbonized electricity, electrification, and carbon capture. Least‐cost pathways were based on &gt;80% wind and solar electricity plus thermal generation for reliability. A 100% renewable primary energy system was feasible but had higher cost and land use. We found multiple feasible options for supplying low‐carbon fuels for non‐electrifiable end uses in industry, freight, and aviation, which</w:t>
      </w:r>
    </w:p>
    <w:p>
      <w:pPr/>
      <w:r>
        <w:rPr>
          <w:b/>
        </w:rPr>
        <w:t>POSSIBLE 2019:</w:t>
      </w:r>
      <w:r>
        <w:t xml:space="preserve"> Outcome-based commissioning: four pathways to achieving public value — https://doi.org/10.4337/9781788978583.00021</w:t>
      </w:r>
    </w:p>
    <w:p>
      <w:pPr/>
      <w:r>
        <w:rPr>
          <w:b/>
        </w:rPr>
        <w:t>Shared claim-specific concepts:</w:t>
      </w:r>
      <w:r>
        <w:t xml:space="preserve"> four, pathways, all, but; EU scope not established. This is a provisional connection, not an outcome finding.</w:t>
      </w:r>
    </w:p>
    <w:p>
      <w:pPr>
        <w:pStyle w:val="SourceNote"/>
      </w:pPr>
      <w:r>
        <w:rPr>
          <w:b/>
        </w:rPr>
        <w:t>Available abstract (not full text):</w:t>
      </w:r>
      <w:r>
        <w:t xml:space="preserve"> This chapter explores recent experience with commissioning of public services, mainly in the UK since the 1980s, where this has become the dominant approach to securing public services. By outcome-based commissioning we mean not simply the externalisation of public services - the letting of contracts for public services to private sector firms, third sector organisations and cross-sector partnerships - but also the overall consideration of all options for public sector interventions which might serve to improve publicly-desired outcomes, including transformation of internal service delivery and moving to ‘co-production’ of public service tasks with communities and service users. The chapter suggests that the role of outcome-based commissioning needs to be understood within a fuller model of public value and highlights four pathways to achieving public value. Finally, the chapter suggests some lessons which can be drawn from these recent experiences.</w:t>
      </w:r>
    </w:p>
    <w:p>
      <w:pPr/>
      <w:r>
        <w:rPr>
          <w:b/>
        </w:rPr>
        <w:t>POSSIBLE 2017:</w:t>
      </w:r>
      <w:r>
        <w:t xml:space="preserve"> Reactome pathway analysis: a high-performance in-memory approach — https://doi.org/10.1186/s12859-017-1559-2</w:t>
      </w:r>
    </w:p>
    <w:p>
      <w:pPr/>
      <w:r>
        <w:rPr>
          <w:b/>
        </w:rPr>
        <w:t>Shared claim-specific concepts:</w:t>
      </w:r>
      <w:r>
        <w:t xml:space="preserve"> four, achieve, target, all, production, other; EU scope not established. This is a provisional connection, not an outcome finding.</w:t>
      </w:r>
    </w:p>
    <w:p>
      <w:pPr>
        <w:pStyle w:val="SourceNote"/>
      </w:pPr>
      <w:r>
        <w:rPr>
          <w:b/>
        </w:rPr>
        <w:t>Available abstract (not full text):</w:t>
      </w:r>
      <w:r>
        <w:t xml:space="preserve"> BACKGROUND: Reactome aims to provide bioinformatics tools for visualisation, interpretation and analysis of pathway knowledge to support basic research, genome analysis, modelling, systems biology and education. Pathway analysis methods have a broad range of applications in physiological and biomedical research; one of the main problems, from the analysis methods performance point of view, is the constantly increasing size of the data samples. RESULTS: Here, we present a new high-performance in-memory implementation of the well-established over-representation analysis method. To achieve the target, the over-representation analysis method is divided in four different steps and, for each of them, specific data structures are used to improve performance and minimise the memory footprint. The first step, finding out whether an identifier in the user's sample corresponds to an entity in Reactome, is addressed using a radix tree as a lookup table. The second step, modelling the proteins, chemicals, their orthologous in other species and their composition in complexes and sets, is addressed with a graph. The third and fourth steps, that aggregate the results and calculate the statistics, are solved with a double-linked tree. CONCLUSION: Through the use of highly optimised, in-memory data structures and algorithms, Reactome has achieved a stable, high performance pathway analysis servi</w:t>
      </w:r>
    </w:p>
    <w:p>
      <w:pPr/>
      <w:r>
        <w:rPr>
          <w:b/>
        </w:rPr>
        <w:t>POSSIBLE 2017:</w:t>
      </w:r>
      <w:r>
        <w:t xml:space="preserve"> Pathways for scaling up public health interventions — https://doi.org/10.1186/s12889-017-4572-5</w:t>
      </w:r>
    </w:p>
    <w:p>
      <w:pPr/>
      <w:r>
        <w:rPr>
          <w:b/>
        </w:rPr>
        <w:t>Shared claim-specific concepts:</w:t>
      </w:r>
      <w:r>
        <w:t xml:space="preserve"> four, pathways, achieve, developed, all, but; EU scope not established. This is a provisional connection, not an outcome finding.</w:t>
      </w:r>
    </w:p>
    <w:p>
      <w:pPr>
        <w:pStyle w:val="SourceNote"/>
      </w:pPr>
      <w:r>
        <w:rPr>
          <w:b/>
        </w:rPr>
        <w:t>Available abstract (not full text):</w:t>
      </w:r>
      <w:r>
        <w:t xml:space="preserve"> BACKGROUND: To achieve population-wide health improvement, public health interventions found effective in selected samples need to be 'scaled up' and implemented more widely. The pathways through which interventions are scaled up are not well characterised. The aim of this paper is to identify examples of public health interventions which have been scaled up and to develop a conceptual framework which quantifies and describes this process. METHODS: A multi-stage international literature search was undertaken to identify examples of public health interventions in high income countries that have been scaled up or implemented at scale. Initial abstract review identified articles which met all the criteria of being a: 1) public health intervention; 2) chronic disease prevention focus; 3) program delivered at a wide geographical scale (state, national or international). Interventions were reviewed and coded into a conceptual framework pathway to document their scaling up process. For each program, an in-depth review of the identified articles was undertaken along with a broad internet based search to determine the outcomes of the dissemination process. A conceptual framework of scaling up pathways was developed that involved four stages (development, efficacy testing, real world trial and dissemination) to which the 40 programs were mapped. RESULTS: The search identified 40 public h</w:t>
      </w:r>
    </w:p>
    <w:p>
      <w:pPr>
        <w:pStyle w:val="Heading2"/>
      </w:pPr>
      <w:r>
        <w:t>825.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2019:</w:t>
      </w:r>
      <w:r>
        <w:t xml:space="preserve"> Subgrid modelling for two-dimensional turbulence using neural networks — https://openalex.org/W3105245152</w:t>
      </w:r>
    </w:p>
    <w:p>
      <w:pPr/>
      <w:r>
        <w:rPr>
          <w:b/>
        </w:rPr>
        <w:t>Shared claim-specific concepts:</w:t>
      </w:r>
      <w:r>
        <w:t xml:space="preserve"> two, energy, both; EU scope not established. This is a provisional connection, not an outcome finding.</w:t>
      </w:r>
    </w:p>
    <w:p>
      <w:pPr>
        <w:pStyle w:val="SourceNote"/>
      </w:pPr>
      <w:r>
        <w:rPr>
          <w:b/>
        </w:rPr>
        <w:t>Available abstract (not full text):</w:t>
      </w:r>
      <w:r>
        <w:t xml:space="preserve"> In this investigation, a data-driven turbulence closure framework is introduced and deployed for the subgrid modelling of Kraichnan turbulence. The novelty of the proposed method lies in the fact that snapshots from high-fidelity numerical data are used to inform artificial neural networks for predicting the turbulence source term through localized grid-resolved information. In particular, our proposed methodology successfully establishes a map between inputs given by stencils of the vorticity and the streamfunction along with information from two well-known eddy-viscosity kernels. Through this we predict the subgrid vorticity forcing in a temporally and spatially dynamic fashion. Our study is both a priori and a posteriori in nature. In the former, we present an extensive hyper-parameter optimization analysis in addition to learning quantification through probability-density-function-based validation of subgrid predictions. In the latter, we analyse the performance of our framework for flow evolution in a classical decaying two-dimensional turbulence test case in the presence of errors related to temporal and spatial discretization. Statistical assessments in the form of angle-averaged kinetic energy spectra demonstrate the promise of the proposed methodology for subgrid quantity inference. In addition, it is also observed that some measure of a posteriori error must be consid</w:t>
      </w:r>
    </w:p>
    <w:p>
      <w:pPr/>
      <w:r>
        <w:rPr>
          <w:b/>
        </w:rPr>
        <w:t>POSSIBLE 2018:</w:t>
      </w:r>
      <w:r>
        <w:t xml:space="preserve"> Subgrid modelling for two-dimensional turbulence using neural networks — https://doi.org/10.1017/jfm.2018.770</w:t>
      </w:r>
    </w:p>
    <w:p>
      <w:pPr/>
      <w:r>
        <w:rPr>
          <w:b/>
        </w:rPr>
        <w:t>Shared claim-specific concepts:</w:t>
      </w:r>
      <w:r>
        <w:t xml:space="preserve"> two, energy, both; EU scope not established. This is a provisional connection, not an outcome finding.</w:t>
      </w:r>
    </w:p>
    <w:p>
      <w:pPr>
        <w:pStyle w:val="SourceNote"/>
      </w:pPr>
      <w:r>
        <w:rPr>
          <w:b/>
        </w:rPr>
        <w:t>Available abstract (not full text):</w:t>
      </w:r>
      <w:r>
        <w:t xml:space="preserve"> In this investigation, a data-driven turbulence closure framework is introduced and deployed for the subgrid modelling of Kraichnan turbulence. The novelty of the proposed method lies in the fact that snapshots from high-fidelity numerical data are used to inform artificial neural networks for predicting the turbulence source term through localized grid-resolved information. In particular, our proposed methodology successfully establishes a map between inputs given by stencils of the vorticity and the streamfunction along with information from two well-known eddy-viscosity kernels. Through this we predict the subgrid vorticity forcing in a temporally and spatially dynamic fashion. Our study is both a priori and a posteriori in nature. In the former, we present an extensive hyper-parameter optimization analysis in addition to learning quantification through probability-density-function-based validation of subgrid predictions. In the latter, we analyse the performance of our framework for flow evolution in a classical decaying two-dimensional turbulence test case in the presence of errors related to temporal and spatial discretization. Statistical assessments in the form of angle-averaged kinetic energy spectra demonstrate the promise of the proposed methodology for subgrid quantity inference. In addition, it is also observed that some measure of a posteriori error must be consid</w:t>
      </w:r>
    </w:p>
    <w:p>
      <w:pPr/>
      <w:r>
        <w:rPr>
          <w:b/>
        </w:rPr>
        <w:t>POSSIBLE 2017:</w:t>
      </w:r>
      <w:r>
        <w:t xml:space="preserve"> Comparison of two models used for forecasting of codling moth (Cydia pomonella) in Norway — https://openalex.org/W2768969912</w:t>
      </w:r>
    </w:p>
    <w:p>
      <w:pPr/>
      <w:r>
        <w:rPr>
          <w:b/>
        </w:rPr>
        <w:t>Shared claim-specific concepts:</w:t>
      </w:r>
      <w:r>
        <w:t xml:space="preserve"> two, both, target; EU scope visible. This is a provisional connection, not an outcome finding.</w:t>
      </w:r>
    </w:p>
    <w:p>
      <w:pPr>
        <w:pStyle w:val="SourceNote"/>
      </w:pPr>
      <w:r>
        <w:rPr>
          <w:b/>
        </w:rPr>
        <w:t>Available abstract (not full text):</w:t>
      </w:r>
      <w:r>
        <w:t xml:space="preserve"> The codling moth (Cydia pomonella L.) is a problematic pest across the world, as well as in the eastern parts of Norway. The adult emerges in mid to late spring, after having overwintered as a fifth instar larvae, and the females begin to lay eggs a few days after. The larva damages crops in apple orchards by digging into the fruit and eating the seeds. In pest management it is critical to target the larvae before it can enter the fruit. Two forecasting models are used to find the oviposition and hatching timing in Norway: the traditional model and RIMpro-Cydia. The plum fruit moth (C. funebrana) is a smaller relative of the codling moth, and has been reported to have a similar phenology, but has no warning system in place for alerting growers. The aim of this study was to test how good these two models are for forecasting attacks of Cydia pomonella in Norwegian apple orchards, in order to improve pest management for growers.\nFieldwork was conducted in apple orchards in eastern Norway. The flight period was monitored using sex pheromone baited delta traps, placed in each of the orchards. Larvae feeding inside of apples were collected, and measurements of the width of their head capsules were used to estimate the time of oviposition and hatching, and compared with the output from the traditional model and RIMpro. Damage from codling moth larvae was recorded at harvest to examin</w:t>
      </w:r>
    </w:p>
    <w:p>
      <w:pPr/>
      <w:r>
        <w:rPr>
          <w:b/>
        </w:rPr>
        <w:t>POSSIBLE 2017:</w:t>
      </w:r>
      <w:r>
        <w:t xml:space="preserve"> Development of a global aerosol model using a two‐dimensional sectional method: 1. Model design — https://doi.org/10.1002/2017ms000936</w:t>
      </w:r>
    </w:p>
    <w:p>
      <w:pPr/>
      <w:r>
        <w:rPr>
          <w:b/>
        </w:rPr>
        <w:t>Shared claim-specific concepts:</w:t>
      </w:r>
      <w:r>
        <w:t xml:space="preserve"> two, climate; EU scope not established. This is a provisional connection, not an outcome finding.</w:t>
      </w:r>
    </w:p>
    <w:p>
      <w:pPr>
        <w:pStyle w:val="SourceNote"/>
      </w:pPr>
      <w:r>
        <w:rPr>
          <w:b/>
        </w:rPr>
        <w:t>Available abstract (not full text):</w:t>
      </w:r>
      <w:r>
        <w:t xml:space="preserve"> Abstract This study develops an aerosol module, the Aerosol Two‐dimensional bin module for foRmation and Aging Simulation version 2 (ATRAS2), and implements the module into a global climate model, Community Atmosphere Model. The ATRAS2 module uses a two‐dimensional (2‐D) sectional representation with 12 size bins for particles from 1 nm to 10 μm in dry diameter and 8 black carbon (BC) mixing state bins. The module can explicitly calculate the enhancement of absorption and cloud condensation nuclei activity of BC‐containing particles by aging processes. The ATRAS2 module is an extension of a 2‐D sectional aerosol module ATRAS used in our previous studies within a framework of a regional three‐dimensional model. Compared with ATRAS, the computational cost of the aerosol module is reduced by more than a factor of 10 by simplifying the treatment of aerosol processes and 2‐D sectional representation, while maintaining good accuracy of aerosol parameters in the simulations. Aerosol processes are simplified for condensation of sulfate, ammonium, and nitrate, organic aerosol formation, coagulation, and new particle formation processes, and box model simulations show that these simplifications do not substantially change the predicted aerosol number and mass concentrations and their mixing states. The 2‐D sectional representation is simplified (the number of advected species is reduced)</w:t>
      </w:r>
    </w:p>
    <w:p>
      <w:pPr/>
      <w:r>
        <w:rPr>
          <w:b/>
        </w:rPr>
        <w:t>POSSIBLE 2017:</w:t>
      </w:r>
      <w:r>
        <w:t xml:space="preserve"> Modeling Temporal Dynamics and Spatial Configurations of Actions Using Two-Stream Recurrent Neural Networks — https://doi.org/10.1109/cvpr.2017.387</w:t>
      </w:r>
    </w:p>
    <w:p>
      <w:pPr/>
      <w:r>
        <w:rPr>
          <w:b/>
        </w:rPr>
        <w:t>Shared claim-specific concepts:</w:t>
      </w:r>
      <w:r>
        <w:t xml:space="preserve"> two, use, both; EU scope not established. This is a provisional connection, not an outcome finding.</w:t>
      </w:r>
    </w:p>
    <w:p>
      <w:pPr>
        <w:pStyle w:val="SourceNote"/>
      </w:pPr>
      <w:r>
        <w:rPr>
          <w:b/>
        </w:rPr>
        <w:t>Available abstract (not full text):</w:t>
      </w:r>
      <w:r>
        <w:t xml:space="preserve"> Recently, skeleton based action recognition gains more popularity due to cost-effective depth sensors coupled with real-time skeleton estimation algorithms. Traditional approaches based on handcrafted features are limited to represent the complexity of motion patterns. Recent methods that use Recurrent Neural Networks (RNN) to handle raw skeletons only focus on the contextual dependency in the temporal domain and neglect the spatial configurations of articulated skeletons. In this paper, we propose a novel two-stream RNN architecture to model both temporal dynamics and spatial configurations for skeleton based action recognition. We explore two different structures for the temporal stream: stacked RNN and hierarchical RNN. Hierarchical RNN is designed according to human body kinematics. We also propose two effective methods to model the spatial structure by converting the spatial graph into a sequence of joints. To improve generalization of our model, we further exploit 3D transformation based data augmentation techniques including rotation and scaling transformation to transform the 3D coordinates of skeletons during training. Experiments on 3D action recognition benchmark datasets show that our method brings a considerable improvement for a variety of actions, i.e., generic actions, interaction activities and gestures.</w:t>
      </w:r>
    </w:p>
    <w:p>
      <w:pPr>
        <w:pStyle w:val="Heading2"/>
      </w:pPr>
      <w:r>
        <w:t>826.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2023:</w:t>
      </w:r>
      <w:r>
        <w:t xml:space="preserve"> Analysis of Environmental and Energy Policies in Turkey, the European Union and the United States — https://doi.org/10.9734/ijecc/2023/v13i123685</w:t>
      </w:r>
    </w:p>
    <w:p>
      <w:pPr/>
      <w:r>
        <w:rPr>
          <w:b/>
        </w:rPr>
        <w:t>Shared claim-specific concepts:</w:t>
      </w:r>
      <w:r>
        <w:t xml:space="preserve"> united, states, environmental, union, production; EU scope visible. This is a provisional connection, not an outcome finding.</w:t>
      </w:r>
    </w:p>
    <w:p>
      <w:pPr>
        <w:pStyle w:val="SourceNote"/>
      </w:pPr>
      <w:r>
        <w:rPr>
          <w:b/>
        </w:rPr>
        <w:t>Available abstract (not full text):</w:t>
      </w:r>
      <w:r>
        <w:t xml:space="preserve"> Energy consumption plays a pivotal role in the development of societies. Sustainable Energy Resources are vital inputs for daily life, and energy and industrial products are essential for economic growth (Ministry of Energy and Natural Resources, 2022). Consequently, those responsible for managing a country's energy sector must ensure the uninterrupted, reliable, timely, clean, and affordable supply of energy, as well as diversify energy sources to enhance energy security. The concept of "sustainable development" has emerged in response to the need to prevent irreversible environmental damage caused by conventional energy sources and outdated technologies while ensuring access to energy as a fundamental human right under optimal conditions (Pamir, N 2005). Developed societies have transitioned from planning based solely on energy source acquisition and production to a planning approach that carefully considers the energy-economy-ecology balance (3E) while taking into account resource diversity and geopolitical realities (Energy Policies and Global Developments, emo.org.tr). Turkey remains heavily dependent on energy imports, accounting for approximately 74% of its energy needs (Ministry of Energy and Natural Resources, 2023). The multifaceted nature of Turkey's energy strategy and its energy dependence emphasize the importance of international relations in this field. U.S. ener</w:t>
      </w:r>
    </w:p>
    <w:p>
      <w:pPr/>
      <w:r>
        <w:rPr>
          <w:b/>
        </w:rPr>
        <w:t>POSSIBLE 2022:</w:t>
      </w:r>
      <w:r>
        <w:t xml:space="preserve"> Criminal Enforcement of Environmental Law in the European Union and the United States — https://doi.org/10.1016/b978-0-12-824315-2.00051-8</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Energy Transition and Environmental Sustainability: Evaluation of Europe, Canada and United States of America — https://doi.org/10.2139/ssrn.4138109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The environmental impacts of clothing: Evidence from United States and three European countries — https://doi.org/10.1016/j.spc.2021.05.013</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Multilevel Environmental Governance in the European Union and United States — https://doi.org/10.1093/acrefore/9780199389407.013.163</w:t>
      </w:r>
    </w:p>
    <w:p>
      <w:pPr/>
      <w:r>
        <w:rPr>
          <w:b/>
        </w:rPr>
        <w:t>Shared claim-specific concepts:</w:t>
      </w:r>
      <w:r>
        <w:t xml:space="preserve"> united, states, environmental, union, whereas, levels; EU scope visible. This is a provisional connection, not an outcome finding.</w:t>
      </w:r>
    </w:p>
    <w:p>
      <w:pPr>
        <w:pStyle w:val="SourceNote"/>
      </w:pPr>
      <w:r>
        <w:rPr>
          <w:b/>
        </w:rPr>
        <w:t>Available abstract (not full text):</w:t>
      </w:r>
      <w:r>
        <w:t xml:space="preserve"> Abstract Managing the risks of climate change partly involves setting and implementing regulatory standards that help to diminish the causes of climate change. This means setting regulatory standards that require businesses to emit fewer pollutants, most notably carbon dioxide. In large federalist systems like the United States and the European Union, this regulation is produced by a variety of institutional structures and policy instruments as well. In the United States, federal regulations often encompass stricter standards with less flexibility; these standards have direct impacts on the relevant regulated interests, but they also influence the content and structure of non-governmental regulations, such as those promulgated by NGOs or industry trade associations. This influential “shadow of hierarchy” can be witnessed in both the U.S. and E.U. However, at a more local level, businesses and governments do not solely operate within the confines of strict, hierarchical regulation. Both sets of organizations join together horizontally to form compacts and regulatory networks that are often characterized more by guidance, soft law and collaborative efforts. While such institutions can be a welcome and effective complement to stricter, hierarchical regulation, such networks require high levels of trust and goal congruence to overcome the potential collective action problems that a</w:t>
      </w:r>
    </w:p>
    <w:p>
      <w:pPr/>
      <w:r>
        <w:rPr>
          <w:b/>
        </w:rPr>
        <w:t>POSSIBLE 2019:</w:t>
      </w:r>
      <w:r>
        <w:t xml:space="preserve"> Green Public Procurement: Legal Instruments for Promoting Environmental Interests in the United States and European Union — https://doi.org/10.2139/ssrn.3504676</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INDOOR ENVIRONMENTAL QUALITY DESIGN OF HOTELS IN THE UNITED STATES AND EUROPE — https://openalex.org/W3185290772</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The last 50 years marked a deep change in the way people travel. The great development of tourism created the necessity of building more and more hotels and accommodations, polluting and wasting much energy. The aim of this research is to understand how the accommodations face the environmental impact of the structure using LEED parameters. The starting point is the analysis based on a survey made on a sample of hotels located in places with opposite climate conditions; the purpose is to understand which strategies the structures adopted in order to adapt to extremely different climate conditions</w:t>
      </w:r>
    </w:p>
    <w:p>
      <w:pPr/>
      <w:r>
        <w:rPr>
          <w:b/>
        </w:rPr>
        <w:t>POSSIBLE 2017:</w:t>
      </w:r>
      <w:r>
        <w:t xml:space="preserve"> European and United States perspectives on forest operations in environmentally sensitive areas — https://doi.org/10.1080/02827581.2017.1338355</w:t>
      </w:r>
    </w:p>
    <w:p>
      <w:pPr/>
      <w:r>
        <w:rPr>
          <w:b/>
        </w:rPr>
        <w:t>Shared claim-specific concepts:</w:t>
      </w:r>
      <w:r>
        <w:t xml:space="preserve"> united, states, environmental, environment; EU scope visible. This is a provisional connection, not an outcome finding.</w:t>
      </w:r>
    </w:p>
    <w:p>
      <w:pPr>
        <w:pStyle w:val="SourceNote"/>
      </w:pPr>
      <w:r>
        <w:rPr>
          <w:b/>
        </w:rPr>
        <w:t>Available abstract (not full text):</w:t>
      </w:r>
      <w:r>
        <w:t xml:space="preserve"> This paper offers a forest operations perspective in environmentally sensitive areas in Europe and the United States. The objective is to help inform key sustainability knowledge gaps in forest operations to reduce impacts on the environment and the equipment operators in these increasingly targeted and difficult to operate in areas. Under existing guidelines and best management practices, the protection of ecosystem services linked to soil, water, wildlife and biodiversity have rightly received the highest considerations. However, the connection between protecting these ecological values, safe operational practices and technological advancements is rarely well articulated. One means to address the operational and technological gap is the selection of equipment and tailor the work conditions to terrain type, forest features and management objectives. To that effect, this paper discusses the environmental, planning, equipment selection and operator considerations and proposes possible solutions and guidelines to contain both the operators’ safety and environmental risks in forest operations.</w:t>
      </w:r>
    </w:p>
    <w:p>
      <w:pPr/>
      <w:r>
        <w:rPr>
          <w:b/>
        </w:rPr>
        <w:t>POSSIBLE 2017:</w:t>
      </w:r>
      <w:r>
        <w:t xml:space="preserve"> Environmental Assessment and Management of Phosphogypsum According to European and United States of America Regulations — https://doi.org/10.1016/j.proeps.2016.12.178</w:t>
      </w:r>
    </w:p>
    <w:p>
      <w:pPr/>
      <w:r>
        <w:rPr>
          <w:b/>
        </w:rPr>
        <w:t>Shared claim-specific concepts:</w:t>
      </w:r>
      <w:r>
        <w:t xml:space="preserve"> united, states, environmental, production; EU scope visible. This is a provisional connection, not an outcome finding.</w:t>
      </w:r>
    </w:p>
    <w:p>
      <w:pPr>
        <w:pStyle w:val="SourceNote"/>
      </w:pPr>
      <w:r>
        <w:rPr>
          <w:b/>
        </w:rPr>
        <w:t>Available abstract (not full text):</w:t>
      </w:r>
      <w:r>
        <w:t xml:space="preserve"> Waste derived from fertilizer production has been accumulated worldwide for decades, especially during the last century. This waste is mainly formed by phosphogypsum; a mixture of gypsum along with phosphates, fluorides, and organic matter, which are generated from phosphoric acid production. Phosphogypsum deposits are usually associated with an important load of radionuclides and metals. The present study aims to evaluate and compare the hazard derived from the metals leaching with phosphogypsum deposits located in areas under US and European environmental regulations. Archived samples from Mulberry (USA) and field samples from Huelva (Spain) deposits have been characterized by leaching tests, as outlined in the aforementioned regulations. The obtained results have been collated with EN 12457-2 from the European regulation and TCLP from the US EPA. As a result, Mulberry phosphogypsum was classified as non-hazardous by both regulations. Since the regulations differ on their strictness, only the European regulation classifies the Huelva deposit as hazardous for As and Cd, urging to have monitoring measurements; while the US regulation classifies the deposit as non-hazardous, even though a pre-treatment before depositing is recommended.</w:t>
      </w:r>
    </w:p>
    <w:p>
      <w:pPr>
        <w:pStyle w:val="Heading2"/>
      </w:pPr>
      <w:r>
        <w:t>827.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r>
        <w:rPr>
          <w:b/>
        </w:rPr>
        <w:t>POSSIBLE 2021:</w:t>
      </w:r>
      <w:r>
        <w:t xml:space="preserve"> Assessment of Demand Side Flexibility in European Electricity Markets: A Country Level Review — https://doi.org/10.3390/en14082324</w:t>
      </w:r>
    </w:p>
    <w:p>
      <w:pPr/>
      <w:r>
        <w:rPr>
          <w:b/>
        </w:rPr>
        <w:t>Shared claim-specific concepts:</w:t>
      </w:r>
      <w:r>
        <w:t xml:space="preserve"> electricity, renewable, generation, significant; EU scope visible. This is a provisional connection, not an outcome finding.</w:t>
      </w:r>
    </w:p>
    <w:p>
      <w:pPr>
        <w:pStyle w:val="SourceNote"/>
      </w:pPr>
      <w:r>
        <w:rPr>
          <w:b/>
        </w:rPr>
        <w:t>Available abstract (not full text):</w:t>
      </w:r>
      <w:r>
        <w:t xml:space="preserve"> Power systems in many countries have recently undergone a significant transition towards renewable and carbon-free generation sources. Those sources pose new challenges to the grid operation due to their intermittency and uncertainty. Consequently, advanced policy strategies and technologies offering new flexibility solutions on the inelastic demand side are required to maintain the reliability of power systems. Given the diversity of situations, legislation and needs across European countries and the varying nature of distribution system operators, this article reviews the deployment of demand side flexibility at national level to identify best practices and main barriers. The analysis concerns European countries of different progress in solutions that leverage flexibility towards offering electricity grid services. The scope is to explore the operation principles of European electricity markets, to assess the participation of emerging flexible resources, and to propose new approaches that facilitate the integration of flexible assets in the distribution grid. The countries reviewed are the United Kingdom, Belgium, Italy and Greece. These countries were selected owing to their diversity in terms of generation mix and market design. Barriers for market access of flexibility resources are also identified in order to form relevant country-specific recommendations.</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electricity, generation;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2020:</w:t>
      </w:r>
      <w:r>
        <w:t xml:space="preserve"> Demand for Electricity on the Global Electrification Frontier — https://openalex.org/W3009130449</w:t>
      </w:r>
    </w:p>
    <w:p>
      <w:pPr/>
      <w:r>
        <w:rPr>
          <w:b/>
        </w:rPr>
        <w:t>Shared claim-specific concepts:</w:t>
      </w:r>
      <w:r>
        <w:t xml:space="preserve"> electricity; EU scope not established. This is a provisional connection, not an outcome finding.</w:t>
      </w:r>
    </w:p>
    <w:p>
      <w:pPr>
        <w:pStyle w:val="SourceNote"/>
      </w:pPr>
      <w:r>
        <w:rPr>
          <w:b/>
        </w:rPr>
        <w:t>Available abstract (not full text):</w:t>
      </w:r>
      <w:r>
        <w:t xml:space="preserve"> Falling off-grid solar prices and an expanding grid are revolutionizing choices for nearly a billion people without electricity. Using experimental price variation, we estimate demand for all electricity sources in Bihar, India, during a four-year period when electrification leapt from 27% to 64%. We find that: (i) household surplus from electrification increased five-fold; (ii) both solar and the grid boost electrification but households gain more surplus from the grid; (iii) grid investments and subsidies strongly reduce demand for off-grid solar. When we extend the model to eight African countries where grid infrastructure is weaker and subsidies lower we find that off-grid solar often provides higher surplus than the grid. JEL Codes: O13 ; Q41 ; Q21 ; C93</w:t>
      </w:r>
    </w:p>
    <w:p>
      <w:pPr/>
      <w:r>
        <w:rPr>
          <w:b/>
        </w:rPr>
        <w:t>POSSIBLE 2020:</w:t>
      </w:r>
      <w:r>
        <w:t xml:space="preserve"> Exploring Wind and Solar PV Generation Complementarity to Meet Electricity Demand — https://doi.org/10.3390/en13164132</w:t>
      </w:r>
    </w:p>
    <w:p>
      <w:pPr/>
      <w:r>
        <w:rPr>
          <w:b/>
        </w:rPr>
        <w:t>Shared claim-specific concepts:</w:t>
      </w:r>
      <w:r>
        <w:t xml:space="preserve"> electricity, renewable, generation, meet; EU scope not established. This is a provisional connection, not an outcome finding.</w:t>
      </w:r>
    </w:p>
    <w:p>
      <w:pPr>
        <w:pStyle w:val="SourceNote"/>
      </w:pPr>
      <w:r>
        <w:rPr>
          <w:b/>
        </w:rPr>
        <w:t>Available abstract (not full text):</w:t>
      </w:r>
      <w:r>
        <w:t xml:space="preserve"> Understanding the spatiotemporal complementarity of wind and solar power generation and their combined capability to meet the demand of electricity is a crucial step towards increasing their share in power systems without neglecting neither the security of supply nor the overall cost efficiency of the power system operation. This work proposes a methodology to exploit the complementarity of the wind and solar primary resources and electricity demand in planning the expansion of electric power systems. Scenarios that exploit the strategic combined deployment of wind and solar power against scenarios based only on the development of an individual renewable power source are compared and analysed. For each scenario of the power system development, the characterization of the additional power capacity, typical daily profile, extreme values, and energy deficit are assessed. The method is applied to a Portuguese case study and results show that coupled scenarios based on the strategic combined development of wind and solar generation provide a more sustainable way to increase the share of variable renewables into the power system (up to 68% for an annual energy exceedance of 10% for the renewable generation) when compared to scenarios based on an individual renewable power source. Combined development also enables to reduce the overall variability and extreme values of a power system </w:t>
      </w:r>
    </w:p>
    <w:p>
      <w:pPr/>
      <w:r>
        <w:rPr>
          <w:b/>
        </w:rPr>
        <w:t>POSSIBLE 2018:</w:t>
      </w:r>
      <w:r>
        <w:t xml:space="preserve"> The impact of social and weather drivers on the historical electricity demand in Europe — https://doi.org/10.1016/j.apenergy.2018.07.108</w:t>
      </w:r>
    </w:p>
    <w:p>
      <w:pPr/>
      <w:r>
        <w:rPr>
          <w:b/>
        </w:rPr>
        <w:t>Shared claim-specific concepts:</w:t>
      </w:r>
      <w:r>
        <w:t xml:space="preserve"> electricity, renewable, generation, significant, meet, targets; EU scope visible. This is a provisional connection, not an outcome finding.</w:t>
      </w:r>
    </w:p>
    <w:p>
      <w:pPr>
        <w:pStyle w:val="SourceNote"/>
      </w:pPr>
      <w:r>
        <w:rPr>
          <w:b/>
        </w:rPr>
        <w:t>Available abstract (not full text):</w:t>
      </w:r>
      <w:r>
        <w:t xml:space="preserve"> Climate change, technological innovation, as well as electrification of energy services to meet carbon targets, have a significant impact on electricity demand magnitude and patterns. Increasing generation from renewable energy sources is already changing supply variability at the hourly and seasonal timescales. Our aim is to conduct a rigorous study of European historical demand, to understand its relationship with social and weather drivers and, therefore, to gain insights into appropriate storage needs. Daily activity profiles exhibit notable differences across European countries, with some of them reporting a consistent demand reduction, up to 25%, during school closures and Christmas festivities. In addition, temperature sensitivity differentiates demand by countries’ latitude (north vs. south), and by technologies (electric heating vs. other fuel based heating). Assuming a 100% renewables scenario, European countries would display quite distinct periodicities and amplitudes of their residual electricity demands. Annual load curves and temperature sensitivities of nations with high electric heating or cooling demand can assist in the prediction of future electricity and other fuel consumption under increased electrification and climate change scenarios. Fourier periodicity and residual demand analysis suggest that, in addition to grid storage, European countries with mutua</w:t>
      </w:r>
    </w:p>
    <w:p>
      <w:pPr/>
      <w:r>
        <w:rPr>
          <w:b/>
        </w:rPr>
        <w:t>POSSIBLE 2017:</w:t>
      </w:r>
      <w:r>
        <w:t xml:space="preserve"> The increasing impact of weather on electricity supply and demand — https://doi.org/10.1016/j.energy.2017.12.051</w:t>
      </w:r>
    </w:p>
    <w:p>
      <w:pPr/>
      <w:r>
        <w:rPr>
          <w:b/>
        </w:rPr>
        <w:t>Shared claim-specific concepts:</w:t>
      </w:r>
      <w:r>
        <w:t xml:space="preserve"> electricity, renewable, sectors, electrified; EU scope not established. This is a provisional connection, not an outcome finding.</w:t>
      </w:r>
    </w:p>
    <w:p>
      <w:pPr>
        <w:pStyle w:val="SourceNote"/>
      </w:pPr>
      <w:r>
        <w:rPr>
          <w:b/>
        </w:rPr>
        <w:t>Available abstract (not full text):</w:t>
      </w:r>
      <w:r>
        <w:t xml:space="preserve"> Wind and solar power have experienced rapid cost declines and are being deployed at scale. However, their output variability remains a key problem for managing electricity systems, and the implications of multi-day to multi-year variability are still poorly understood. As other energy-using sectors are electrified, the shape and variability of electricity demand will also change. We develop an open framework for quantifying the impacts of weather on electricity supply and demand using the Renewables.ninja and DESSTINEE models. We demonstrate this using a case study of Britain using National Grid's Two Degrees scenario forwards to 2030. We find the British electricity system is rapidly moving into unprecedented territory, with peak demand rising above 70 GW due to electric heating, and intermittent renewable output exceeding demand as early as 2021. Hourly ramp-rates widen by 50% and year-to-year variability increases by 80%, showing why future power system studies must consider multiple years of data, and the influence of weather on both supply and demand. Our framework is globally applicable, and allows detailed scenarios of hourly electricity supply and demand to be explored using only limited input data such as annual quantities from government scenarios or broader energy systems models.</w:t>
      </w:r>
    </w:p>
    <w:p>
      <w:pPr/>
      <w:r>
        <w:rPr>
          <w:b/>
        </w:rPr>
        <w:t>POSSIBLE 2017:</w:t>
      </w:r>
      <w:r>
        <w:t xml:space="preserve"> The Risk of Residential Peak Electricity Demand: A Comparison of Five European Countries — https://doi.org/10.3390/en10030385</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The creation of a Europe-wide electricity market combined with the increased intermittency of supply from renewable sources calls for an investigation into the risk of aggregate peak demand. This paper makes use of a risk model to assess differences in time-use data from residential end-users in five different European electricity markets. Drawing on the Multinational Time-Use Survey database, it assesses risk in relation to the probability of electrical appliance use within households for five European countries. Findings highlight in which countries and for which activities the risk of aggregate peak demand is higher and link smart home solutions (automated load control, dynamic pricing and smart appliances) to different levels of peak demand risk.</w:t>
      </w:r>
    </w:p>
    <w:p>
      <w:pPr/>
      <w:r>
        <w:rPr>
          <w:b/>
        </w:rPr>
        <w:t>POSSIBLE 2017:</w:t>
      </w:r>
      <w:r>
        <w:t xml:space="preserve"> RE-Europe, a large-scale dataset for modeling a highly renewable European electricity system — https://doi.org/10.1038/sdata.2017.175</w:t>
      </w:r>
    </w:p>
    <w:p>
      <w:pPr/>
      <w:r>
        <w:rPr>
          <w:b/>
        </w:rPr>
        <w:t>Shared claim-specific concepts:</w:t>
      </w:r>
      <w:r>
        <w:t xml:space="preserve"> electricity, renewable, generation; EU scope visible. This is a provisional connection, not an outcome finding.</w:t>
      </w:r>
    </w:p>
    <w:p>
      <w:pPr>
        <w:pStyle w:val="SourceNote"/>
      </w:pPr>
      <w:r>
        <w:rPr>
          <w:b/>
        </w:rPr>
        <w:t>Available abstract (not full text):</w:t>
      </w:r>
      <w:r>
        <w:t xml:space="preserve"> Future highly renewable energy systems will couple to complex weather and climate dynamics. This coupling is generally not captured in detail by the open models developed in the power and energy system communities, where such open models exist. To enable modeling such a future energy system, we describe a dedicated large-scale dataset for a renewable electric power system. The dataset combines a transmission network model, as well as information for generation and demand. Generation includes conventional generators with their technical and economic characteristics, as well as weather-driven forecasts and corresponding realizations for renewable energy generation for a period of 3 years. These may be scaled according to the envisioned degrees of renewable penetration in a future European energy system. The spatial coverage, completeness and resolution of this dataset, open the door to the evaluation, scaling analysis and replicability check of a wealth of proposals in, e.g., market design, network actor coordination and forecasting of renewable power generation.</w:t>
      </w:r>
    </w:p>
    <w:p>
      <w:pPr>
        <w:pStyle w:val="Heading2"/>
      </w:pPr>
      <w:r>
        <w:t>828.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2019:</w:t>
      </w:r>
      <w:r>
        <w:t xml:space="preserve"> Distribution trends of European dragonflies under climate change — https://doi.org/10.1111/ddi.12913</w:t>
      </w:r>
    </w:p>
    <w:p>
      <w:pPr/>
      <w:r>
        <w:rPr>
          <w:b/>
        </w:rPr>
        <w:t>Shared claim-specific concepts:</w:t>
      </w:r>
      <w:r>
        <w:t xml:space="preserve"> furthermore, predicted, different;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pStyle w:val="Heading2"/>
      </w:pPr>
      <w:r>
        <w:t>829.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energy, role,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Review of Works Combining GNSS and InSAR in Europe — https://doi.org/10.3390/rs13091684</w:t>
      </w:r>
    </w:p>
    <w:p>
      <w:pPr/>
      <w:r>
        <w:rPr>
          <w:b/>
        </w:rPr>
        <w:t>Shared claim-specific concepts:</w:t>
      </w:r>
      <w:r>
        <w:t xml:space="preserve"> combined, system, remote; EU scope visible. This is a provisional connection, not an outcome finding.</w:t>
      </w:r>
    </w:p>
    <w:p>
      <w:pPr>
        <w:pStyle w:val="SourceNote"/>
      </w:pPr>
      <w:r>
        <w:rPr>
          <w:b/>
        </w:rPr>
        <w:t>Available abstract (not full text):</w:t>
      </w:r>
      <w:r>
        <w:t xml:space="preserve"> The Global Navigation Satellite System (GNSS) and Synthetic Aperture Radar Interferometry (InSAR) can be combined to achieve different goals, owing to their main principles. Both enable the collection of information about ground deformation due to the differences of two consequent acquisitions. Their variable applications, even if strictly related to ground deformation and water vapor determination, have encouraged the scientific community to combine GNSS and InSAR data and their derivable products. In this work, more than 190 scientific contributions were collected spanning the whole European continent. The spatial and temporal distribution of such studies, as well as the distinction in different fields of application, were analyzed. Research in Italy, as the most represented nation, with 47 scientific contributions, has been dedicated to the spatial and temporal distribution of its studied phenomena. The state-of-the-art of the various applications of these two combined techniques can improve the knowledge of the scientific community and help in the further development of new approaches or additional applications in different fields. The demonstrated usefulness and versability of the combination of GNSS and InSAR remote sensing techniques for different purposes, as well as the availability of free data, EUREF and GMS (Ground Motion Service), and the possibility of overcoming </w:t>
      </w:r>
    </w:p>
    <w:p>
      <w:pPr/>
      <w:r>
        <w:rPr>
          <w:b/>
        </w:rPr>
        <w:t>POSSIBLE 2020:</w:t>
      </w:r>
      <w:r>
        <w:t xml:space="preserve"> Make the European Green Deal real: Combining climate neutrality and economic recovery — https://openalex.org/W3095040650</w:t>
      </w:r>
    </w:p>
    <w:p>
      <w:pPr/>
      <w:r>
        <w:rPr>
          <w:b/>
        </w:rPr>
        <w:t>Shared claim-specific concepts:</w:t>
      </w:r>
      <w:r>
        <w:t xml:space="preserve"> reach, energy, significant, role, system, reduction; EU scope visible. This is a provisional connection, not an outcome finding.</w:t>
      </w:r>
    </w:p>
    <w:p>
      <w:pPr>
        <w:pStyle w:val="SourceNote"/>
      </w:pPr>
      <w:r>
        <w:rPr>
          <w:b/>
        </w:rPr>
        <w:t>Available abstract (not full text):</w:t>
      </w:r>
      <w:r>
        <w:t xml:space="preserve"> The European Green Deal (EGD), a package of measures "to put Europe on a pathway to a sustainable future, while leaving no one behind", can combine climate neutrality with a sustainable economic recovery of Europe coming out of the Corona pandemic crisis. However, this requires a tightening of climate targets for 2030 already, and the development of an ambitious climate policy pathway, replacing the current "business as usual". In particular, the recovery programs must target energy efficiency and innovations for sustainable technologies, such as renewable energies, storage, and other flexibility options. This study analyzes selected areas of the European Green Deal critically, focusing on the core objective of achieving climate neutrality. The study uses energy system modeling to describe an ambitious approach to achieve climate neutrality in the spirit of the Paris climate agreement (called "Paris"- scenario) aiming for carbon neutrality by 2040. Particular focus is placed on justice and solidarity between stakeholders that are affected differently. The reference benchmark of the EGD must be climate neutrality, and coherence with the 2015 Paris climate agreement for a pathway limiting the increase of the global mean temperature to far below 2°, and if possible to 1.5°. Significant increases in energy efficiency and energy savings through behavioral change can lead to a reduct</w:t>
      </w:r>
    </w:p>
    <w:p>
      <w:pPr/>
      <w:r>
        <w:rPr>
          <w:b/>
        </w:rPr>
        <w:t>POSSIBLE 2019:</w:t>
      </w:r>
      <w:r>
        <w:t xml:space="preserve"> Future changes, or lack thereof, in the temporal variability of the combined wind-plus-solar power production in Europe — https://doi.org/10.1016/j.renene.2019.02.060</w:t>
      </w:r>
    </w:p>
    <w:p>
      <w:pPr/>
      <w:r>
        <w:rPr>
          <w:b/>
        </w:rPr>
        <w:t>Shared claim-specific concepts:</w:t>
      </w:r>
      <w:r>
        <w:t xml:space="preserve"> combined, potential, significant; EU scope visible. This is a provisional connection, not an outcome finding.</w:t>
      </w:r>
    </w:p>
    <w:p>
      <w:pPr>
        <w:pStyle w:val="SourceNote"/>
      </w:pPr>
      <w:r>
        <w:rPr>
          <w:b/>
        </w:rPr>
        <w:t>Available abstract (not full text):</w:t>
      </w:r>
      <w:r>
        <w:t xml:space="preserve"> Here we present the first assessment of climate change impacts on the temporal variability of the joint production of wind and solar photovoltaic (PV) power across Europe. For that we adopted regional and continental perspectives (assuming a single European electricity grid), considered several temporal frequencies (from daily to annual), used state-of-the-art regional climate projections together with a climate-production model, and assumed a future massive deployment of wind and PV power installations. Results support that the spatio-temporal complementarity between the wind and solar resources helps to minimize the temporal variability of the combined production under both present (1971–2000) and future (2070–2099) climate conditions similarly. Thus the projected changes are overall negligible (well below ±5%). However, an additional assessment of theoretical upper/bottom bounds for these changes indicated significant potential increases in the stability of the joint production ranging from 5 to 25% across regions, 15% at the continental scale. This would be subordinated to the feasibility of reaching, with the future deployment strategies, individual wind and PV power production series with a perfect temporal anticorrelation. These results may encourage stakeholders to take holistically optimized decisions.</w:t>
      </w:r>
    </w:p>
    <w:p>
      <w:pPr/>
      <w:r>
        <w:rPr>
          <w:b/>
        </w:rPr>
        <w:t>POSSIBLE 2016:</w:t>
      </w:r>
      <w:r>
        <w:t xml:space="preserve"> Land and climate effects of bioenergy - Brazilian sugarcane ethanol and combined biofuel-district heating in Europe — https://openalex.org/W2286452073</w:t>
      </w:r>
    </w:p>
    <w:p>
      <w:pPr/>
      <w:r>
        <w:rPr>
          <w:b/>
        </w:rPr>
        <w:t>Shared claim-specific concepts:</w:t>
      </w:r>
      <w:r>
        <w:t xml:space="preserve"> aim, reach, combined, capacity, energy, carbon; EU scope visible. This is a provisional connection, not an outcome finding.</w:t>
      </w:r>
    </w:p>
    <w:p>
      <w:pPr>
        <w:pStyle w:val="SourceNote"/>
      </w:pPr>
      <w:r>
        <w:rPr>
          <w:b/>
        </w:rPr>
        <w:t>Available abstract (not full text):</w:t>
      </w:r>
      <w:r>
        <w:t xml:space="preserve"> According to the Intergovernmental Panel on Climate Change, use of fossil fuels is the largest source of\nthe increase in atmospheric CO2. The second largest is land use change. To reach stringent climate targets,\nemissions from fossil fuel combustion and land use change will need to be reduced to near zero\nwithin a few decades. Biomass is a renewable energy source that can be used to replace fossil fuels.\nHowever, it is a limited resource, expected to become scarce relative to future demand, prompting interest\nin optimizing efficiency. Further, when biomass for biofuels expands into new land areas, the total\nbiospheric carbon stock (the sum of soil and above-ground carbon) may increase or decrease, influencing\nthe net effect on greenhouse gas balances. This thesis, which consists of five separate papers, analyzes\nseveral key aspects associated with two bioenergy systems: (i) combined biofuels and district heat production\nin the EU and (ii) sugarcane for ethanol production in Brazil, with special attention to integration\nwith existing food and energy systems. The overall aim is to investigate specific options for improving\nmanagement of land use and land use change, efficient use of resources, and greenhouse gas balances for\nspecific bioenergy systems.\nIn Paper I, we study biomass gasification for the production of biofuels and heat for district heating systems\nin </w:t>
      </w:r>
    </w:p>
    <w:p>
      <w:pPr>
        <w:pStyle w:val="Heading2"/>
      </w:pPr>
      <w:r>
        <w:t>830.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2020:</w:t>
      </w:r>
      <w:r>
        <w:t xml:space="preserve"> The Latest Stage of the German Question: Pax Germanica in the New Europe — https://doi.org/10.4324/9781003100737-7</w:t>
      </w:r>
    </w:p>
    <w:p>
      <w:pPr/>
      <w:r>
        <w:rPr>
          <w:b/>
        </w:rPr>
        <w:t>Shared claim-specific concepts:</w:t>
      </w:r>
      <w:r>
        <w:t xml:space="preserve"> posed, context, concerning, well; EU scope visible. This is a provisional connection, not an outcome finding.</w:t>
      </w:r>
    </w:p>
    <w:p>
      <w:pPr>
        <w:pStyle w:val="SourceNote"/>
      </w:pPr>
      <w:r>
        <w:rPr>
          <w:b/>
        </w:rPr>
        <w:t>Available abstract (not full text):</w:t>
      </w:r>
      <w:r>
        <w:t xml:space="preserve"> This chapter argues that the problem posed concerning the ‘German question’ in its latest form is novel, not only in the context in which it has developed but in the form that it takes. Germany’s unification engendered the emergence of a new stage of the ‘German question’ that has dominated modern European political, economic and military relations for over a century. The traditional formulation of this problematique has always started from the working assumption that Germany’s elites have sought to expand their economic and territorial base beyond their universally-defined geographic borders. Arguments stressing benign effect of German unification for European security and economic development reflect one of three critical elements. Although they might combine aspects of more than one form, this intellectual approach is preponderantly functional, institutional or sociological. The debate between optimists and pessimists therefore really focuses on degree of German centrality in new European order, as well as implications for Germany’s position in Europe and for global stability.</w:t>
      </w:r>
    </w:p>
    <w:p>
      <w:pPr/>
      <w:r>
        <w:rPr>
          <w:b/>
        </w:rPr>
        <w:t>POSSIBLE 2020:</w:t>
      </w:r>
      <w:r>
        <w:t xml:space="preserve"> Forty questions of importance to the policy and practice of native oyster reef restoration in Europe — https://doi.org/10.1002/aqc.3462</w:t>
      </w:r>
    </w:p>
    <w:p>
      <w:pPr/>
      <w:r>
        <w:rPr>
          <w:b/>
        </w:rPr>
        <w:t>Shared claim-specific concepts:</w:t>
      </w:r>
      <w:r>
        <w:t xml:space="preserve"> questions, well, two; EU scope visible. This is a provisional connection, not an outcome finding.</w:t>
      </w:r>
    </w:p>
    <w:p>
      <w:pPr>
        <w:pStyle w:val="SourceNote"/>
      </w:pPr>
      <w:r>
        <w:rPr>
          <w:b/>
        </w:rPr>
        <w:t>Available abstract (not full text):</w:t>
      </w:r>
      <w:r>
        <w:t xml:space="preserve"> Abstract Oyster reefs are among the most threatened marine habitats globally. In Europe, oyster reefs have been extirpated from most locations within their historical range. Active restoration of the native oyster (Ostrea edulis) in Europe has grown substantially in recent years. In sharing experiences between oyster restoration projects in Europe at the Native Oyster Restoration Alliance conference, NORA2, in Edinburgh in May 2019, it became apparent that a number of similar barriers are experienced. This study identified the top 40 questions, which, if answered, would have the greatest influence on the policy and practice of oyster restoration in Europe. Initially 71 people were consulted across 28 institutions and 11 European countries to generate 194 questions. An established process of one round of pre‐workshop voting followed by a one‐day online workshop and two post‐workshop rounds of voting resulted in the final 40 questions. Questions were broadly grouped into the following 10 themes: baselines, site selection, restoration methods, quantifying benefits, disease management, biosecurity, genetic diversity and population differentiation, policy and management, novel technologies, and current and future threats. We anticipate that this list will provide a starting point for developing collaborative projects across the NORA network, as well as assisting policy makers and fu</w:t>
      </w:r>
    </w:p>
    <w:p>
      <w:pPr/>
      <w:r>
        <w:rPr>
          <w:b/>
        </w:rPr>
        <w:t>POSSIBLE 2019:</w:t>
      </w:r>
      <w:r>
        <w:t xml:space="preserve"> Non-kin ties as a source of support in Europe: On the role of context — https://doi.org/10.13140/rg.2.2.35004.90249</w:t>
      </w:r>
    </w:p>
    <w:p>
      <w:pPr/>
      <w:r>
        <w:rPr>
          <w:b/>
        </w:rPr>
        <w:t>Shared claim-specific concepts:</w:t>
      </w:r>
      <w:r>
        <w:t xml:space="preserve"> questions, context, role, two; EU scope visible. This is a provisional connection, not an outcome finding.</w:t>
      </w:r>
    </w:p>
    <w:p>
      <w:pPr>
        <w:pStyle w:val="SourceNote"/>
      </w:pPr>
      <w:r>
        <w:rPr>
          <w:b/>
        </w:rPr>
        <w:t>Available abstract (not full text):</w:t>
      </w:r>
      <w:r>
        <w:t xml:space="preserve"> The process of modernisation brought about new contexts, such as ageing, individualism, and migration – to just name a few – posing questions about the organisation of support and the role of different providers in individuals’ support networks. A key premise across Europe has been the idea that kin and non-kin ties should take more responsibility in the future, but little is known about the circumstances under which they are willing and able to do so. This holds particularly true for non-kin ties – ties which are not related by blood or legal arrangements, e.g. friends, neighbours and colleagues. Non-kin ties have been largely neglected in European research on support. A link between generous social spending and non-kin support has been established, but questions such as how do non-relatives situate in individuals’ support networks remain open. Our knowledge remains equally scarce when it comes to the mechanics underlying non-kin help. This dissertation addresses this knowledge lacuna and poses two key questions: (1) To what extent do non-kin ties form part of individuals’ support networks across Europe? and (2) How are contemporary cultural, social, and demographic contexts, at both the individual and the country level, linked with potential and actual non-kin support in Europe?</w:t>
      </w:r>
    </w:p>
    <w:p>
      <w:pPr/>
      <w:r>
        <w:rPr>
          <w:b/>
        </w:rPr>
        <w:t>POSSIBLE 2019:</w:t>
      </w:r>
      <w:r>
        <w:t xml:space="preserve"> Extremism and toxic masculinity: the man question re-posed — https://doi.org/10.1093/ia/iiz177</w:t>
      </w:r>
    </w:p>
    <w:p>
      <w:pPr/>
      <w:r>
        <w:rPr>
          <w:b/>
        </w:rPr>
        <w:t>Shared claim-specific concepts:</w:t>
      </w:r>
      <w:r>
        <w:t xml:space="preserve"> posed, role, two; EU scope not established. This is a provisional connection, not an outcome finding.</w:t>
      </w:r>
    </w:p>
    <w:p>
      <w:pPr>
        <w:pStyle w:val="SourceNote"/>
      </w:pPr>
      <w:r>
        <w:rPr>
          <w:b/>
        </w:rPr>
        <w:t>Available abstract (not full text):</w:t>
      </w:r>
      <w:r>
        <w:t xml:space="preserve"> Abstract It is more than 20 years since Marysia Zalewski and feminist scholars posed ‘the man question’ in International Relations, repositioning the gaze from female subjectivities to a problematization of the subjecthood of man. The field of masculinity studies has developed this initial question to a deep interrogation of the relationship between maleness and violence. Yet public and policy discourse often reduce the complexity of masculinities within extremism to issues of crisis and toxicity. Governments have prioritized the prevention of extremism, particularly violent Islamism, and in so doing have produced as ‘risk’ particular racialized and marginalized men. This article asks, what are the effects of the toxic masculinity discourse in understanding the British radical right? It argues that current understandings of extremism neglect the central aim of Zalewski's ‘man’ question to destabilize the field and deconstruct patriarchy. They instead position Islamophobia—which is institutionalized in state discourse—as the responsibility of particular ‘extreme’ and ‘toxic’ groups. In particular, the article outlines two ways in which ‘toxic masculinity’ is an inadequate concept to describe activism in the anti-Islam(ist) movement the English Defence League (EDL). First, the term ‘toxic masculinity’ occludes the continuities of EDL masculinities with wider patriarchal norms; se</w:t>
      </w:r>
    </w:p>
    <w:p>
      <w:pPr/>
      <w:r>
        <w:rPr>
          <w:b/>
        </w:rPr>
        <w:t>POSSIBLE 2017:</w:t>
      </w:r>
      <w:r>
        <w:t xml:space="preserve"> Southern Europe in a Migratory Context — https://doi.org/10.4324/9781315133096-3</w:t>
      </w:r>
    </w:p>
    <w:p>
      <w:pPr/>
      <w:r>
        <w:rPr>
          <w:b/>
        </w:rPr>
        <w:t>Shared claim-specific concepts:</w:t>
      </w:r>
      <w:r>
        <w:t xml:space="preserve"> context, role, two; EU scope visible. This is a provisional connection, not an outcome finding.</w:t>
      </w:r>
    </w:p>
    <w:p>
      <w:pPr>
        <w:pStyle w:val="SourceNote"/>
      </w:pPr>
      <w:r>
        <w:rPr>
          <w:b/>
        </w:rPr>
        <w:t>Available abstract (not full text):</w:t>
      </w:r>
      <w:r>
        <w:t xml:space="preserve"> International comparative research focuses on the study of a relation and it can be based, either on the similarities or differences existing between two or more social processes. The issue of linearity in comparative work has been one of the main problems when dealing with the evolutionary heritage of the social sciences. Firstly, the idea of linearity is based on the existence of a fundamental industrializing trend, which itself is built into the main sociological theories. Then, the idea of linearity can also be applied to the assumed role of the welfare state in the later capitalist era. This chapter poses the question of convergence in terms of the interdisciplinary context located in the labor market, civil society, and the state. Changes in the market and in the family are the basis for the reproductive effect on the situation of foreign immigrants.</w:t>
      </w:r>
    </w:p>
    <w:p>
      <w:pPr/>
      <w:r>
        <w:rPr>
          <w:b/>
        </w:rPr>
        <w:t>POSSIBLE 2016:</w:t>
      </w:r>
      <w:r>
        <w:t xml:space="preserve"> Historicity and citizenship as conditions for national minority rights in Central Europe: old principles in a new migration context — https://doi.org/10.1080/1369183x.2015.1132158</w:t>
      </w:r>
    </w:p>
    <w:p>
      <w:pPr/>
      <w:r>
        <w:rPr>
          <w:b/>
        </w:rPr>
        <w:t>Shared claim-specific concepts:</w:t>
      </w:r>
      <w:r>
        <w:t xml:space="preserve"> context, role, two; EU scope visible. This is a provisional connection, not an outcome finding.</w:t>
      </w:r>
    </w:p>
    <w:p>
      <w:pPr>
        <w:pStyle w:val="SourceNote"/>
      </w:pPr>
      <w:r>
        <w:rPr>
          <w:b/>
        </w:rPr>
        <w:t>Available abstract (not full text):</w:t>
      </w:r>
      <w:r>
        <w:t xml:space="preserve"> Having a historical presence in a country and citizenship of that country are two basic conditions under which national minority rights are granted in many countries, but increasing international migration has started to pose a challenge to this conception. Like other countries of Central Europe, the Czech Republic has adopted the two conditions for granting rights to traditional ‘national minorities’ and has developed a separate policy for the ‘integration of foreigners’; however, the emergence of the second generation of Vietnamese has presented a special challenge to this two-tier policy system. Recent renegotiation of the historicity of this immigrant group has resulted in its ‘official recognition’ as a national minority. This paper discusses this case in its wider Central European context, and addresses the question of whether we are observing an erosion of the two-tier policy system or a reconsideration of the distinction between ‘old’ and ‘new’ minorities. Finally, the paper touches upon the question of the role and usability of ‘old’ minority language rights, considering the lack of interest among the traditional minorities vs. the linguistic situation of the migrants’ second generation.</w:t>
      </w:r>
    </w:p>
    <w:p>
      <w:pPr/>
      <w:r>
        <w:rPr>
          <w:b/>
        </w:rPr>
        <w:t>POSSIBLE 2016:</w:t>
      </w:r>
      <w:r>
        <w:t xml:space="preserve"> A review of canine babesiosis: the European perspective — https://doi.org/10.1186/s13071-016-1596-0</w:t>
      </w:r>
    </w:p>
    <w:p>
      <w:pPr/>
      <w:r>
        <w:rPr>
          <w:b/>
        </w:rPr>
        <w:t>Shared claim-specific concepts:</w:t>
      </w:r>
      <w:r>
        <w:t xml:space="preserve"> questions, posed, various; EU scope visible. This is a provisional connection, not an outcome finding.</w:t>
      </w:r>
    </w:p>
    <w:p>
      <w:pPr>
        <w:pStyle w:val="SourceNote"/>
      </w:pPr>
      <w:r>
        <w:rPr>
          <w:b/>
        </w:rPr>
        <w:t>Available abstract (not full text):</w:t>
      </w:r>
      <w:r>
        <w:t xml:space="preserve"> Canine babesiosis is a significant tick-borne disease caused by various species of the protozoan genus Babesia. Although it occurs worldwide, data relating to European infections have now been collected for many years. These data have boosted the publication record and increased our working knowledge of these protozoan parasites. Both the large and small forms of Babesia species (B. canis, B. vogeli, B. gibsoni, and B. microti-like isolates also referred to as "B. vulpes" and "Theileria annae") infect dogs in Europe, and their geographical distribution, transmission, clinical signs, treatment, and prognosis vary widely for each species. The goal of this review is to provide veterinary practitioners with practical guidelines for the diagnosis, treatment and prevention of babesiosis in European dogs. Our hope is that these guidelines will answer the most frequently asked questions posed by veterinary practitioners.</w:t>
      </w:r>
    </w:p>
    <w:p>
      <w:pPr>
        <w:pStyle w:val="Heading2"/>
      </w:pPr>
      <w:r>
        <w:t>831.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data;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2017:</w:t>
      </w:r>
      <w:r>
        <w:t xml:space="preserve"> Lignocellulosic Crops in Europe: Integrating Crop Yield Potentials with Land Potentials — https://doi.org/10.6092/unibo/amsdottorato/7854</w:t>
      </w:r>
    </w:p>
    <w:p>
      <w:pPr/>
      <w:r>
        <w:rPr>
          <w:b/>
        </w:rPr>
        <w:t>Shared claim-specific concepts:</w:t>
      </w:r>
      <w:r>
        <w:t xml:space="preserve"> according, capri, yield, data; EU scope visible. This is a provisional connection, not an outcome finding.</w:t>
      </w:r>
    </w:p>
    <w:p>
      <w:pPr>
        <w:pStyle w:val="SourceNote"/>
      </w:pPr>
      <w:r>
        <w:rPr>
          <w:b/>
        </w:rPr>
        <w:t>Available abstract (not full text):</w:t>
      </w:r>
      <w:r>
        <w:t xml:space="preserve"> Given the ambitious EU targets to further decarbonise the economy, it can be expected that the demand for lignocellulosic biomass will continue to grow. Provisioning of part of this biomass by dedicated biomass crops becomes an option. This study presents integrated approach for crop allocation based on land availability and crop requirements. The model analysis to investigate the potential extension of unused land and its suitability for lignocellulosic crops was carried out in 37 European countries at the NUTS3 level. The CAPRI model predicts future land use changes and was used as a basic input to assess the agricultural biomass potentials in Europe. It was then identified the total land resource with a post-modeling assessment for three different potentials to the year 2020 and 2030, according to sustainability criteria formulated in the Renewable Energy directive (RED). Furthermore, crop-specific suitability maps were generated for each crop based on the variability of biophysical factors such as climate, soil properties and topographical aspects. The yields and cost levels that can be reached in Europe with different perennial crops in different climatic, soil and management situations. The AquaCrop model developed by FAO was used and fed with phenological parameters per crop and detailed weather data to simulate the crop growth in all European Nuts 3 regions. Yield level</w:t>
      </w:r>
    </w:p>
    <w:p>
      <w:pPr/>
      <w:r>
        <w:rPr>
          <w:b/>
        </w:rPr>
        <w:t>POSSIBLE 2016:</w:t>
      </w:r>
      <w:r>
        <w:t xml:space="preserve"> Prediction of homoprotein and heteroprotein complexes by protein docking and template‐based modeling: A CASP‐CAPRI experiment — https://doi.org/10.1002/prot.25007</w:t>
      </w:r>
    </w:p>
    <w:p>
      <w:pPr/>
      <w:r>
        <w:rPr>
          <w:b/>
        </w:rPr>
        <w:t>Shared claim-specific concepts:</w:t>
      </w:r>
      <w:r>
        <w:t xml:space="preserve"> capri, average, data; EU scope not established. This is a provisional connection, not an outcome finding.</w:t>
      </w:r>
    </w:p>
    <w:p>
      <w:pPr>
        <w:pStyle w:val="SourceNote"/>
      </w:pPr>
      <w:r>
        <w:rPr>
          <w:b/>
        </w:rPr>
        <w:t>Available abstract (not full text):</w:t>
      </w:r>
      <w:r>
        <w:t xml:space="preserve"> We present the results for CAPRI Round 30, the first joint CASP-CAPRI experiment, which brought together experts from the protein structure prediction and protein-protein docking communities. The Round comprised 25 targets from amongst those submitted for the CASP11 prediction experiment of 2014. The targets included mostly homodimers, a few homotetramers, and two heterodimers, and comprised protein chains that could readily be modeled using templates from the Protein Data Bank. On average 24 CAPRI groups and 7 CASP groups submitted docking predictions for each target, and 12 CAPRI groups per target participated in the CAPRI scoring experiment. In total more than 9500 models were assessed against the 3D structures of the corresponding target complexes. Results show that the prediction of homodimer assemblies by homology modeling techniques and docking calculations is quite successful for targets featuring large enough subunit interfaces to represent stable associations. Targets with ambiguous or inaccurate oligomeric state assignments, often featuring crystal contact-sized interfaces, represented a confounding factor. For those, a much poorer prediction performance was achieved, while nonetheless often providing helpful clues on the correct oligomeric state of the protein. The prediction performance was very poor for genuine tetrameric targets, where the inaccuracy of the homol</w:t>
      </w:r>
    </w:p>
    <w:p>
      <w:pPr>
        <w:pStyle w:val="Heading2"/>
      </w:pPr>
      <w:r>
        <w:t>832.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r>
        <w:rPr>
          <w:b/>
        </w:rPr>
        <w:t>POSSIBLE 2021:</w:t>
      </w:r>
      <w:r>
        <w:t xml:space="preserve"> Co-benefits of a flexitarian diet for air quality and human health in Europe — https://doi.org/10.1016/j.ecolecon.2021.107232</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Agriculture is a major source of air pollution in Europe, with adverse impacts on human health. Having recognized the serious health outcomes, and in direct response to public demand for a cleaner environment, European public policies are aiming to reduce air pollution. This study proposes a shift to more plant-based human diets to help achieve bold reduction targets for air pollution from agriculture. To assess the potential reduction in agricultural air pollution, we combine a large-scale partial equilibrium model for agriculture (CAPRI) with an atmospheric chemistry model (WRF-Chem). The health impacts from improved air quality are summarized as premature mortality rates, which are estimated from simulated changes in annual mean PM2.5 concentrations. We find that a shift to plant-based (flexitarian) diets would reduce ammonia emissions by 33% in the European Union (EU), generating significant co-benefits for air quality and human health. The economic benefits from improved human health would also largely mitigate the economic losses in the agricultural sector (39% in the EU and 49% in Europe as a whole). Our results suggest that, by shifting to plant-based human diets, European agriculture could significantly contribute to the targets in the EU Zero Pollution Action Plan.</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2019:</w:t>
      </w:r>
      <w:r>
        <w:t xml:space="preserve"> Significance of the CAPRI risk score to predict heart failure hospitalization post-TAVI: The CAPRI-HF study — https://doi.org/10.1016/j.ijcard.2019.08.033</w:t>
      </w:r>
    </w:p>
    <w:p>
      <w:pPr/>
      <w:r>
        <w:rPr>
          <w:b/>
        </w:rPr>
        <w:t>Shared claim-specific concepts:</w:t>
      </w:r>
      <w:r>
        <w:t xml:space="preserve"> capri, increase, aim; EU scope not established. This is a provisional connection, not an outcome finding.</w:t>
      </w:r>
    </w:p>
    <w:p>
      <w:pPr>
        <w:pStyle w:val="SourceNote"/>
      </w:pPr>
      <w:r>
        <w:rPr>
          <w:b/>
        </w:rPr>
        <w:t>Available abstract (not full text):</w:t>
      </w:r>
      <w:r>
        <w:t xml:space="preserve"> BACKGROUND: Predictors of heart failure (HF) hospitalization after transcatheter aortic valve implantation (TAVI) are not well defined. CAPRI is a score for predicting 1-year post-TAVI cardiovascular and all-cause mortality. The aim of the present study is to assess the prognostic significance of the CAPRI score for HF hospitalization 1 year after TAVI. METHODS AND RESULTS: CAPRI-HF is an ancillary study of the C4CAPRI trial, analyzing 409 consecutive patients treated by TAVI. The primary outcome was hospitalization for HF during the first year post-intervention. The prognostic value of the CAPRI score was assessed by multivariable analysis adjusted for diabetes, atrial fibrillation, vascular route, pacemaker implantation, post-TAVI aortic regurgitation, transfusion and pulmonary artery systolic pressure. A subanalysis focused on patients with low-gradient aortic stenosis (LGAS). At 1 year, HF hospitalization occurred in 78 (19.9%) patients. Patients with HF were more prone to have diabetes, atrial fibrillation, renal dysfunction, lower mean aortic gradient, higher logistic EuroSCORE and higher CAPRI score (p &lt; .05 for all associations). In the multivariable analysis, CAPRI score was the sole predictor of HF: hazard ratio (HR) for each 0.1 CAPRI score increase was 1.065, 95% confidence interval (CI) 1.021-1.110. This was confirmed when adjusted for EuroSCORE: HR 1.066, 95% CI 1</w:t>
      </w:r>
    </w:p>
    <w:p>
      <w:pPr/>
      <w:r>
        <w:rPr>
          <w:b/>
        </w:rPr>
        <w:t>POSSIBLE 2016:</w:t>
      </w:r>
      <w:r>
        <w:t xml:space="preserve"> Modeling protein–protein and protein–peptide complexes: CAPRI 6th edition — https://doi.org/10.1002/prot.25215</w:t>
      </w:r>
    </w:p>
    <w:p>
      <w:pPr/>
      <w:r>
        <w:rPr>
          <w:b/>
        </w:rPr>
        <w:t>Shared claim-specific concepts:</w:t>
      </w:r>
      <w:r>
        <w:t xml:space="preserve"> based, capri; EU scope not established. This is a provisional connection, not an outcome finding.</w:t>
      </w:r>
    </w:p>
    <w:p>
      <w:pPr>
        <w:pStyle w:val="SourceNote"/>
      </w:pPr>
      <w:r>
        <w:rPr>
          <w:b/>
        </w:rPr>
        <w:t>Available abstract (not full text):</w:t>
      </w:r>
      <w:r>
        <w:t xml:space="preserve"> We present the sixth report evaluating the performance of methods for predicting the atomic resolution structures of protein complexes offered as targets to the community-wide initiative on the Critical Assessment of Predicted Interactions (CAPRI). The evaluation is based on a total of 20,670 predicted models for 8 protein-peptide complexes, a novel category of targets in CAPRI, and 12 protein-protein targets in CAPRI prediction Rounds held during the years 2013-2016. For two of the protein-protein targets, the focus was on the prediction of side-chain conformation and positions of interfacial water molecules. Seven of the protein-protein targets were particularly challenging owing to their multicomponent nature, to conformational changes at the binding site, or to a combination of both. Encouragingly, the very large multiprotein complex with the nucleosome was correctly predicted, and correct models were submitted for the protein-peptide targets, but not for some of the challenging protein-protein targets. Models of acceptable quality or better were obtained for 14 of the 20 targets, including medium quality models for 13 targets and high quality models for 8 targets, indicating tangible progress of present-day computational methods in modeling protein complexes with increased accuracy. Our evaluation suggests that the progress stems from better integration of different modeli</w:t>
      </w:r>
    </w:p>
    <w:p>
      <w:pPr/>
      <w:r>
        <w:rPr>
          <w:b/>
        </w:rPr>
        <w:t>POSSIBLE 2016:</w:t>
      </w:r>
      <w:r>
        <w:t xml:space="preserve"> Prediction of homoprotein and heteroprotein complexes by protein docking and template‐based modeling: A CASP‐CAPRI experiment — https://doi.org/10.1002/prot.25007</w:t>
      </w:r>
    </w:p>
    <w:p>
      <w:pPr/>
      <w:r>
        <w:rPr>
          <w:b/>
        </w:rPr>
        <w:t>Shared claim-specific concepts:</w:t>
      </w:r>
      <w:r>
        <w:t xml:space="preserve"> based, capri, average; EU scope not established. This is a provisional connection, not an outcome finding.</w:t>
      </w:r>
    </w:p>
    <w:p>
      <w:pPr>
        <w:pStyle w:val="SourceNote"/>
      </w:pPr>
      <w:r>
        <w:rPr>
          <w:b/>
        </w:rPr>
        <w:t>Available abstract (not full text):</w:t>
      </w:r>
      <w:r>
        <w:t xml:space="preserve"> We present the results for CAPRI Round 30, the first joint CASP-CAPRI experiment, which brought together experts from the protein structure prediction and protein-protein docking communities. The Round comprised 25 targets from amongst those submitted for the CASP11 prediction experiment of 2014. The targets included mostly homodimers, a few homotetramers, and two heterodimers, and comprised protein chains that could readily be modeled using templates from the Protein Data Bank. On average 24 CAPRI groups and 7 CASP groups submitted docking predictions for each target, and 12 CAPRI groups per target participated in the CAPRI scoring experiment. In total more than 9500 models were assessed against the 3D structures of the corresponding target complexes. Results show that the prediction of homodimer assemblies by homology modeling techniques and docking calculations is quite successful for targets featuring large enough subunit interfaces to represent stable associations. Targets with ambiguous or inaccurate oligomeric state assignments, often featuring crystal contact-sized interfaces, represented a confounding factor. For those, a much poorer prediction performance was achieved, while nonetheless often providing helpful clues on the correct oligomeric state of the protein. The prediction performance was very poor for genuine tetrameric targets, where the inaccuracy of the homol</w:t>
      </w:r>
    </w:p>
    <w:p>
      <w:pPr>
        <w:pStyle w:val="Heading2"/>
      </w:pPr>
      <w:r>
        <w:t>833.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r>
        <w:rPr>
          <w:b/>
        </w:rPr>
        <w:t>POSSIBLE 2020:</w:t>
      </w:r>
      <w:r>
        <w:t xml:space="preserve"> Piercing Proverbial Crows’ Eyes: Theft and Publication in Renaissance France — https://doi.org/10.33137/rr.v43i3.35300</w:t>
      </w:r>
    </w:p>
    <w:p>
      <w:pPr/>
      <w:r>
        <w:rPr>
          <w:b/>
        </w:rPr>
        <w:t>Shared claim-specific concepts:</w:t>
      </w:r>
      <w:r>
        <w:t xml:space="preserve"> france, publication, thus; EU scope visible. This is a provisional connection, not an outcome finding.</w:t>
      </w:r>
    </w:p>
    <w:p>
      <w:pPr>
        <w:pStyle w:val="SourceNote"/>
      </w:pPr>
      <w:r>
        <w:rPr>
          <w:b/>
        </w:rPr>
        <w:t>Available abstract (not full text):</w:t>
      </w:r>
      <w:r>
        <w:t xml:space="preserve"> The ironic Latin proverb “cornicum oculos configere” was classically illustrated by the example of Gnaeus Flavius, celebrated for his theft and valuable but unauthorized publication of Rome’s legal secrets. Erasmus’s discussion of the proverb in the Adages consequently focuses on the tension within the transfer of knowledge between openness and secrecy, and on the fragile status of intellectual authority within a scholarly domain made increasingly public by the printing press. This article uses the example of Flavius to trace the idea of theft within Renaissance attitudes to the possession and dissemination of knowledge. It compares the reception of Flavius in three contexts: Erasmus’s ambivalence towards publication as a form of theft in the Adages; ancient criticisms of theft as social presumption; and the more positive representation of epistemological theft in the works of four Renaissance French jurists. It thus argues that Erasmus represents a turning point both in the reception history of Flavius and in attitudes to intellectual theft—and thereby to intellectual property—in the Renaissance.</w:t>
      </w:r>
    </w:p>
    <w:p>
      <w:pPr/>
      <w:r>
        <w:rPr>
          <w:b/>
        </w:rPr>
        <w:t>POSSIBLE 2020:</w:t>
      </w:r>
      <w:r>
        <w:t xml:space="preserve"> Negotiating French Wine and European Identities at the European Community — https://doi.org/10.1017/s0960777320000405</w:t>
      </w:r>
    </w:p>
    <w:p>
      <w:pPr/>
      <w:r>
        <w:rPr>
          <w:b/>
        </w:rPr>
        <w:t>Shared claim-specific concepts:</w:t>
      </w:r>
      <w:r>
        <w:t xml:space="preserve"> due, national, created, countries; EU scope visible. This is a provisional connection, not an outcome finding.</w:t>
      </w:r>
    </w:p>
    <w:p>
      <w:pPr>
        <w:pStyle w:val="SourceNote"/>
      </w:pPr>
      <w:r>
        <w:rPr>
          <w:b/>
        </w:rPr>
        <w:t>Available abstract (not full text):</w:t>
      </w:r>
      <w:r>
        <w:t xml:space="preserve"> This article examines the French role in creating an integrated wine policy at the European level and demonstrates that political negotiations over the policy revealed competing European conceptions of agriculture and identity. Drawing on research in EEC and French historical archives, this article argues that in spite of the risks involved in relinquishing sovereignty over a key national industry with deep cultural resonance, the French government was determined to transfer responsibility for much of the sector to the European Community due to continued domestic pressure. Further, it suggests that common values around the centrality of agriculture in the European project meant that countries were persistent in realising a wine policy even though wine was not a natural fit in the pantheon of other goods for which common markets were created.</w:t>
      </w:r>
    </w:p>
    <w:p>
      <w:pPr/>
      <w:r>
        <w:rPr>
          <w:b/>
        </w:rPr>
        <w:t>POSSIBLE 2018:</w:t>
      </w:r>
      <w:r>
        <w:t xml:space="preserve"> Evolution of the Population Structure of Staphylococcus pseudintermedius in France — https://doi.org/10.3389/fmicb.2018.03055</w:t>
      </w:r>
    </w:p>
    <w:p>
      <w:pPr/>
      <w:r>
        <w:rPr>
          <w:b/>
        </w:rPr>
        <w:t>Shared claim-specific concepts:</w:t>
      </w:r>
      <w:r>
        <w:t xml:space="preserve"> france, multiple, population, decline, due, created; EU scope visible. This is a provisional connection, not an outcome finding.</w:t>
      </w:r>
    </w:p>
    <w:p>
      <w:pPr>
        <w:pStyle w:val="SourceNote"/>
      </w:pPr>
      <w:r>
        <w:rPr>
          <w:b/>
        </w:rPr>
        <w:t>Available abstract (not full text):</w:t>
      </w:r>
      <w:r>
        <w:t xml:space="preserve"> (MRSP) in the early 2000s, which were additionally resistant to most veterinary-licensed antibiotics, drew specific attention to these pathogens due to the limitations created in veterinary therapeutic options. Multiple studies showed that the sequence type (ST)71 was the most frequently identified clone in Europe. A few years ago, several publications have suggested a decline of the ST71 clone and the emergence of the ST258 lineage in Northern Europe. In this study, we show that ST71 is also decreasing over time in France and that the non-ST71 population is highly heterogeneous. Globally, the non-ST71 clones are more susceptible to antibiotics, which might be good news for veterinarians. Two other lineages, ST258 and ST496, seem to be successful in France. These isolates, as well as representatives of the ST71 clone, underwent whole-genome sequence. This study shows that the ST71 and ST496 clusters are highly homogenous while the ST258 cluster is more diverse. Each ST possesses a specific pattern of resistance and virulence genes. The reasons for the apparent and simultaneous success of the ST258 and ST496 clones remain unclear. But the emergence of the ST496 clone will require monitoring given its multi-resistant genotype and threat to canine health.</w:t>
      </w:r>
    </w:p>
    <w:p>
      <w:pPr/>
      <w:r>
        <w:rPr>
          <w:b/>
        </w:rPr>
        <w:t>POSSIBLE 2017:</w:t>
      </w:r>
      <w:r>
        <w:t xml:space="preserve"> New insights into the burden and costs of multiple sclerosis in Europe — https://doi.org/10.1177/1352458517694432</w:t>
      </w:r>
    </w:p>
    <w:p>
      <w:pPr/>
      <w:r>
        <w:rPr>
          <w:b/>
        </w:rPr>
        <w:t>Shared claim-specific concepts:</w:t>
      </w:r>
      <w:r>
        <w:t xml:space="preserve"> multiple, population, countries; EU scope visible. This is a provisional connection, not an outcome finding.</w:t>
      </w:r>
    </w:p>
    <w:p>
      <w:pPr>
        <w:pStyle w:val="SourceNote"/>
      </w:pPr>
      <w:r>
        <w:rPr>
          <w:b/>
        </w:rPr>
        <w:t>Available abstract (not full text):</w:t>
      </w:r>
      <w:r>
        <w:t xml:space="preserve"> BACKGROUND: The current focus in multiple sclerosis (MS) is on early diagnosis and drug intervention, with a view to modifying disease progression. Consequently, healthcare costs have shifted from inpatient care and rehabilitation to outpatient care. OBJECTIVES: This European burden of illness study provides data that can be combined with other evidence to assess whether management approaches provide value to society. METHODS: A cross-sectional study was conducted in 16 countries. Patients reported on their disease, health-related quality of life (HRQoL) and resource consumption. Descriptive analyses were performed by disease severity. Costs are reported from a societal perspective in 2015€ PPP (adjusted for purchasing power parity). RESULTS: The 16,808 participants had a mean age of 51.5 years, and 52% had relapsing-remitting multiple sclerosis (RRMS). Work capacity declined from 82% to 8%, and utility declined from normal population values to less than zero with advancing disease. Mean costs were 22,800€ PPP in mild, 37,100€ PPP in moderate and 57,500€ PPP in severe disease; healthcare accounted for 68%, 47% and 26%, respectively. Fatigue and cognitive difficulties were reported by 95% and 71% of participants, respectively; both had a significant independent effect on utility. CONCLUSION: Costs and utility were highly correlated with disease severity, but resource consumption</w:t>
      </w:r>
    </w:p>
    <w:p>
      <w:pPr/>
      <w:r>
        <w:rPr>
          <w:b/>
        </w:rPr>
        <w:t>POSSIBLE 2016:</w:t>
      </w:r>
      <w:r>
        <w:t xml:space="preserve"> Raising European citizens: Constructing European identities in French and English textbooks — https://doi.org/10.5964/jspp.v4i1.350</w:t>
      </w:r>
    </w:p>
    <w:p>
      <w:pPr/>
      <w:r>
        <w:rPr>
          <w:b/>
        </w:rPr>
        <w:t>Shared claim-specific concepts:</w:t>
      </w:r>
      <w:r>
        <w:t xml:space="preserve"> national, representations, two, countries; EU scope visible. This is a provisional connection, not an outcome finding.</w:t>
      </w:r>
    </w:p>
    <w:p>
      <w:pPr>
        <w:pStyle w:val="SourceNote"/>
      </w:pPr>
      <w:r>
        <w:rPr>
          <w:b/>
        </w:rPr>
        <w:t>Available abstract (not full text):</w:t>
      </w:r>
      <w:r>
        <w:t xml:space="preserve"> Schools play a pivotal role in the formation of identities and in the political socialization of youth. This study explores the social representations of European integration in French and English school textbooks and shows how the social representations are discursively used to construct national and European identities. By analysing the history and civics textbooks of major educational publishers, this study aims to demonstrate how European integration is understood, made familiar and concretized in the school textbooks of the two influential but different European countries. The findings suggest some shared and some diverse patterns in the way the two European countries portray and construct the political project of European integration. These representations, constructed around French Europe in French textbooks and ambivalent Europe in English textbooks, share the images of a strong European economy and a French-led political Europe. However, they position themselves differently with respect to the United States, motivation for the European unification process and the significance of common values and heritage. In both countries textbooks draw upon memories that are important for group identity. While the French textbooks make European integration meaningful in reference to a shared post-war collective memory and to a cultural memory based on a more ancient idea of Europe, </w:t>
      </w:r>
    </w:p>
    <w:p>
      <w:pPr/>
      <w:r>
        <w:rPr>
          <w:b/>
        </w:rPr>
        <w:t>POSSIBLE 2016:</w:t>
      </w:r>
      <w:r>
        <w:t xml:space="preserve"> Geographical Heterogeneity of Multiple Sclerosis Prevalence in France — https://doi.org/10.1371/journal.pone.0167556</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INTRODUCTION: Geographical variation in the prevalence of multiple sclerosis (MS) is controversial. Heterogeneity is important to acknowledge to adapt the provision of care within the healthcare system. We aimed to investigate differences in prevalence of MS in departments in the French territory. METHODS: We estimated MS prevalence on October 31, 2004 in 21 administrative departments in France (22% of the metropolitan departments) by using multiple data sources: the main French health insurance systems, neurologist networks devoted to MS and the Technical Information Agency of Hospitalization. We used a spatial Bayesian approach based on estimating the number of MS cases from 2005 and 2008 capture-recapture studies to analyze differences in prevalence. RESULTS: The age- and sex-standardized prevalence of MS per 100,000 inhabitants ranged from 68.1 (95% credible interval 54.6, 84.4) in Hautes-Pyrénées (southwest France) to 296.5 (258.8, 338.9) in Moselle (northeast France). The greatest prevalence was in the northeast departments, and the other departments showed great variability. DISCUSSION: By combining multiple data sources into a spatial Bayesian model, we found heterogeneity in MS prevalence among the 21 departments of France, some with higher prevalence than anticipated from previous publications. No clear explanation related to health insurance coverage and hospital fac</w:t>
      </w:r>
    </w:p>
    <w:p>
      <w:pPr/>
      <w:r>
        <w:rPr>
          <w:b/>
        </w:rPr>
        <w:t>POSSIBLE 2016:</w:t>
      </w:r>
      <w:r>
        <w:t xml:space="preserve"> Assisted reproductive technology in Europe, 2011: results generated from European registers by ESHRE — https://doi.org/10.1093/humrep/dev319</w:t>
      </w:r>
    </w:p>
    <w:p>
      <w:pPr/>
      <w:r>
        <w:rPr>
          <w:b/>
        </w:rPr>
        <w:t>Shared claim-specific concepts:</w:t>
      </w:r>
      <w:r>
        <w:t xml:space="preserve"> multiple, population, replacement, national, countries, ever; EU scope visible. This is a provisional connection, not an outcome finding.</w:t>
      </w:r>
    </w:p>
    <w:p>
      <w:pPr>
        <w:pStyle w:val="SourceNote"/>
      </w:pPr>
      <w:r>
        <w:rPr>
          <w:b/>
        </w:rPr>
        <w:t>Available abstract (not full text):</w:t>
      </w:r>
      <w:r>
        <w:t xml:space="preserve"> STUDY QUESTION: The 15th European IVF-monitoring (EIM) report presents the results of treatments involving assisted reproductive technology (ART) initiated in Europe during 2011: are there any changes in the trends compared with previous years? SUMMARY ANSWER: Despite some fluctuations in the number of countries reporting data, while the overall number of ART cycles has continued to increase year by year, the pregnancy rates in 2011 decreased slightly to those reported in 2010, and the number of transfers with multiple embryos (3+) and the multiple delivery rates declined. WHAT IS KNOWN ALREADY: Since 1997, ART data in Europe have been collected and reported in 14 manuscripts, published in Human Reproduction. STUDY DESIGN, SIZE, DURATION: Retrospective data collection of European ART data by the EIM Consortium for the European Society of Human Reproduction and Embryology (ESHRE); cycles started between 1 January and 31 December 2011 are collected on a yearly basis. The data are collected by National Registers, when existing, or on a voluntary basis by personal information. PARTICIPANTS/MATERIALS SETTING, METHODS: From 33 countries (+2 compared with 2010), 1064 clinics reported 609 973 treatment cycles including: IVF 138 592, ICSI 298 918, frozen embryo replacement (FER) 129 693, egg donation (ED) 30 198, in vitro maturation 511, preimplantation genetic diagnosis/screening 6824 </w:t>
      </w:r>
    </w:p>
    <w:p>
      <w:pPr>
        <w:pStyle w:val="Heading2"/>
      </w:pPr>
      <w:r>
        <w:t>834.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2023:</w:t>
      </w:r>
      <w:r>
        <w:t xml:space="preserve"> RETRACTED: Assessment of Building Materials in the European Residential Building Stock: An Analysis at EU27 Level — https://doi.org/10.3390/su15118840</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Reducing greenhouse gas (GHG) emissions and energy consumption in the building sector requires not only improving the energy efficiency of buildings but also minimising material requirements, embodied emissions, and waste generation. Circular Economy (CE) principles can be applied to minimize resource extraction and waste generation in the building industry. However, to implement effective CE strategies, quantification and evaluation of materials accumulated in buildings are required. This study aims to provide accurate data and a detailed analysis of the materials available in the EU27 residential building sector. By elaborating the data provided by the H2020 European projects Hotmaps and AmBIENCe, the different materials used for floors, roofs, walls, windows, and insulation layers in single-family houses, multifamily houses, and apartment blocks in the different construction periods were quantified for each EU27 country. Considering results at the EU27 level, concrete and brick characterize the largest part of the European residential building stock, whereas materials such as wood and different types of rock are used in much more limited amounts. These results form the basis for policymakers to monitor the status of the residential building sector, evaluate the potential of CE policies at a national level, and assess the environmental impact of building practices through lif</w:t>
      </w:r>
    </w:p>
    <w:p>
      <w:pPr/>
      <w:r>
        <w:rPr>
          <w:b/>
        </w:rPr>
        <w:t>POSSIBLE 2023:</w:t>
      </w:r>
      <w:r>
        <w:t xml:space="preserve"> Supplementary material to "The consolidated European synthesis of CO2 emissions and removals for EU27 and UK: 1990–2020" — https://doi.org/10.5194/essd-2022-412-supplement</w:t>
      </w:r>
    </w:p>
    <w:p>
      <w:pPr/>
      <w:r>
        <w:rPr>
          <w:b/>
        </w:rPr>
        <w:t>Shared claim-specific concepts:</w:t>
      </w:r>
      <w:r>
        <w:t xml:space="preserve"> eu27, products, land, increased; EU scope visible. This is a provisional connection, not an outcome finding.</w:t>
      </w:r>
    </w:p>
    <w:p>
      <w:pPr>
        <w:pStyle w:val="SourceNote"/>
      </w:pPr>
      <w:r>
        <w:rPr>
          <w:b/>
        </w:rPr>
        <w:t>Available abstract (not full text):</w:t>
      </w:r>
      <w:r>
        <w:t xml:space="preserve"> Quantification of land surface-atmosphere fluxes of carbon dioxide (CO2) fluxes and their trends and uncertainties is essential for monitoring progress of the EU27+UK bloc as it strives to meet ambitious targets determined by both international agreements and internal regulation.This study provides a consolidated synthesis of fossil sources (CO2 fossil) and natural sources and sinks over land (CO2 land) using bottom-up (BU) and top-down (TD) approaches for the European Union and United Kingdom (EU27+UK), updating earlier syntheses (Petrescu et al., 2020(Petrescu et al., , 2021b)).Given the wide scope of the work and the variety of approaches involved, this study aims to answer essential questions identified in the previous syntheses and understand the differences between datasets, particularly for poorly characterized fluxes from managed ecosystems.The work integrates updated emission inventory data, process-based model results, data-driven sectoral model results, and inverse modeling estimates, extending the previous period 1990-2018 to the year 2020 to the extent possible.BU and TD products are compared with European National Greenhouse Gas Inventories (NGHGIs) reported by Parties including the year 2019 under the United Nations Framework Convention on Climate Change (UNFCCC).The uncertainties of the EU27+UK NGHGI were evaluated using the standard deviation reported by the EU</w:t>
      </w:r>
    </w:p>
    <w:p>
      <w:pPr/>
      <w:r>
        <w:rPr>
          <w:b/>
        </w:rPr>
        <w:t>POSSIBLE 2022:</w:t>
      </w:r>
      <w:r>
        <w:t xml:space="preserve"> EU27&amp;UK gas supply-storage-consumption and potential solutions to fill Russian gap with daily resolutions — https://doi.org/10.5281/zenodo.6833533</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Russia was the primary natural gas supplier to the EU before the 2022 invasion of Ukraine. The substantial reduction in Russian gas supplies to many EU countries precipitated a severe energy crisis across the EU27&amp;UK, leading to significant alterations in their natural gas supply, transmission, and consumption dynamics. To analyze these shifts, we updated our natural gas supply dataset, EUGasSC (originally described in version 1.0), incorporating daily country- and sector-specific supply sources. In version 2.0 of the dataset, we introduce EUGasNet, a newly constructed dataset detailing daily intra-EU natural gas transmission with specific supply sources, utilizing data from ENTSOG (European Network of Transmission System Operators for Gas) alongside EUGasSC data. Furthermore, we developed EUGasImpact, a daily dataset capturing sector-specific drivers of consumption changes based on change attribution models employing multiple open datasets. The EUGasSC and EUGasNet dataset was developed with a gas network flow simulation based on flow mass balance by combining data from multiple datasets including ENTSO-G, ENTSO-E, and Eurostat energy balance (annual and monthly). The EUGasSC dataset was validated with BP Statistical Review of World Energy and multiple Eurostat datasets. The EUGasSC shows the share of gas supplied by Russia in each country to analyze the ‘gap’ that would resul</w:t>
      </w:r>
    </w:p>
    <w:p>
      <w:pPr/>
      <w:r>
        <w:rPr>
          <w:b/>
        </w:rPr>
        <w:t>POSSIBLE 2022:</w:t>
      </w:r>
      <w:r>
        <w:t xml:space="preserve"> The role of NOx emission reductions in Euro 7/VII vehicle emission standards to reduce adverse health impacts in the EU27 through 2050 — https://doi.org/10.1016/j.treng.2022.100133</w:t>
      </w:r>
    </w:p>
    <w:p>
      <w:pPr/>
      <w:r>
        <w:rPr>
          <w:b/>
        </w:rPr>
        <w:t>Shared claim-specific concepts:</w:t>
      </w:r>
      <w:r>
        <w:t xml:space="preserve"> eu27, pollution, health, million, increased; EU scope visible. This is a provisional connection, not an outcome finding.</w:t>
      </w:r>
    </w:p>
    <w:p>
      <w:pPr>
        <w:pStyle w:val="SourceNote"/>
      </w:pPr>
      <w:r>
        <w:rPr>
          <w:b/>
        </w:rPr>
        <w:t>Available abstract (not full text):</w:t>
      </w:r>
      <w:r>
        <w:t xml:space="preserve"> Air pollution is the single greatest environmental health hazard in Europe, responsible for over 300,000 premature deaths in the EU27 in 2019. Transport is a significant contributor toward the emission of air pollutants which reduce life expectancy through increased likelihood of morbidity-associated diseases. The introduction of the Euro vehicle emission standards has been successful in driving down the overall level of transport related air pollutants. However, the current regulatory limits have not been updated in nearly a decade. Furthermore, deviations are still evident between the type-approval standards and real-world emissions recorded through remote sensing. Based on the technology potential of current emission control systems, a feasible reduction in new vehicle emissions of nitrogen oxides (NOx) of up to 80% applicable to light- and heavy-duty vehicles that could be realized through the upcoming revision of the Euro standards is modelled. A multi-model approach is employed, combining a stock simulation model and a health impact model which applies the latest methodology of the Global Burden of Disease to quantify the cumulative emissions reduction and corresponding health impacts in the EU27 through 2050. Mandating such a NOx reduction for new vehicles from 2027 would result in a 93-98% reduction in annual NOx emissions from transport by 2050, and reduce cumulative e</w:t>
      </w:r>
    </w:p>
    <w:p>
      <w:pPr/>
      <w:r>
        <w:rPr>
          <w:b/>
        </w:rPr>
        <w:t>POSSIBLE 2021:</w:t>
      </w:r>
      <w:r>
        <w:t xml:space="preserve"> Fertility rates by metropolitan and non-metropolitan regions, EU27 — https://doi.org/10.1787/3dbbd509-en</w:t>
      </w:r>
    </w:p>
    <w:p>
      <w:pPr/>
      <w:r>
        <w:rPr>
          <w:b/>
        </w:rPr>
        <w:t>Shared claim-specific concepts:</w:t>
      </w:r>
      <w:r>
        <w:t xml:space="preserve"> eu27, health, changing; EU scope visible. This is a provisional connection, not an outcome finding.</w:t>
      </w:r>
    </w:p>
    <w:p>
      <w:pPr>
        <w:pStyle w:val="SourceNote"/>
      </w:pPr>
      <w:r>
        <w:rPr>
          <w:b/>
        </w:rPr>
        <w:t>Available abstract (not full text):</w:t>
      </w:r>
      <w:r>
        <w:t xml:space="preserve"> We are delighted to introduce the joint study "Access and Cost of Education and Health Services", conducted by the OECD and the European Commission's Joint Research Centre.The estimates of the cost and access to education and health services in this report are the first of their kind and an essential evidence base to develop better policies in this area.This analysis can help policy makers identify at a very granular level present and future service supply shortages and respond accordingly.By illustrating the trade-offs between efficiency and equity faced by every community, the report can also support decision making at both the regional and local levels.Education and health are the two social services in which national and subnational governments typically spend the most resources to ensure provisions keep pace with widespread and changing demand.As the COVID-19 pandemic has demonstrated, without adequate access to services, vulnerable citizens are more exposed to exclusions.For this reason, it is essential for policy responses to ensure an effective, fair and just recovery across European and OECD countries to shape a sustainable future for all citizens, regardless of where they live and work.Particularly, governments are facing growing challenges in providing schooling and health services in regions and localities that are sparsely populated, scattered and difficult to acce</w:t>
      </w:r>
    </w:p>
    <w:p>
      <w:pPr/>
      <w:r>
        <w:rPr>
          <w:b/>
        </w:rPr>
        <w:t>POSSIBLE 2018:</w:t>
      </w:r>
      <w:r>
        <w:t xml:space="preserve"> Reducing external costs of nitrogen pollution by relocation of pig production between regions in the European Union — https://doi.org/10.1007/s10113-018-1335-5</w:t>
      </w:r>
    </w:p>
    <w:p>
      <w:pPr/>
      <w:r>
        <w:rPr>
          <w:b/>
        </w:rPr>
        <w:t>Shared claim-specific concepts:</w:t>
      </w:r>
      <w:r>
        <w:t xml:space="preserve"> eu27, reducing, production, pollution, health, million; EU scope visible. This is a provisional connection, not an outcome finding.</w:t>
      </w:r>
    </w:p>
    <w:p>
      <w:pPr>
        <w:pStyle w:val="SourceNote"/>
      </w:pPr>
      <w:r>
        <w:rPr>
          <w:b/>
        </w:rPr>
        <w:t>Available abstract (not full text):</w:t>
      </w:r>
      <w:r>
        <w:t xml:space="preserve"> Abstract This paper tests the hypothesis that relocation of pig production within the EU27 can reduce the external costs of nitrogen (N) pollution. The external cost of pollution by ammonia and nitrate from agriculture in the European Union (EU27) in 2008 was estimated at 61–215 billion € (0.5 to 1.8% of the GDP). Per capita it ranged from more than 1000 € in north-west EU27 to 50 € in Romania. The average contribution of pig production was 15%. Using provincial data (224 NUTS2 regions in EU27), the potential reduction of external N cost by relocation of pig production was estimated at 14 billion € (10% of the total). Regions most eligible for decreasing the pig stock were in western Germany, Flemish region, Denmark, the Netherlands and Bretagne, while Romania is most eligible for increasing pig production. Relocating 20 million pigs (13% of the total EU stock) decreased average external costs per capita from 900 to 785 € in the 13 NUTS2 regions where pigs were removed and increased from 69 to 107 € in 11 regions receiving pigs. A second alternative configuration of pig production was targeted at reducing exceedance of critical N deposition and closing regional nutrient cycles. This configuration relocates pigs within Germany and France, for example from Bretagne to Northern France and from Weser-Ems to Oberbayern. However, total external cost increases due to an increase of he</w:t>
      </w:r>
    </w:p>
    <w:p>
      <w:pPr/>
      <w:r>
        <w:rPr>
          <w:b/>
        </w:rPr>
        <w:t>POSSIBLE 2016:</w:t>
      </w:r>
      <w:r>
        <w:t xml:space="preserve"> Virtual Water Flows in the EU27: A Consumption‐based Approach — https://doi.org/10.1111/jiec.12454</w:t>
      </w:r>
    </w:p>
    <w:p>
      <w:pPr/>
      <w:r>
        <w:rPr>
          <w:b/>
        </w:rPr>
        <w:t>Shared claim-specific concepts:</w:t>
      </w:r>
      <w:r>
        <w:t xml:space="preserve"> eu27, consumption, products, become, food, changing; EU scope visible. This is a provisional connection, not an outcome finding.</w:t>
      </w:r>
    </w:p>
    <w:p>
      <w:pPr>
        <w:pStyle w:val="SourceNote"/>
      </w:pPr>
      <w:r>
        <w:rPr>
          <w:b/>
        </w:rPr>
        <w:t>Available abstract (not full text):</w:t>
      </w:r>
      <w:r>
        <w:t xml:space="preserve"> Summary The use of water resources has traditionally been studied by accounting for the volume of water removed from sources for specific uses. This approach focuses on surface and groundwater only and it ignores that international trade of products with substantial amounts of embodied water can have an impact on domestic water resources. Using current economic and environmental data, we conduct a consumption‐based assessment of virtual water flows in the European Union (EU27). We find that the total water footprint (WF) of 2,280 cubic meters (m 3 ) per capita for the EU27 mostly consists of green water use (precipitation stored as soil moisture), which is omitted in the conventional water accounting. Blue water (surface and groundwater.) and gray water use (the volume of freshwater needed to dilute pollutants to meet the applicable water quality standards), which are targeted by current EU water policies, only make up 32% of the total WF. We also find that Europeans imported 585 cubic kilometers (km 3 ) (10 9 m 3 ) of virtual water, or around 28% of global virtual water trade flows, in 2009. Within Europe, Germany is a key net importer of water through the trade of products in agriculture, the food industry, the chemical sector, and electricity generation. Countries in Southern and Eastern Europe have specialized in water‐intensive agriculture and are key exporters of virtual </w:t>
      </w:r>
    </w:p>
    <w:p>
      <w:pPr>
        <w:pStyle w:val="Heading2"/>
      </w:pPr>
      <w:r>
        <w:t>835.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r>
        <w:rPr>
          <w:b/>
        </w:rPr>
        <w:t>POSSIBLE 2021:</w:t>
      </w:r>
      <w:r>
        <w:t xml:space="preserve"> Climate and Society in Europe The Last Thousand Years — https://doi.org/10.2445/9783258482347</w:t>
      </w:r>
    </w:p>
    <w:p>
      <w:pPr/>
      <w:r>
        <w:rPr>
          <w:b/>
        </w:rPr>
        <w:t>Shared claim-specific concepts:</w:t>
      </w:r>
      <w:r>
        <w:t xml:space="preserve"> here, climate, data, two, leading, based; EU scope visible. This is a provisional connection, not an outcome finding.</w:t>
      </w:r>
    </w:p>
    <w:p>
      <w:pPr>
        <w:pStyle w:val="SourceNote"/>
      </w:pPr>
      <w:r>
        <w:rPr>
          <w:b/>
        </w:rPr>
        <w:t>Available abstract (not full text):</w:t>
      </w:r>
      <w:r>
        <w:t xml:space="preserve"> A richly illustrated book on the history of climate change in Europe. Two perspectives, one unique book: two leading experts, a historian and a climatologist, co-author a new standard work on climate history. An overview of the connection between climatic and social developments over the last 1000 years. For the first time, a historian and a climatologist with knowledge of climate history have worked closely together to create a unique book, combining climate reconstructions based on documented data in their human-historical context with temporally highly resolved analyses of climate and glaciers. "Here we can clearly see how changes in climate affected the environment and people of Europe over many centuries, with important lessons for the future. A wonderfully engaging and well-documented account by two of Europe's leading climate scientists." Prof. Dr.</w:t>
      </w:r>
    </w:p>
    <w:p>
      <w:pPr/>
      <w:r>
        <w:rPr>
          <w:b/>
        </w:rPr>
        <w:t>POSSIBLE 2020:</w:t>
      </w:r>
      <w:r>
        <w:t xml:space="preserve"> Climate and society in European history — https://doi.org/10.1002/wcc.691</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This article evaluates 165 studies from various disciplines, published between 2000 and 2019, which in different ways link past climate variability and change to human history in medieval and early modern Europe (here, c . 700–1815 CE). Within this review, we focus on the identification and interpretation of causal links between changes in climate and in human societies. A revised climate–society impact order model of historical climate–society interactions is presented and applied to structure the findings of the past 20 years' scholarship. Despite considerable progress in research about past climate–society relations, partly expedited by new palaeoclimate data, we identify limitations to knowledge, including geographical biases, a disproportional attention to extremely cold periods, and a focus on crises. Furthermore, recent scholarship shows that the limitations with particular disciplinary approaches can be successfully overcome through interdisciplinary collaborations. We conclude the article by proposing recommendations for future directions of research in the climatic change–human history nexus. This article is categorized under: Climate, History, Society, Culture &gt; Ideas and Knowledge</w:t>
      </w:r>
    </w:p>
    <w:p>
      <w:pPr/>
      <w:r>
        <w:rPr>
          <w:b/>
        </w:rPr>
        <w:t>POSSIBLE 2019:</w:t>
      </w:r>
      <w:r>
        <w:t xml:space="preserve"> Climate change, reforestation/afforestation, and urbanization impacts on evapotranspiration and streamflow in Europe — https://doi.org/10.5194/hess-23-3631-2019</w:t>
      </w:r>
    </w:p>
    <w:p>
      <w:pPr/>
      <w:r>
        <w:rPr>
          <w:b/>
        </w:rPr>
        <w:t>Shared claim-specific concepts:</w:t>
      </w:r>
      <w:r>
        <w:t xml:space="preserve"> here, climate, leading; EU scope visible. This is a provisional connection, not an outcome finding.</w:t>
      </w:r>
    </w:p>
    <w:p>
      <w:pPr>
        <w:pStyle w:val="SourceNote"/>
      </w:pPr>
      <w:r>
        <w:rPr>
          <w:b/>
        </w:rPr>
        <w:t>Available abstract (not full text):</w:t>
      </w:r>
      <w:r>
        <w:t xml:space="preserve"> Abstract. Since the 1950s, Europe has seen large shifts in climate and land cover. Previous assessments of past and future changes in evapotranspiration or streamflow have either focussed on land use/cover or climate contributions, or have focussed on individual catchments under specific climate conditions. Here, we aim to understand how decadal changes in climate (e.g., precipitation, temperature) and land use (e.g., de-/afforestation, urbanization) have impacted the amount and distribution of water resources availability across Europe since the 1950s. To this end, we simulate the distribution of green and blue water fluxes at high-resolution (1 × 1 km) by combining (a) a steady-state Budyko model for water balance partitioning constrained by long-term (lysimeter) observations across different land-use types, (b) a novel decadal high-resolution historical land use reconstruction, and (c) gridded observations of key meteorological variables. The continental-scale patterns in the simulations agree well with coarser-scale observation-based estimates of evapotranspiration, and also with observed changes in streamflow from small basins across Europe. We find that strong shifts in the continental-scale patterns of evapotranspiration and streamflow have occured from 1950 to 2010. In Sweden, for example, increased precipitation dominates effects of large scale re- and afforestation le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Quantifying uncertainty in European climate projections using combined performance-independence weighting — https://doi.org/10.1088/1748-9326/ab492f</w:t>
      </w:r>
    </w:p>
    <w:p>
      <w:pPr/>
      <w:r>
        <w:rPr>
          <w:b/>
        </w:rPr>
        <w:t>Shared claim-specific concepts:</w:t>
      </w:r>
      <w:r>
        <w:t xml:space="preserve"> here, climate, two, emission, based; EU scope visible. This is a provisional connection, not an outcome finding.</w:t>
      </w:r>
    </w:p>
    <w:p>
      <w:pPr>
        <w:pStyle w:val="SourceNote"/>
      </w:pPr>
      <w:r>
        <w:rPr>
          <w:b/>
        </w:rPr>
        <w:t>Available abstract (not full text):</w:t>
      </w:r>
      <w:r>
        <w:t xml:space="preserve"> Abstract Uncertainty in model projections of future climate change arises due to internal variability, multiple possible emission scenarios, and different model responses to anthropogenic forcing. To robustly quantify uncertainty in multi-model ensembles, inter-dependencies between models as well as a models ability to reproduce observations should be considered. Here, a model weighting approach, which accounts for both independence and performance, is applied to European temperature and precipitation projections from the CMIP5 archive. Two future periods representing mid- and end-of-century conditions driven by the high-emission scenario RCP8.5 are investigated. To inform the weighting, six diagnostics based on three observational estimates are used to also account for uncertainty in the observational record. Our findings show that weighting the ensemble can reduce the interquartile spread by more than 20% in some regions, increasing the reliability of projected changes. The mean temperature change is most notably impacted by the weighting in the Mediterranean, where it is found to be 0.35 °C higher than the unweighted mean in the end-of-century period. For precipitation the largest differences are found for Northern Europe, with a relative decrease in precipitation of 2.4% and 3.4% for the two future periods compared to the unweighted case. Based on a perfect model test, it i</w:t>
      </w:r>
    </w:p>
    <w:p>
      <w:pPr/>
      <w:r>
        <w:rPr>
          <w:b/>
        </w:rPr>
        <w:t>POSSIBLE 2019:</w:t>
      </w:r>
      <w:r>
        <w:t xml:space="preserve"> Distribution trends of European dragonflies under climate change — https://doi.org/10.1111/ddi.12913</w:t>
      </w:r>
    </w:p>
    <w:p>
      <w:pPr/>
      <w:r>
        <w:rPr>
          <w:b/>
        </w:rPr>
        <w:t>Shared claim-specific concepts:</w:t>
      </w:r>
      <w:r>
        <w:t xml:space="preserve"> combine, climate, predicted, data, species;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2018:</w:t>
      </w:r>
      <w:r>
        <w:t xml:space="preserve"> Enhanced climate instability in the North Atlantic and southern Europe during the Last Interglacial — https://doi.org/10.1038/s41467-018-06683-3</w:t>
      </w:r>
    </w:p>
    <w:p>
      <w:pPr/>
      <w:r>
        <w:rPr>
          <w:b/>
        </w:rPr>
        <w:t>Shared claim-specific concepts:</w:t>
      </w:r>
      <w:r>
        <w:t xml:space="preserve"> here, combine, climate, indicate; EU scope visible. This is a provisional connection, not an outcome finding.</w:t>
      </w:r>
    </w:p>
    <w:p>
      <w:pPr>
        <w:pStyle w:val="SourceNote"/>
      </w:pPr>
      <w:r>
        <w:rPr>
          <w:b/>
        </w:rPr>
        <w:t>Available abstract (not full text):</w:t>
      </w:r>
      <w:r>
        <w:t xml:space="preserve"> Considerable ambiguity remains over the extent and nature of millennial/centennial-scale climate instability during the Last Interglacial (LIG). Here we analyse marine and terrestrial proxies from a deep-sea sediment sequence on the Portuguese Margin and combine results with an intensively dated Italian speleothem record and climate-model experiments. The strongest expression of climate variability occurred during the transitions into and out of the LIG. Our records also document a series of multi-centennial intra-interglacial arid events in southern Europe, coherent with cold water-mass expansions in the North Atlantic. The spatial and temporal fingerprints of these changes indicate a reorganization of ocean surface circulation, consistent with low-intensity disruptions of the Atlantic meridional overturning circulation (AMOC). The amplitude of this LIG variability is greater than that observed in Holocene records. Episodic Greenland ice melt and runoff as a result of excess warmth may have contributed to AMOC weakening and increased climate instability throughout the LIG.</w:t>
      </w:r>
    </w:p>
    <w:p>
      <w:pPr/>
      <w:r>
        <w:rPr>
          <w:b/>
        </w:rPr>
        <w:t>POSSIBLE 2018:</w:t>
      </w:r>
      <w:r>
        <w:t xml:space="preserve"> Decline in climate resilience of European wheat — https://doi.org/10.1073/pnas.1804387115</w:t>
      </w:r>
    </w:p>
    <w:p>
      <w:pPr/>
      <w:r>
        <w:rPr>
          <w:b/>
        </w:rPr>
        <w:t>Shared claim-specific concepts:</w:t>
      </w:r>
      <w:r>
        <w:t xml:space="preserve"> here, climate, breeding, based; EU scope visible. This is a provisional connection, not an outcome finding.</w:t>
      </w:r>
    </w:p>
    <w:p>
      <w:pPr>
        <w:pStyle w:val="SourceNote"/>
      </w:pPr>
      <w:r>
        <w:rPr>
          <w:b/>
        </w:rPr>
        <w:t>Available abstract (not full text):</w:t>
      </w:r>
      <w:r>
        <w:t xml:space="preserve"> Food security relies on the resilience of staple food crops to climatic variability and extremes, but the climate resilience of European wheat is unknown. A diversity of responses to disturbance is considered a key determinant of resilience. The capacity of a sole crop genotype to perform well under climatic variability is limited; therefore, a set of cultivars with diverse responses to weather conditions critical to crop yield is required. Here, we show a decline in the response diversity of wheat in farmers' fields in most European countries after 2002-2009 based on 101,000 cultivar yield observations. Similar responses to weather were identified in cultivar trials among central European countries and southern European countries. A response diversity hotspot appeared in the trials in Slovakia, while response diversity "deserts" were identified in Czechia and Germany and for durum wheat in southern Europe. Positive responses to abundant precipitation were lacking. This assessment suggests that current breeding programs and cultivar selection practices do not sufficiently prepare for climatic uncertainty and variability. Consequently, the demand for climate resilience of staple food crops such as wheat must be better articulated. Assessments and communication of response diversity enable collective learning across supply chains. Increased awareness could foster governance of re</w:t>
      </w:r>
    </w:p>
    <w:p>
      <w:pPr/>
      <w:r>
        <w:rPr>
          <w:b/>
        </w:rPr>
        <w:t>POSSIBLE 2018:</w:t>
      </w:r>
      <w:r>
        <w:t xml:space="preserve"> Climate Impacts from Afforestation and Deforestation in Europe — https://doi.org/10.1175/ei-d-17-0033.1</w:t>
      </w:r>
    </w:p>
    <w:p>
      <w:pPr/>
      <w:r>
        <w:rPr>
          <w:b/>
        </w:rPr>
        <w:t>Shared claim-specific concepts:</w:t>
      </w:r>
      <w:r>
        <w:t xml:space="preserve"> here, climate, two; EU scope visible. This is a provisional connection, not an outcome finding.</w:t>
      </w:r>
    </w:p>
    <w:p>
      <w:pPr>
        <w:pStyle w:val="SourceNote"/>
      </w:pPr>
      <w:r>
        <w:rPr>
          <w:b/>
        </w:rPr>
        <w:t>Available abstract (not full text):</w:t>
      </w:r>
      <w:r>
        <w:t xml:space="preserve"> Abstract Changes in vegetation are known to have an impact on climate via biogeophysical effects such as changes in albedo and heat fluxes. Here, the effects of maximum afforestation and deforestation are studied over Europe. This is done by comparing three regional climate model simulations—one with present-day vegetation, one with maximum afforestation, and one with maximum deforestation. In general, afforestation leads to more evapotranspiration (ET), which leads to decreased near-surface temperature, whereas deforestation leads to less ET, which leads to increased temperature. There are exceptions, mainly in regions with little water available for ET. In such regions, changes in albedo are relatively more important for temperature. The simulated biogeophysical effect on seasonal mean temperature varies between 0.5° and 3°C across Europe. The effect on minimum and maximum temperature is larger than that on mean temperature. Increased (decreased) mean temperature is associated with an even larger increase (decrease) in maximum summer (minimum winter) temperature. The effect on precipitation is found to be small. Two additional simulations in which vegetation is changed in only one-half of the domain were also performed. These simulations show that the climatic effects from changed vegetation in Europe are local. The results imply that vegetation changes have had, and will hav</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here, combine, climate;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r>
        <w:rPr>
          <w:b/>
        </w:rPr>
        <w:t>POSSIBLE 2017:</w:t>
      </w:r>
      <w:r>
        <w:t xml:space="preserve"> Combined Impacts of PDO and Two Types of La Niña on Climate Anomalies in Europe — https://doi.org/10.1175/jcli-d-16-0376.1</w:t>
      </w:r>
    </w:p>
    <w:p>
      <w:pPr/>
      <w:r>
        <w:rPr>
          <w:b/>
        </w:rPr>
        <w:t>Shared claim-specific concepts:</w:t>
      </w:r>
      <w:r>
        <w:t xml:space="preserve"> here, climate, two, indicate; EU scope visible. This is a provisional connection, not an outcome finding.</w:t>
      </w:r>
    </w:p>
    <w:p>
      <w:pPr>
        <w:pStyle w:val="SourceNote"/>
      </w:pPr>
      <w:r>
        <w:rPr>
          <w:b/>
        </w:rPr>
        <w:t>Available abstract (not full text):</w:t>
      </w:r>
      <w:r>
        <w:t xml:space="preserve"> Combined impacts of the Pacific decadal oscillation (PDO) and two types of La Niña on climate anomalies in Europe are studied. Particularly, the conjunction of the negative PDO phase and two different types of La Niña events favors strong and significant North Atlantic Oscillation (NAO) pattern anomalies with opposite polarity. For the central Pacific (CP) La Niña, a clear positive NAO signal can be detected, which is accompanied by positive surface air temperature (SAT) anomaly and a dipolar structure of precipitation anomalies in Europe. In addition, a typical negative Pacific–North America (PNA) teleconnection pattern forms, including a high pressure anomaly over the southeastern United States, which may contribute to the development and maintenance of the NAO anomaly by strengthening the baroclinicity and the local eddy–mean flow interaction. However, for the eastern Pacific (EP) La Niña, a zonal wave train in the high latitudes can be observed, which is quite different from the typical PNA structure. Here, an anomalous anticyclone over southern Greenland supports a negative NAO pattern through the local eddy–mean flow interaction and the associated vorticity advection. Hence, reversed SAT and precipitation anomalies occur over Europe. Further analyses indicate that the wave trains emanating from the North Pacific and the synoptic eddy–mean flow interaction play essential r</w:t>
      </w:r>
    </w:p>
    <w:p>
      <w:pPr>
        <w:pStyle w:val="Heading2"/>
      </w:pPr>
      <w:r>
        <w:t>836.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2021:</w:t>
      </w:r>
      <w:r>
        <w:t xml:space="preserve"> The state of innovative development and further steps towards the neo-economy of Ukraine in the first quarter of the XXI century — https://doi.org/10.33731/52020.233745</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Revutsky S. The state of innovative development and further steps towards the neo-economy of Ukraine in the first quarter of the XXI century. The article examines the state of innovative development in Ukraine in comparison with world leaders. Comparative analysis of goals, priorities and directions of development and modernization of public policy to achieve the level of neo-economy, which is formed under the influence of the new paradigm of scientific and technological development and technological revolution, which is now observed in many countries. From the above data we see that among the common shortcomings of our economic strategy and development program are: ambiguity and inconsistency of goals, mechanisms and objectives, sources of funding and general backwardness in approaches, which requires the use of European approaches to achieve the goal. Relying only on outdated methods of production and labor, the country loses competitiveness in the world market, lagging behind in technological development due to lack of innovation and research in the necessary areas, while the existing system is uncertain and has no financial or legal basis for efficient operation. When the whole world moves to new technological levels, raising its level to the fifth and sixth levels, our state, without a clear leadership and base, lags behind in innovation. That is why the article substantia</w:t>
      </w:r>
    </w:p>
    <w:p>
      <w:pPr/>
      <w:r>
        <w:rPr>
          <w:b/>
        </w:rPr>
        <w:t>POSSIBLE 2020:</w:t>
      </w:r>
      <w:r>
        <w:t xml:space="preserve"> Technological readiness in Europe — https://doi.org/10.4324/9780429057984-12</w:t>
      </w:r>
    </w:p>
    <w:p>
      <w:pPr/>
      <w:r>
        <w:rPr>
          <w:b/>
        </w:rPr>
        <w:t>Shared claim-specific concepts:</w:t>
      </w:r>
      <w:r>
        <w:t xml:space="preserve"> technological, industrial, issues; EU scope visible. This is a provisional connection, not an outcome finding.</w:t>
      </w:r>
    </w:p>
    <w:p>
      <w:pPr>
        <w:pStyle w:val="SourceNote"/>
      </w:pPr>
      <w:r>
        <w:rPr>
          <w:b/>
        </w:rPr>
        <w:t>Available abstract (not full text):</w:t>
      </w:r>
      <w:r>
        <w:t xml:space="preserve"> The technological and innovative developments promised by the next industrial revolution come with their corollaries of optimistic and pessimistic scenarios for our societies. Public policy is tackling digital transition issues; meanwhile, it is already acting on and anticipating the challenges and opportunities, and the risks and uncertainties, of the emerging Industry 4.0 paradigm. The qualitative analysis mainly relies upon official European Commission communications and European Union (EU) reports as well as thematic national and regional strategies. It brings together an updated and structured picture of some of the rationales and directions of I4.0-enabling policies in the EU. The initial efforts to develop key enabling technologies and advanced manufacturing as engines of the EU’s growth trajectory led to the identification of priority action lines for the EU’s industrial policy and investments into new technologies. The priority areas underlined in the previous communications also constituted important building blocks of the EU Regional and Cohesion Policy for the period 2014–2020.</w:t>
      </w:r>
    </w:p>
    <w:p>
      <w:pPr/>
      <w:r>
        <w:rPr>
          <w:b/>
        </w:rPr>
        <w:t>POSSIBLE 2020:</w:t>
      </w:r>
      <w:r>
        <w:t xml:space="preserve"> The sustainability transition in Europe in an age of demographic and technological change — https://doi.org/10.2800/571570</w:t>
      </w:r>
    </w:p>
    <w:p>
      <w:pPr/>
      <w:r>
        <w:rPr>
          <w:b/>
        </w:rPr>
        <w:t>Shared claim-specific concepts:</w:t>
      </w:r>
      <w:r>
        <w:t xml:space="preserve"> technological, industrial, economy; EU scope visible. This is a provisional connection, not an outcome finding.</w:t>
      </w:r>
    </w:p>
    <w:p>
      <w:pPr>
        <w:pStyle w:val="SourceNote"/>
      </w:pPr>
      <w:r>
        <w:rPr>
          <w:b/>
        </w:rPr>
        <w:t>Available abstract (not full text):</w:t>
      </w:r>
      <w:r>
        <w:t xml:space="preserve"> EU policy clearly recognises that achieving long-term sustainability will require fundamental transformation of the core socio-economic systems such as the food, energy and mobility systems. This understanding forms a key pillar of the new European Green Deal, as well as the growing body of complementary goals, strategies and tools, including the Energy Union, the New Industrial Strategy for Europe, the just transition mechanism and the proposal for a European Climate Law. In their different ways, these instruments all aim to enable society to meet its material and socio-economic needs while protecting and enhancing the environment in Europe and globally. Achieving this balance, as detailed in the European Environment Agency's recent five-yearly assessment, SOER 2020, represents a major governance challenge, characterised by widespread lock-ins, feedback loops, trade-offs and uncertainties. Achieving the sustainability transition will require that all areas and levels of government work together to enable the emergence and diffusion of new ways of living and working. Fiscal and financial policy tools have a critical role to play in each phase — from enabling experimentation and innovation, and correcting market incentives, to ensuring a fair sharing of the costs and benefits across society. Yet Europe's financial and fiscal systems themselves face significant disruption and cha</w:t>
      </w:r>
    </w:p>
    <w:p>
      <w:pPr/>
      <w:r>
        <w:rPr>
          <w:b/>
        </w:rPr>
        <w:t>POSSIBLE 2018:</w:t>
      </w:r>
      <w:r>
        <w:t xml:space="preserve"> European Federation of Societies for Ultrasound in Medicine and Biology (EFSUMB) Policy Document Development Strategy – Clinical Practice Guidelines, Position Statements and Technological Reviews — https://doi.org/10.1055/a-0770-3965</w:t>
      </w:r>
    </w:p>
    <w:p>
      <w:pPr/>
      <w:r>
        <w:rPr>
          <w:b/>
        </w:rPr>
        <w:t>Shared claim-specific concepts:</w:t>
      </w:r>
      <w:r>
        <w:t xml:space="preserve"> steps, further, technological, issues; EU scope visible. This is a provisional connection, not an outcome finding.</w:t>
      </w:r>
    </w:p>
    <w:p>
      <w:pPr>
        <w:pStyle w:val="SourceNote"/>
      </w:pPr>
      <w:r>
        <w:rPr>
          <w:b/>
        </w:rPr>
        <w:t>Available abstract (not full text):</w:t>
      </w:r>
      <w:r>
        <w:t xml:space="preserve"> This document summarizes principles and methodology to guide the creation of Clinical Practice Guidelines, Position Statements und Technological Reviews of the European Federation of Societies for Ultrasound in Medicine and Biology (EFSUMB). The purpose of EFSUMB Clinical Practice Guidelines is to provide physicians and sonographers performing or requesting diagnostic and interventional ultrasound examinations with evidence-based recommendations. Position Statements summarize EFSUMB opinions on important current issues in clinical applications, education and training of ultrasound techniques or health care policy related to ultrasound-based imaging and ultrasound-guided interventions. The third type of EFSUMB policy document is the Technological Review, which describes ultrasound techniques and technologies for physicians, medical technicians, engineers and physicists developing ultrasound technology. The whole process of development of EFSUMB policy documents is explained beginning with the decision regarding topics, selection of authors, funding, and planning of the developmental process. Further steps described in this document are the review of the evidence, creation of recommendations, statements and comments, grading of level of evidence and strength of recommendations, and consensus process. Finally, rules for the creation, review, approval, publication and update of EFS</w:t>
      </w:r>
    </w:p>
    <w:p>
      <w:pPr/>
      <w:r>
        <w:rPr>
          <w:b/>
        </w:rPr>
        <w:t>POSSIBLE 2017:</w:t>
      </w:r>
      <w:r>
        <w:t xml:space="preserve"> A Technological Overview of Biogas Production from Biowaste — https://doi.org/10.1016/j.eng.2017.03.002</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current irrational use of fossil fuels and the impact of greenhouse gases on the environment are driving research into renewable energy production from organic resources and waste. The global energy demand is high, and most of this energy is produced from fossil resources. Recent studies report that anaerobic digestion (AD) is an efficient alternative technology that combines biofuel production with sustainable waste management, and various technological trends exist in the biogas industry that enhance the production and quality of biogas. Further investments in AD are expected to meet with increasing success due to the low cost of available feedstocks and the wide range of uses for biogas (i.e., for heating, electricity, and fuel). Biogas production is growing in the European energy market and offers an economical alternative for bioenergy production. The objective of this work is to provide an overview of biogas production from lignocellulosic waste, thus providing information toward crucial issues in the biogas economy.</w:t>
      </w:r>
    </w:p>
    <w:p>
      <w:pPr/>
      <w:r>
        <w:rPr>
          <w:b/>
        </w:rPr>
        <w:t>POSSIBLE 2016:</w:t>
      </w:r>
      <w:r>
        <w:t xml:space="preserve"> Energy Technological Review — https://doi.org/10.5281/zenodo.3479264</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WP2 aims to undertake an extensive characterisation of the European energy system. Following the actors and actor-networks analysis realised during Task 2.1, the work performed during Task 2.2 represents a further step towards the complete energy system characterisation, as it provides a detailed overview on the technological forces currently driving it. D2.2 focuses on the technical /technological elements of the Energy Socio-Technical regime, to contribute significant and robust evidence on what constitutes a regime. In order to do this, a supply chain perspective was adopted. The rich literature on the topic was reviewed and synthesised, and on this basis it was deemed most appropriate to apply a Key Performance Indicators (KPIs) approach in order to assess and characterise the energy supply chain. A best practice methodology for defining and applying KPIs was pursued; for this reason, an extensive review of the academic literature in this area was conducted and is presented in this deliverable. From this review, a means of identifying KPIs to characterise the Energy Supply Chain was developed, synthesising insights from state of the art knowledge on this. Developed KPIs represent a comprehensive and innovative means of characterising the Energy Supply Chain according to a myriad of multi-dimensional criteria; typically supply chains are characterised only in narrow or singl</w:t>
      </w:r>
    </w:p>
    <w:p>
      <w:pPr>
        <w:pStyle w:val="Heading2"/>
      </w:pPr>
      <w:r>
        <w:t>837.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2021:</w:t>
      </w:r>
      <w:r>
        <w:t xml:space="preserve"> Identifying and correcting spatial bias in opportunistic citizen science data for wild ungulates in Norway — https://doi.org/10.1002/ece3.8200</w:t>
      </w:r>
    </w:p>
    <w:p>
      <w:pPr/>
      <w:r>
        <w:rPr>
          <w:b/>
        </w:rPr>
        <w:t>Shared claim-specific concepts:</w:t>
      </w:r>
      <w:r>
        <w:t xml:space="preserve"> finally, rsf, use, level; EU scope visible. This is a provisional connection, not an outcome finding.</w:t>
      </w:r>
    </w:p>
    <w:p>
      <w:pPr>
        <w:pStyle w:val="SourceNote"/>
      </w:pPr>
      <w:r>
        <w:rPr>
          <w:b/>
        </w:rPr>
        <w:t>Available abstract (not full text):</w:t>
      </w:r>
      <w:r>
        <w:t xml:space="preserve"> Many publications make use of opportunistic data, such as citizen science observation data, to infer large-scale properties of species' distributions. However, the few publications that use opportunistic citizen science data to study animal ecology at a habitat level do so without accounting for spatial biases in opportunistic records or using methods that are difficult to generalize. In this study, we explore the biases that exist in opportunistic observations and suggest an approach to correct for them. We first examined the extent of the biases in opportunistic citizen science observations of three wild ungulate species in Norway by comparing them to data from GPS telemetry. We then quantified the extent of the biases by specifying a model of the biases. From the bias model, we sampled available locations within the species' home range. Along with opportunistic observations, we used the corrected availability locations to estimate a resource selection function (RSF). We tested this method with simulations and empirical datasets for the three species. We compared the results of our correction method to RSFs obtained using opportunistic observations without correction and to RSFs using GPS-telemetry data. Finally, we compared habitat suitability maps obtained using each of these models. Opportunistic observations are more affected by human access and visibility than locations </w:t>
      </w:r>
    </w:p>
    <w:p>
      <w:pPr/>
      <w:r>
        <w:rPr>
          <w:b/>
        </w:rPr>
        <w:t>POSSIBLE 2019:</w:t>
      </w:r>
      <w:r>
        <w:t xml:space="preserve"> Laminin-Coated Electrospun Regenerated Silk Fibroin Mats Promote Neural Progenitor Cell Proliferation, Differentiation, and Survival in vitro — https://doi.org/10.3389/fbioe.2019.00190</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Neural progenitor cell (NPC) transplantation is a promising technique for central nervous system (CNS) reconstruction and regeneration. Biomaterial scaffolds, frameworks, and platforms can support NPC proliferation and differentiation in vitro as well as serve as a temporary extracellular matrix after transplantation. However, further applications of biomaterials require improved biological attributes. Silk fibroin (SF), which is produced by Bombyx mori, is a widely used and studied protein polymer for biomaterial application. Here, we prepared aligned and random eletrospun regenerated SF (RSF) scaffolds, and evaluated their impact on the growth of NPCs. First, we isolated NPCs and then cultured them on either laminin-coated RSF mats or conventional laminin-coated coverslips for cell assays. We found that aligned and random RSF led to increases in NPC proliferation of 143.8 ± 13.3% and 156.3 ± 14.7%, respectively, compared to controls. Next, we investigated neuron differentiation and found that the aligned and the random RSF led to increases in increase in neuron differentiation of about 93.2 ± 6.4%, and 3167.1 ± 4.8%, respectively, compared to controls. Furthermore, we measured the survival of NPCs and found that RSF promoted NPC survival, and found there was no difference among those three groups. Finally, signaling pathways in cells cultured on RSF mats were studied for thei</w:t>
      </w:r>
    </w:p>
    <w:p>
      <w:pPr/>
      <w:r>
        <w:rPr>
          <w:b/>
        </w:rPr>
        <w:t>POSSIBLE 2018:</w:t>
      </w:r>
      <w:r>
        <w:t xml:space="preserve"> Have wolves (Canis lupus) finally scared moose (Alces alces) in Sweden — https://openalex.org/W2902161450</w:t>
      </w:r>
    </w:p>
    <w:p>
      <w:pPr/>
      <w:r>
        <w:rPr>
          <w:b/>
        </w:rPr>
        <w:t>Shared claim-specific concepts:</w:t>
      </w:r>
      <w:r>
        <w:t xml:space="preserve"> finally, use; EU scope visible. This is a provisional connection, not an outcome finding.</w:t>
      </w:r>
    </w:p>
    <w:p>
      <w:pPr>
        <w:pStyle w:val="SourceNote"/>
      </w:pPr>
      <w:r>
        <w:rPr>
          <w:b/>
        </w:rPr>
        <w:t>Available abstract (not full text):</w:t>
      </w:r>
      <w:r>
        <w:t xml:space="preserve"> Carnivores are coming back to Europe and the repercussions of their return on prey species is not fully understood. Research from North American studies suggests predators can indirectly affect how ungulates will select their habitat which can result in a change in vegetation growth as browsing pressure is relaxed in risky areas. The highly human dominated landscapes of European countries could limit the effect predators have, as humans alter so much of the environment, from forestry to hunting. I use resource selection functions to analyse 20 years of data collected in the Grimsö Wildlife Research Area (140 km2), in a before/after study design to see if the return of the wolf (Canis lupus) in Scandinavia has caused moose (Alces alces) to change how they select winter habitat. I show a change in moose habitat selection after wolf recolonization, but find no conclusive evidence of an indirect effect of wolves. A more likely explanation for the observed changes in moose habitat selection within the Grimsö Wildlife Research Area is a functional response between moose and forage availability.</w:t>
      </w:r>
    </w:p>
    <w:p>
      <w:pPr/>
      <w:r>
        <w:rPr>
          <w:b/>
        </w:rPr>
        <w:t>POSSIBLE 2018:</w:t>
      </w:r>
      <w:r>
        <w:t xml:space="preserve"> Integrating telemetry data into spatial capture–recapture modifies inferences on multi‐scale resource selection — https://doi.org/10.1002/ecs2.2203</w:t>
      </w:r>
    </w:p>
    <w:p>
      <w:pPr/>
      <w:r>
        <w:rPr>
          <w:b/>
        </w:rPr>
        <w:t>Shared claim-specific concepts:</w:t>
      </w:r>
      <w:r>
        <w:t xml:space="preserve"> rsf, use, integration; EU scope not established. This is a provisional connection, not an outcome finding.</w:t>
      </w:r>
    </w:p>
    <w:p>
      <w:pPr>
        <w:pStyle w:val="SourceNote"/>
      </w:pPr>
      <w:r>
        <w:rPr>
          <w:b/>
        </w:rPr>
        <w:t>Available abstract (not full text):</w:t>
      </w:r>
      <w:r>
        <w:t xml:space="preserve"> Abstract Estimating population size and resource selection functions ( RSF s) are common approaches in applied ecology for addressing wildlife conservation and management objectives. Traditionally such approaches have been undertaken separately with different sources of data. Spatial capture–recapture ( SCR ) provides a hierarchical framework for jointly estimating density and multi‐scale resource selection, and data integration techniques provide opportunities for improving inferences from SCR models. Despite the added benefits, there have been few applications of SCR ‐ RSF integration, potentially due to complexities of specifying and fitting such models. Here, we extend a previous integrated SCR ‐ RSF model to accommodate overlap of individuals between data sources and add the functionality to an open‐source R package ( oSCR ). We illustrate an application of the integrated model to a population of American marten ( Martes americana ) in alpine forests of northern New England. Spatial encounter data from camera traps were combined with telemetry locations from radio‐collared individuals to examine how density and space use varied with spatial environmental features. We compared multi‐model inferences between the integrated SCR ‐ RSF model with telemetry and a standard SCR model with no telemetry. The integrated SCR ‐ RSF model supported more complex relationships with spatia</w:t>
      </w:r>
    </w:p>
    <w:p>
      <w:pPr>
        <w:pStyle w:val="Heading2"/>
      </w:pPr>
      <w:r>
        <w:t>838.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2022:</w:t>
      </w:r>
      <w:r>
        <w:t xml:space="preserve"> Exploring Factors Associated with Parent Engagement in A Parenting Program in Southeastern Europe — https://doi.org/10.1007/s10826-022-02411-0</w:t>
      </w:r>
    </w:p>
    <w:p>
      <w:pPr/>
      <w:r>
        <w:rPr>
          <w:b/>
        </w:rPr>
        <w:t>Shared claim-specific concepts:</w:t>
      </w:r>
      <w:r>
        <w:t xml:space="preserve"> three, different, there; EU scope visible. This is a provisional connection, not an outcome finding.</w:t>
      </w:r>
    </w:p>
    <w:p>
      <w:pPr>
        <w:pStyle w:val="SourceNote"/>
      </w:pPr>
      <w:r>
        <w:rPr>
          <w:b/>
        </w:rPr>
        <w:t>Available abstract (not full text):</w:t>
      </w:r>
      <w:r>
        <w:t xml:space="preserve"> Abstract Parental engagement in parenting programs is essential for good outcomes but can be challenging for many families. In low- and middle-income countries, where resources are limited and there are fewer support services, there is little research examining the factors that influence engagement. This mixed-methods study explored factors associated with parent engagement, as well as barriers and supports, in a pilot evaluation of a parenting program with 140 parents in North Macedonia, Republic of Moldova, and Romania. The relationship between various quantitative types of engagement (e.g., premature drop-out, participation) and a range of demographic, personal, and implementation factors were examined. Qualitative parent interviews explored barriers and supports to program engagement. Implementation variables (e.g., phone calls with parents, program fidelity and text messages sent to parents) were consistently positively associated with different types of engagement after controlling for other factors. Parents of boys, being a victim of intimate partner violence, more children in the household and better parental well-being were positively associated with premature drop-out whilst having a child enrolled in school was positively associated with participation. Barriers included logistical factors such as timing and lack of childcare facilities. Factors that increased engagem</w:t>
      </w:r>
    </w:p>
    <w:p>
      <w:pPr/>
      <w:r>
        <w:rPr>
          <w:b/>
        </w:rPr>
        <w:t>POSSIBLE 2022:</w:t>
      </w:r>
      <w:r>
        <w:t xml:space="preserve"> Exploring scale in social licence to operate: European perspectives — https://doi.org/10.1016/j.jclepro.2022.135552</w:t>
      </w:r>
    </w:p>
    <w:p>
      <w:pPr/>
      <w:r>
        <w:rPr>
          <w:b/>
        </w:rPr>
        <w:t>Shared claim-specific concepts:</w:t>
      </w:r>
      <w:r>
        <w:t xml:space="preserve"> three, although, there; EU scope visible. This is a provisional connection, not an outcome finding.</w:t>
      </w:r>
    </w:p>
    <w:p>
      <w:pPr>
        <w:pStyle w:val="SourceNote"/>
      </w:pPr>
      <w:r>
        <w:rPr>
          <w:b/>
        </w:rPr>
        <w:t>Available abstract (not full text):</w:t>
      </w:r>
      <w:r>
        <w:t xml:space="preserve"> This article explores the issue of scale in the social licence to operate (SLO) which, to date, is understudied. The community-company relationship is the original, and still predominant, conceptualization of the term with the less tangible society-industry relationship still not typically in focus. Although the literature distinguishes between community and societal scales, there is no research on why the distinction is important, how the two scales are integrated or whether they interact with and influence one another. Exploring scale in SLO is important for theoretical clarification of the concept, for better empirical understanding of the role mining plays in host localities and the broader society and for the potential to incentivize industry toward more responsible and sustainable practices. Europe's multi-layered governance structure combined with its push for more domestic mining activities provides an ideal crucible for debates of scale to play out. To investigate the community and societal scales in the European context within a single study, three main research questions guide the work: how do orientations toward SLO differ at the community and societal scales; how do these orientations influence the acceptance of mining at both scales; and how do these orientations interact and influence one another? Through quantitative analyses, we found that site level factors te</w:t>
      </w:r>
    </w:p>
    <w:p>
      <w:pPr/>
      <w:r>
        <w:rPr>
          <w:b/>
        </w:rPr>
        <w:t>POSSIBLE 2020:</w:t>
      </w:r>
      <w:r>
        <w:t xml:space="preserve"> Factors Influencing Human Mobility During The COVID-19 Pandemic in Selected Countries of Europe and North America — https://doi.org/10.1109/bigdata50022.2020.9377932</w:t>
      </w:r>
    </w:p>
    <w:p>
      <w:pPr/>
      <w:r>
        <w:rPr>
          <w:b/>
        </w:rPr>
        <w:t>Shared claim-specific concepts:</w:t>
      </w:r>
      <w:r>
        <w:t xml:space="preserve"> principal, component, applied; EU scope visible. This is a provisional connection, not an outcome finding.</w:t>
      </w:r>
    </w:p>
    <w:p>
      <w:pPr>
        <w:pStyle w:val="SourceNote"/>
      </w:pPr>
      <w:r>
        <w:rPr>
          <w:b/>
        </w:rPr>
        <w:t>Available abstract (not full text):</w:t>
      </w:r>
      <w:r>
        <w:t xml:space="preserve"> A novel coronavirus (COVID-19) was first reported in Wuhan, China in December 2109 and was declared a global pandemic by the World Health Organization on 11 March 2020. Identification of the critical factors that predict reduced mobility and human interaction is critical to developing successful transmission mitigation efforts globally. Governments and localities around the world have responded with wide-ranging policies related to containment and closure such as travel restrictions and stay-at-home-orders, as well as economic benefits, expanded testing, and public health education, among others. Anonymized GPS-enabled smartphone data is a novel tool to track human mobility and is becoming widely available. This study explores the relationships between containment and closure policies, disease trends, and human mobility patterns in 40 countries in Western, Eastern, Northern, and Southern Europe and North America. The principal component analysis was applied to reduce variable dimensions, followed by multivariate multiple regression. The model parameter estimations indicate that total cases, canceling activities (school, work, events), mask policies and the pandemic declaration all were significant predictors (p&lt;; .001) of change in workplace mobility from baseline.</w:t>
      </w:r>
    </w:p>
    <w:p>
      <w:pPr/>
      <w:r>
        <w:rPr>
          <w:b/>
        </w:rPr>
        <w:t>POSSIBLE 2018:</w:t>
      </w:r>
      <w:r>
        <w:t xml:space="preserve"> Principal factors controlling the species richness of European fens differ between habitat specialists and matrix‐derived species — https://doi.org/10.1111/ddi.12718</w:t>
      </w:r>
    </w:p>
    <w:p>
      <w:pPr/>
      <w:r>
        <w:rPr>
          <w:b/>
        </w:rPr>
        <w:t>Shared claim-specific concepts:</w:t>
      </w:r>
      <w:r>
        <w:t xml:space="preserve"> principal, like, there, groups; EU scope visible. This is a provisional connection, not an outcome finding.</w:t>
      </w:r>
    </w:p>
    <w:p>
      <w:pPr>
        <w:pStyle w:val="SourceNote"/>
      </w:pPr>
      <w:r>
        <w:rPr>
          <w:b/>
        </w:rPr>
        <w:t>Available abstract (not full text):</w:t>
      </w:r>
      <w:r>
        <w:t xml:space="preserve"> Abstract Aim We present the first continental‐scale study of factors controlling the species richness of groundwater‐fed fens, comparing land snails, vascular plants and bryophytes. We separately analyse two ecologically distinct groups differing in conservation value and colonization/extinction dynamics, that is habitat specialists, and matrix‐derived species. Considering the island‐like nature of fen habitats, we hypothesize larger differences in the species richness–environment relationships between habitat specialists and matrix‐derived species than among the taxonomic entities. Location Seven European regions Methods Richness was counted at 373 well‐preserved fens with undisturbed hydrology using the same protocols. Relationships between the species richness and waterpH, waterlogging, climate and geography were explored byGLMs. Results Land snail richness responded mainly to waterpH, regardless of habitat specialization. Richness of vascular plant and bryophyte specialists was strongly driven by geographical location of the sites, while that of matrix‐derived species was driven by waterlogging and waterpH. The richness of matrix‐derived species of all taxa significantly increased with the decreasing waterlogging. Residual richness of specialists of all taxa decreased towards southern Europe. Main conclusions In island‐like terrestrial habitats, differences between speciali</w:t>
      </w:r>
    </w:p>
    <w:p>
      <w:pPr/>
      <w:r>
        <w:rPr>
          <w:b/>
        </w:rPr>
        <w:t>POSSIBLE 2017:</w:t>
      </w:r>
      <w:r>
        <w:t xml:space="preserve"> Exploring Self-Employment in the European Union — https://openalex.org/W2773297494</w:t>
      </w:r>
    </w:p>
    <w:p>
      <w:pPr/>
      <w:r>
        <w:rPr>
          <w:b/>
        </w:rPr>
        <w:t>Shared claim-specific concepts:</w:t>
      </w:r>
      <w:r>
        <w:t xml:space="preserve"> there, general, across; EU scope visible. This is a provisional connection, not an outcome finding.</w:t>
      </w:r>
    </w:p>
    <w:p>
      <w:pPr>
        <w:pStyle w:val="SourceNote"/>
      </w:pPr>
      <w:r>
        <w:rPr>
          <w:b/>
        </w:rPr>
        <w:t>Available abstract (not full text):</w:t>
      </w:r>
      <w:r>
        <w:t xml:space="preserve"> [Excerpt] Self-employment in the European Union is in a process of continual change. While the proportion of the self-employed in the EU28 Member States is stable, its composition has shifted. While on the one hand there has been a decline in employment in agriculture (generally self-employment), on the other hand the proportions of self-employed workers in the services sector and public sector have increased. Another recent phenomenon is the increase in the proportion of self-employed people who do not employ workers. Across the European Union, some countries have experienced a greater degree of change in the proportion of self-employed workers than in others. In general, self-employment has become more varied and this diversity presents a challenge for policymakers.</w:t>
      </w:r>
    </w:p>
    <w:p>
      <w:pPr/>
      <w:r>
        <w:rPr>
          <w:b/>
        </w:rPr>
        <w:t>POSSIBLE 2017:</w:t>
      </w:r>
      <w:r>
        <w:t xml:space="preserve"> Regional economic development in Europe: the role of total factor productivity — https://doi.org/10.1080/00343404.2017.1334118</w:t>
      </w:r>
    </w:p>
    <w:p>
      <w:pPr/>
      <w:r>
        <w:rPr>
          <w:b/>
        </w:rPr>
        <w:t>Shared claim-specific concepts:</w:t>
      </w:r>
      <w:r>
        <w:t xml:space="preserve"> factor, component, across; EU scope visible. This is a provisional connection, not an outcome finding.</w:t>
      </w:r>
    </w:p>
    <w:p>
      <w:pPr>
        <w:pStyle w:val="SourceNote"/>
      </w:pPr>
      <w:r>
        <w:rPr>
          <w:b/>
        </w:rPr>
        <w:t>Available abstract (not full text):</w:t>
      </w:r>
      <w:r>
        <w:t xml:space="preserve"> Regional economic development in Europe: the role of total factor productivity. Regional Studies. This paper documents the fact that the large and persistent differences in economic development across subnational regions in European Union countries can largely be attributed to differences in total factor productivity (TFP). Applying the technique of development accounting, the paper decomposes differences in output per worker across 257 European Union regions into a component due to the local availability of production factors and a component due to TFP. As the analysis reveals, TFP differences are large even within countries, and are strongly related to economic geography and historical development paths. This suggests limited interregional diffusion of technology and of efficient production practices.</w:t>
      </w:r>
    </w:p>
    <w:p>
      <w:pPr>
        <w:pStyle w:val="Heading2"/>
      </w:pPr>
      <w:r>
        <w:t>839.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2022:</w:t>
      </w:r>
      <w:r>
        <w:t xml:space="preserve"> Navigating the internationalization process: Strategic resources for early internationalizing firms — https://doi.org/10.1007/s10843-022-00308-z</w:t>
      </w:r>
    </w:p>
    <w:p>
      <w:pPr/>
      <w:r>
        <w:rPr>
          <w:b/>
        </w:rPr>
        <w:t>Shared claim-specific concepts:</w:t>
      </w:r>
      <w:r>
        <w:t xml:space="preserve"> recommendations, internationalization, based, process; EU scope not established. This is a provisional connection, not an outcome finding.</w:t>
      </w:r>
    </w:p>
    <w:p>
      <w:pPr>
        <w:pStyle w:val="SourceNote"/>
      </w:pPr>
      <w:r>
        <w:rPr>
          <w:b/>
        </w:rPr>
        <w:t>Available abstract (not full text):</w:t>
      </w:r>
      <w:r>
        <w:t xml:space="preserve"> Abstract Despite an increasing number of studies identifying factors that influence the internationalization process for early internationalizing firms (EIFs), it remains unclear which of these numerous factors could play a strategic role and, more specifically, when. This paper develops a new conceptual framework anchored in the resource-based view to identify strategic resources that can explain EIFs’ internationalization process accurately over time. Building on a systematic literature review based on 102 papers covering a period of 29 years, we methodically present a phase-by-phase observation of EIFs’ internationalization process to identify the strategic relevance of different influential resources. The results highlight the importance of the shift from individual to organizational resources, which occurs at a critical phase of transition from the entry to the post-entry phase. Studying the evolution of strategic resources along four phases allows us to determine that the progress of EIFs through the phases of their internationalization process is closely linked to their resources’ development process. This study suggests some promising research avenues, at theoretical and methodological levels, and results in a series of concrete recommendations intended for entrepreneurs and/or managers of EIFs.</w:t>
      </w:r>
    </w:p>
    <w:p>
      <w:pPr/>
      <w:r>
        <w:rPr>
          <w:b/>
        </w:rPr>
        <w:t>POSSIBLE 2020:</w:t>
      </w:r>
      <w:r>
        <w:t xml:space="preserve"> Collaboration and Internationalization of SMEs: Insights and Recommendations from a Systematic Review — https://doi.org/10.1111/ijmr.12238</w:t>
      </w:r>
    </w:p>
    <w:p>
      <w:pPr/>
      <w:r>
        <w:rPr>
          <w:b/>
        </w:rPr>
        <w:t>Shared claim-specific concepts:</w:t>
      </w:r>
      <w:r>
        <w:t xml:space="preserve"> recommendations, internationalization, process, key; EU scope not established. This is a provisional connection, not an outcome finding.</w:t>
      </w:r>
    </w:p>
    <w:p>
      <w:pPr>
        <w:pStyle w:val="SourceNote"/>
      </w:pPr>
      <w:r>
        <w:rPr>
          <w:b/>
        </w:rPr>
        <w:t>Available abstract (not full text):</w:t>
      </w:r>
      <w:r>
        <w:t xml:space="preserve"> Abstract This paper performs a systematic literature review of the undeniably diverse – and somewhat fragmented – current state of research on the collaborations and internationalization of small and medium‐sized enterprises (SMEs). We analyze key works and synthesize them into a framework that conceptually maps key antecedents, mediators, and moderators that influence the internationalization of SMEs. In addition, we highlight limitations of the literature, most notably in terms of theoretical fragmentation; extant theories are deployed and illustrated but rarely extended in a manner that significantly informs subsequent work. At an applied (but related) level, we argue the need for supplementary work that explores the distinct stages of internationalization – and the scope and scale of this process – rather than assuming closure around particular events. With this, we highlight the need for more rigorous and empirically informed explorations of contextual effects that take account of the consequences of developments in the global economic ecosystem.</w:t>
      </w:r>
    </w:p>
    <w:p>
      <w:pPr/>
      <w:r>
        <w:rPr>
          <w:b/>
        </w:rPr>
        <w:t>POSSIBLE 2020:</w:t>
      </w:r>
      <w:r>
        <w:t xml:space="preserve"> Make Banking Simple Again : A multiple case-study about the internationalization of the largest online retail banks in Europe — https://openalex.org/W3047438540</w:t>
      </w:r>
    </w:p>
    <w:p>
      <w:pPr/>
      <w:r>
        <w:rPr>
          <w:b/>
        </w:rPr>
        <w:t>Shared claim-specific concepts:</w:t>
      </w:r>
      <w:r>
        <w:t xml:space="preserve"> recommendations, internationalization, process, international, findings; EU scope visible. This is a provisional connection, not an outcome finding.</w:t>
      </w:r>
    </w:p>
    <w:p>
      <w:pPr>
        <w:pStyle w:val="SourceNote"/>
      </w:pPr>
      <w:r>
        <w:rPr>
          <w:b/>
        </w:rPr>
        <w:t>Available abstract (not full text):</w:t>
      </w:r>
      <w:r>
        <w:t xml:space="preserve"> Digitalization is increasing in our society and continues to move in that direction. The shift from traditional banks to online banks is becoming more popular, and with an online bank, the international markets open. Although previous research about internationalization exists, there is no in-depth research on the specific topic of online banks. This study aims to provide information regarding how online banks internationalize, to understand the underlying factors for the process better as well as provide recommendations for both online banks but also traditional banks. Factors such as motivators, the entrepreneur, and resources are investigated to find an answer to the given research question. The way of internationalization is connected to the already pre-existing strategies of global or regional markets. The third theoretical concept that is applied to understand the internationalization process is which path of internationalization is used, either Born Global or Born Regional. This thesis is a qualitative study with a deductive approach. The empirical findings are derived from case studies through semi-structured interviews, and the sampling selection is online retail banks operating in Europe, with more than one million customers. The selected cases are Revolut, N26, Monzo, and Monese, where one interview per bank is conducted. The interviewee’s understanding of the subjec</w:t>
      </w:r>
    </w:p>
    <w:p>
      <w:pPr/>
      <w:r>
        <w:rPr>
          <w:b/>
        </w:rPr>
        <w:t>POSSIBLE 2019:</w:t>
      </w:r>
      <w:r>
        <w:t xml:space="preserve"> Pathways of SME internationalization: a bibliometric and systematic review — https://doi.org/10.1007/s11187-019-00181-6</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Business is dynamic and rapidly changing. Global markets were previously the playing field of multinational corporations (MNCs), while small and medium enterprises (SMEs) were local; however, the removal of imposed barriers and recent technological advances in manufacturing, transportation, and communications have indorsed SMEs and international entrepreneurs (IEs) global access. SMEs and IEs are increasingly fueling economic growth and innovation, and these trends are presenting both opportunities and challenges to both MNCs and SMEs in the global arena. This review systematically examines comparative SME and IE research, analyzing (after fine-tuning) 762 articles published in leading journals from 1992 to September 2018. Our bibliometric and systematic review classifies SME and IE research findings into three echelons: (i) subjects, (ii) theories, and (iii) methods.</w:t>
      </w:r>
    </w:p>
    <w:p>
      <w:pPr/>
      <w:r>
        <w:rPr>
          <w:b/>
        </w:rPr>
        <w:t>POSSIBLE 2019:</w:t>
      </w:r>
      <w:r>
        <w:t xml:space="preserve"> Internationalization Strategy — https://doi.org/10.4018/978-1-7998-2007-9.ch001</w:t>
      </w:r>
    </w:p>
    <w:p>
      <w:pPr/>
      <w:r>
        <w:rPr>
          <w:b/>
        </w:rPr>
        <w:t>Shared claim-specific concepts:</w:t>
      </w:r>
      <w:r>
        <w:t xml:space="preserve"> conclusions, internationalization, international; EU scope not established. This is a provisional connection, not an outcome finding.</w:t>
      </w:r>
    </w:p>
    <w:p>
      <w:pPr>
        <w:pStyle w:val="SourceNote"/>
      </w:pPr>
      <w:r>
        <w:rPr>
          <w:b/>
        </w:rPr>
        <w:t>Available abstract (not full text):</w:t>
      </w:r>
      <w:r>
        <w:t xml:space="preserve"> This chapter, devoted to the theoretical framework of internationalization strategy, intends to perform a reflection on its main theories and studies. The authors discuss the main motivations that firms face to internationalize their activity as well as the aspects related to the success of approaching new markets. Then it also characterizes the main risks associated with the decision of internationalization and international trade. The authors will also present developed tools to support the two starting decisions that companies face in this type of projects: where and how to internationalize. They also intend to go into the decision of direct investment in international markets, providing knowledge about different perspectives, as several empirical studies show a more detailed vision of this strategic option and its main financial impacts on business. Finally, it discusses the main conclusions about the relation between internationalization and the performance of companies.</w:t>
      </w:r>
    </w:p>
    <w:p>
      <w:pPr/>
      <w:r>
        <w:rPr>
          <w:b/>
        </w:rPr>
        <w:t>POSSIBLE 2018:</w:t>
      </w:r>
      <w:r>
        <w:t xml:space="preserve"> INTERNATIONALIZATION OF QUALITY ASSURANCE IN THE EUROPEAN HIGHER EDUCATION AREA: CHARACTERISTICS OF THE TERMINOLOGICAL APPARATUS AND CONCEPTUAL BASES OF THE RESEARCH — https://doi.org/10.33989/2075-146x.2018.21.206296</w:t>
      </w:r>
    </w:p>
    <w:p>
      <w:pPr/>
      <w:r>
        <w:rPr>
          <w:b/>
        </w:rPr>
        <w:t>Shared claim-specific concepts:</w:t>
      </w:r>
      <w:r>
        <w:t xml:space="preserve"> conclusions, recommendations, internationalization, higher, education, based; EU scope visible. This is a provisional connection, not an outcome finding.</w:t>
      </w:r>
    </w:p>
    <w:p>
      <w:pPr>
        <w:pStyle w:val="SourceNote"/>
      </w:pPr>
      <w:r>
        <w:rPr>
          <w:b/>
        </w:rPr>
        <w:t>Available abstract (not full text):</w:t>
      </w:r>
      <w:r>
        <w:t xml:space="preserve"> The research is devoted to the problems of internationalization of quality assurance (QA) in the European Higher Education Area. Based on the application of methods of terminological analysis, systematization and generalization, the characteristic of the conceptual apparatus of the study is given. The importance of such concepts as "internationalization of higher education", "quality assurance of higher education" and " European Higher Education Area " are specified.The definition of the key concept of the study "internationalization of the quality assurance of higher education" as a process and result of the implementation of normative, organizational and procedural principles of the QA at the international level and the legitimization of the international / global dimension of the quality assurance agencies' activities in higher education is formulated. The theoretical, normative, organizational and procedural aspects of the problem under study are outlined.The following conclusions are made regarding trends in the development of the phenomenon under study: 1) the process of internationalization of the QA acquires a systemic character, the approval of international norms for the implementation of the QA process at official summits of the Bologna Process, in the educational legislation of the member states of the Bologna Club, gives them legitimacy; 2) there is an increase in </w:t>
      </w:r>
    </w:p>
    <w:p>
      <w:pPr/>
      <w:r>
        <w:rPr>
          <w:b/>
        </w:rPr>
        <w:t>POSSIBLE 2017:</w:t>
      </w:r>
      <w:r>
        <w:t xml:space="preserve"> Internationalization and Student Mobility in Teacher Education: Internationalization Models, Diffusion Barriers, and Recommendations for Policy and Higher Education Institutions — https://openalex.org/W2725157936</w:t>
      </w:r>
    </w:p>
    <w:p>
      <w:pPr/>
      <w:r>
        <w:rPr>
          <w:b/>
        </w:rPr>
        <w:t>Shared claim-specific concepts:</w:t>
      </w:r>
      <w:r>
        <w:t xml:space="preserve"> conclusions, recommendations, internationalization, higher, education, process; EU scope visible. This is a provisional connection, not an outcome finding.</w:t>
      </w:r>
    </w:p>
    <w:p>
      <w:pPr>
        <w:pStyle w:val="SourceNote"/>
      </w:pPr>
      <w:r>
        <w:rPr>
          <w:b/>
        </w:rPr>
        <w:t>Available abstract (not full text):</w:t>
      </w:r>
      <w:r>
        <w:t xml:space="preserve"> For the field of teacher education, a particularly wide discrepancy exists between (1) higher education discourses and policies advocating a wide diffusion of international dimensions, specifically of study-related mobility (such as Erasmus stays abroad), within higher education degree programs; (2) the ideals and demands placed upon teacher education graduates to possess relevant international competences and experiences in view of their role as multipliers and professionals in increasingly multicultural and global societies; and (3) the ground-level practices, as evidenced by comparatively low mobility rates in teacher education degree programs in Europe.The study reverts to the question where this discrepancy is actually produced and how it could be addressed, thereby closing a gap in student mobility and higher education internationalization research on the diffusion barriers at work in the field of teacher education.The thesis is set in the field of international and comparative education, and pursues a multilevel and contextualized comparative approach, involving two strands of investigation:(1) a theory-based and process-oriented quantitative inquiry into relevant obstacles for eventual participation in study-related mobility among students in teacher education degree programs; (2) and a multilevel (policy, institutions/staff, students) inquiry into the trajectories of i</w:t>
      </w:r>
    </w:p>
    <w:p>
      <w:pPr/>
      <w:r>
        <w:rPr>
          <w:b/>
        </w:rPr>
        <w:t>POSSIBLE 2017:</w:t>
      </w:r>
      <w:r>
        <w:t xml:space="preserve"> Policies to support internationalization — https://openalex.org/W2775780618</w:t>
      </w:r>
    </w:p>
    <w:p>
      <w:pPr/>
      <w:r>
        <w:rPr>
          <w:b/>
        </w:rPr>
        <w:t>Shared claim-specific concepts:</w:t>
      </w:r>
      <w:r>
        <w:t xml:space="preserve"> conclusions, recommendations, internationalization, based, including; EU scope visible. This is a provisional connection, not an outcome finding.</w:t>
      </w:r>
    </w:p>
    <w:p>
      <w:pPr>
        <w:pStyle w:val="SourceNote"/>
      </w:pPr>
      <w:r>
        <w:rPr>
          <w:b/>
        </w:rPr>
        <w:t>Available abstract (not full text):</w:t>
      </w:r>
      <w:r>
        <w:t xml:space="preserve"> This paper presents practical suggestions and recommendations as to how public policy in Europe could make more of a contribution to the profitable exploitation of foreign market opportunities by Europe?s SMEs. The paper will seek to combine practical policy relevance with theoretical soundness. As such, it will present a relevant and useful example of the relationship between scientifically robust research and public policy making. In this regard, the opportunity will be taken to identify a number of relevant issues in public policy making including some conclusions drawn with respect to the extent to which policy for internationalization is evidence based, as well as aspects of internationalization policy appears to have run ahead on the scientific evidence base.</w:t>
      </w:r>
    </w:p>
    <w:p>
      <w:pPr/>
      <w:r>
        <w:rPr>
          <w:b/>
        </w:rPr>
        <w:t>POSSIBLE 2017:</w:t>
      </w:r>
      <w:r>
        <w:t xml:space="preserve"> The internationalization of CK Solar Academy to Brazil — https://openalex.org/W2626819597</w:t>
      </w:r>
    </w:p>
    <w:p>
      <w:pPr/>
      <w:r>
        <w:rPr>
          <w:b/>
        </w:rPr>
        <w:t>Shared claim-specific concepts:</w:t>
      </w:r>
      <w:r>
        <w:t xml:space="preserve"> conclusions, recommendations, internationalization, based, national, process; EU scope visible. This is a provisional connection, not an outcome finding.</w:t>
      </w:r>
    </w:p>
    <w:p>
      <w:pPr>
        <w:pStyle w:val="SourceNote"/>
      </w:pPr>
      <w:r>
        <w:rPr>
          <w:b/>
        </w:rPr>
        <w:t>Available abstract (not full text):</w:t>
      </w:r>
      <w:r>
        <w:t xml:space="preserve"> Nowadays, more firms tend to explore the off-borders market to fight the stress of the competition in the national market. Moreover, most of the firms see this chance as an opportunity to provide the foreign market what it lacks. In such context, this report examines the possibility of the internationalization of CK Solar Academy to Brazil, more specifically to the city of S. Paulo. The present work describes the activities developed during the curricular internship in CRITICAL KINETICS, Unip. Lda., located in Torres Novas. This company works in the renewable energies’ market, more specifically in the supply and installation of photovoltaic equipment, directed for own-consumption. The company has several sections, each being responsible for a renewable energies’ market branch. The section studied in this report is responsible for training professionals to be able to install and work with this specific equipment. This section of the company has a varied range of courses in the photovoltaic area taught throughout the Portuguese country. The developed work intended to increase the number of markets in which the company operates, aiming for markets that lack in training courses as wide and complete as those offered by CK Solar Academy. Therefore, and taking into consideration the expressed need of the company to search for one Portuguese-speaking market to implement the internation</w:t>
      </w:r>
    </w:p>
    <w:p>
      <w:pPr/>
      <w:r>
        <w:rPr>
          <w:b/>
        </w:rPr>
        <w:t>POSSIBLE 2017:</w:t>
      </w:r>
      <w:r>
        <w:t xml:space="preserve"> Network embeddedness in the internationalization of biotechnology entrepreneurs — https://doi.org/10.1080/08985626.2017.1408697</w:t>
      </w:r>
    </w:p>
    <w:p>
      <w:pPr/>
      <w:r>
        <w:rPr>
          <w:b/>
        </w:rPr>
        <w:t>Shared claim-specific concepts:</w:t>
      </w:r>
      <w:r>
        <w:t xml:space="preserve"> internationalization, national, among, international; EU scope visible. This is a provisional connection, not an outcome finding.</w:t>
      </w:r>
    </w:p>
    <w:p>
      <w:pPr>
        <w:pStyle w:val="SourceNote"/>
      </w:pPr>
      <w:r>
        <w:rPr>
          <w:b/>
        </w:rPr>
        <w:t>Available abstract (not full text):</w:t>
      </w:r>
      <w:r>
        <w:t xml:space="preserve"> This study investigates how entrepreneurs of biotech enterprises embed in domestic and international networks so as to internationalize. We advance a contextual framework of embeddedness of internationalizing entrepreneurs, providing a contribution (i) by synthesizing and applying existing conceptual insights from the networking literature to provide a more culturally sensitive view of getting embedded for international entrepreneurship in the biotech industry and (ii) by adding insights into the practices and (micro)processes of how and in what ways embeddedness integrates with the internationalization of biotech entrepreneurs. Our study involves six entrepreneurs from Canada, Finland, and New Zealand. Context-specific embeddedness was studied by exploring the (i) type, (ii) strength, (iii) locality, and (iv) importance of the international and national network ties among internationalizing entrepreneurs. We found differences in relation to the locality of universities and research institutes, role and type of financiers, and customer focus in internationalization. For instance, while customers were central to the embeddedness of Canadian and New Zealand entrepreneurs, Finnish entrepreneurs had no focus on their customers, but acted solely through sales channels and partners. The customer focus of New Zealand entrepreneurs was mainly international, whereas it was domestic in t</w:t>
      </w:r>
    </w:p>
    <w:p>
      <w:pPr>
        <w:pStyle w:val="Heading2"/>
      </w:pPr>
      <w:r>
        <w:t>840.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2022:</w:t>
      </w:r>
      <w:r>
        <w:t xml:space="preserve"> Persécution des juifs et espace urbain — https://doi.org/10.3917/rhu.062.0081</w:t>
      </w:r>
    </w:p>
    <w:p>
      <w:pPr/>
      <w:r>
        <w:rPr>
          <w:b/>
        </w:rPr>
        <w:t>Shared claim-specific concepts:</w:t>
      </w:r>
      <w:r>
        <w:t xml:space="preserve"> les, pour, une, article; EU scope not established. This is a provisional connection, not an outcome finding.</w:t>
      </w:r>
    </w:p>
    <w:p>
      <w:pPr>
        <w:pStyle w:val="SourceNote"/>
      </w:pPr>
      <w:r>
        <w:rPr>
          <w:b/>
        </w:rPr>
        <w:t>Available abstract (not full text):</w:t>
      </w:r>
      <w:r>
        <w:t xml:space="preserve"> Les relations sociales entre juifs et non-juifs pendant la Shoah ont fait l’objet de nombreux travaux depuis vingt ans. Dans ces études, la figure des « voisins » est très présente sans être circonscrite d’un point de vue géographique. L’article construit les termes de « voisin » et de « voisinage » pour faire de ces catégories des outils de compréhension de la persécution. À partir d’une vaste enquête concernant les réaffectations de logements de familles juives à Paris pendant l’Occupation sous l’égide de la préfecture de la Seine, les auteurs observent au plus près les relations sociales des Parisiens avec leurs voisins juifs et les caractéristiques spatiales de leur trajectoire résidentielle.</w:t>
      </w:r>
    </w:p>
    <w:p>
      <w:pPr/>
      <w:r>
        <w:rPr>
          <w:b/>
        </w:rPr>
        <w:t>POSSIBLE 2022:</w:t>
      </w:r>
      <w:r>
        <w:t xml:space="preserve"> The public stigma of facial disfigurement : investigating the relationships between visual attention, affective reactions and dehumanization — https://openalex.org/W7214250308</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Les personnes présentant une différence faciale (DF) sont stigmatisées. Cette stigmatisation semanifeste particulièrement par les réactions affectives des percevant·e·s, notamment par le dégout etla peur, émotions généralement associées au processus de déshumanisation d’autrui. Par ailleurs, entant que stigmate visible, la DF semble influencer la répartition de l’attention visuelle sur un visagemais peu de travaux ont associé ces champs. Ainsi, ce projet de thèse avait pour objectif de mieuxcomprendre la stigmatisation sociale de la DF, et plus particulièrement les liens entre perceptionvisuelle, réactions affectives stigmatisantes et déshumanisation. En se focalisant sur les réactionsaffectives, il s’agissait préalablement de proposer une typologie de ces réactions affectivesstigmatisantes, puis de mettre en lumière leurs liens avec les changements dans l’attention visuelle,pour finalement déterminer si ces réactions témoignent d’un processus de déshumanisation. Nosrésultats montrent que la DF modifie globalement la répartition de l’attention visuelle et influencel’émergence de réactions affectives stigmatisantes en engendrant moins de neutralité et plus desurprise, dégoût, peur et mépris. La perception visuelle de la DF semble déterminante puisque lamodification de l’attention visuelle était liée à la fois aux réactions affectives stigmatisantes et auxattributions déshumanisa</w:t>
      </w:r>
    </w:p>
    <w:p>
      <w:pPr/>
      <w:r>
        <w:rPr>
          <w:b/>
        </w:rPr>
        <w:t>POSSIBLE 2022:</w:t>
      </w:r>
      <w:r>
        <w:t xml:space="preserve"> Faire diaspora en ville, XIII e -XIX e siècle — https://doi.org/10.3917/rhu.064.0097</w:t>
      </w:r>
    </w:p>
    <w:p>
      <w:pPr/>
      <w:r>
        <w:rPr>
          <w:b/>
        </w:rPr>
        <w:t>Shared claim-specific concepts:</w:t>
      </w:r>
      <w:r>
        <w:t xml:space="preserve"> les, effets, pour, une, cet, article; EU scope not established. This is a provisional connection, not an outcome finding.</w:t>
      </w:r>
    </w:p>
    <w:p>
      <w:pPr>
        <w:pStyle w:val="SourceNote"/>
      </w:pPr>
      <w:r>
        <w:rPr>
          <w:b/>
        </w:rPr>
        <w:t>Available abstract (not full text):</w:t>
      </w:r>
      <w:r>
        <w:t xml:space="preserve"> La ville de Rouen, une des plus grandes du royaume, fut depuis sa fondation soumise aux aléas météorologiques tels que les excès de pluie, les froids intenses ou encore les tempêtes. Ces extrêmes climatiques avaient des conséquences directes (destructions d’édifices, rupture des communications) et indirectes (baisse des disponibilités alimentaires, apparition d’épidémies). Face à cette vulnérabilité les autorités mirent en place dès le Moyen Âge des parades plus ou moins efficientes pour atténuer en amont et en aval les effets négatifs de ces aléas. Au xviii e le courant intellectuel et scientifique des Lumières se diffusa à la ville de Rouen. Par la promotion de théories sanitaires, urbanistiques, agricoles et commerciales modernes, les hommes des Lumières se proposaient d’améliorer la résilience urbaine sous toutes ces facettes. L’objet de cet article est de percevoir le degré de pénétration et d’application des Lumières dans la société rouennaise.</w:t>
      </w:r>
    </w:p>
    <w:p>
      <w:pPr/>
      <w:r>
        <w:rPr>
          <w:b/>
        </w:rPr>
        <w:t>POSSIBLE 2022:</w:t>
      </w:r>
      <w:r>
        <w:t xml:space="preserve"> Des albums plurilingues à l’école pour les lecteurs… plurilingues ? — https://doi.org/10.63723/publije.202110161</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L’article propose une typologie des albums bi-, multi-, plurilingues en s’inspirant du fonctionnement du sujet plurilingue, ce qui conduit à distinguer les albums multilingues (langues cloisonnées) des albums plurilingues (langues en interaction). Il rend compte dans un second temps d’un atelier de formation initiale en INSPE, mené par les deux chercheuses avec un groupe de quinze professeures des écoles stagiaires. Ces stagiaires ont été amenées à mettre en œuvre des séquences dans les classes, à partir de 4 albums (un imagier multilingue, trois albums plurilingues), dans les 3 cycles de l’école primaire. Les séquences devaient mobiliser des objectifs d’apprentissage transversaux, langagiers et métalangagiers. Les deux chercheuses ont souhaité observé les formes d’appropriation par les professeures des écoles stagiaires des scénarios pédagogiques succincts proposés autour des albums, afin de voir comment des professeurs débutants dans le métier parvenaient à s’emparer de la question complexe du plurilinguisme. The article provides a typology of bi-, multi- and plurilingual picture books based on the functioning of the plurilingual subject, which leads to a distinction between multilingual picture books (partitioned languages) and plurilingual picture books (interacting languages). It then reports on an initial training workshop in INSPE, conducted by the two researchers with a</w:t>
      </w:r>
    </w:p>
    <w:p>
      <w:pPr/>
      <w:r>
        <w:rPr>
          <w:b/>
        </w:rPr>
        <w:t>POSSIBLE 2022:</w:t>
      </w:r>
      <w:r>
        <w:t xml:space="preserve"> Un virus mis en scène par son vaccin ? La prise en charge du HPV et des pathologies associées en belgique — https://doi.org/10.1684/sss.2021.0211</w:t>
      </w:r>
    </w:p>
    <w:p>
      <w:pPr/>
      <w:r>
        <w:rPr>
          <w:b/>
        </w:rPr>
        <w:t>Shared claim-specific concepts:</w:t>
      </w:r>
      <w:r>
        <w:t xml:space="preserve"> les, une, vers, cet, article; EU scope not established. This is a provisional connection, not an outcome finding.</w:t>
      </w:r>
    </w:p>
    <w:p>
      <w:pPr>
        <w:pStyle w:val="SourceNote"/>
      </w:pPr>
      <w:r>
        <w:rPr>
          <w:b/>
        </w:rPr>
        <w:t>Available abstract (not full text):</w:t>
      </w:r>
      <w:r>
        <w:t xml:space="preserve"> Cet article s’intéresse à la mise en place de la détection du papillomavirus humain (HPV) et aux conséquences qui en découlent en Belgique. L’établissement de technologies de détection et de prévention contre le cancer du col de l’utérus et l’agent infectieux – le HPV – ont redéfini les contours d’un problème de santé publique. La systématisation du test HPV en lien avec l’arrivée des vaccins témoigne du glissement de la prise en charge du cancer du col à la prévention du virus. Alors que le frottis utérin permet de détecter le cancer et des lésions précancéreuses, l’utilisation des vaccins anti-HPV est un pas vers une étape de prévention plus précoce qui induit des conséquences sanitaires et sociales. La compréhension de ce qui fait « pathologie » ou de ce qui peut être désigné comme « normal » s’est modifiée ignorant parfois certaines populations ou au contraire élargissant les caractéristiques des populations dites « à risque ». L’attention ou l’absence d’importance donnée à certains organes et populations laisse à voir des normes autour de la sexualité et du genre et contribue à construire des identités sexuelles et de genre affectées par certaines maladies – les hommes homosexuels par le cancer de l’anus et les femmes par le cancer du col utérin – alors que d’autres cancers comme celui de l’oropharynx sont semblablement présents. Parallèlement, bien que les inégalités soci</w:t>
      </w:r>
    </w:p>
    <w:p>
      <w:pPr/>
      <w:r>
        <w:rPr>
          <w:b/>
        </w:rPr>
        <w:t>POSSIBLE 2021:</w:t>
      </w:r>
      <w:r>
        <w:t xml:space="preserve"> Neuro-socio-cognitive approach of social perception : new perspectives for disability studies — https://openalex.org/W7214254807</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Approche neuro-socio-cognitive de la perception sociale : nouvelles perspectives pour la recherche sur le handicap — https://doi.org/10.70675/71d44d6az4a73z4885zb629za45d7782d05d</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Régulation et politique de la concurrence à l'ère numérique : essais en économie industrielle — https://doi.org/10.70675/bff4f604z556ez4d9dza30az2bd8c79f106c</w:t>
      </w:r>
    </w:p>
    <w:p>
      <w:pPr/>
      <w:r>
        <w:rPr>
          <w:b/>
        </w:rPr>
        <w:t>Shared claim-specific concepts:</w:t>
      </w:r>
      <w:r>
        <w:t xml:space="preserve"> tudie, les, effets, pour, une, conomie; EU scope not established. This is a provisional connection, not an outcome finding.</w:t>
      </w:r>
    </w:p>
    <w:p>
      <w:pPr>
        <w:pStyle w:val="SourceNote"/>
      </w:pPr>
      <w:r>
        <w:rPr>
          <w:b/>
        </w:rPr>
        <w:t>Available abstract (not full text):</w:t>
      </w:r>
      <w:r>
        <w:t xml:space="preserve"> Cette thèse aborde deux enjeux auxquels les régulateurs doivent faire face dans l’économie numérique : le défi informationnel généré par l'utilisation de nouvelles technologies d'intelligence artificielle et la problématique du pouvoir de marché des grandes plateformes numériques. Le premier chapitre de cette thèse étudie la mise en place d’un système d’audit (coûteux et imparfait) par un régulateur cherchant à réduire le risque de dommage généré par les technologies d’intelligence artificielle, tout en limitant le coût de la régulation. Les entreprises peuvent investir dans l'explicabilité de leurs technologies pour mieux comprendre leurs algorithmes et réduire leur coût de conformité à la réglementation. Lorsque l’explicabilité n’affecte pas l’efficacité des audits, la prise en compte du niveau d'explicabilité de la technologie dans la politique d’audit du régulateur induit davantage d'investissement en explicabilité et une conformité plus forte de la part des entreprises en comparaison d’une politique neutre à l’explicabilité. Si, au contraire, l'explicabilité facilite la détection d'une mauvaise conduite par le régulateur, les entreprises peuvent s’engager dans une stratégie d’opacification de leur technologie. Un comportement opportuniste de la part du régulateur décourage l'investissement dans l'explicabilité. Pour promouvoir l'explicabilité et la conformité, il peut être</w:t>
      </w:r>
    </w:p>
    <w:p>
      <w:pPr/>
      <w:r>
        <w:rPr>
          <w:b/>
        </w:rPr>
        <w:t>POSSIBLE 2019:</w:t>
      </w:r>
      <w:r>
        <w:t xml:space="preserve"> Dans les coulisses de la gestion de l’épidémie Ebola en Afrique de l’Ouest (2014-2016) : l’ère de l’« OMSF » — https://doi.org/10.3917/sss.372.0039</w:t>
      </w:r>
    </w:p>
    <w:p>
      <w:pPr/>
      <w:r>
        <w:rPr>
          <w:b/>
        </w:rPr>
        <w:t>Shared claim-specific concepts:</w:t>
      </w:r>
      <w:r>
        <w:t xml:space="preserve"> les, pour, une, cet, article; EU scope not established. This is a provisional connection, not an outcome finding.</w:t>
      </w:r>
    </w:p>
    <w:p>
      <w:pPr>
        <w:pStyle w:val="SourceNote"/>
      </w:pPr>
      <w:r>
        <w:rPr>
          <w:b/>
        </w:rPr>
        <w:t>Available abstract (not full text):</w:t>
      </w:r>
      <w:r>
        <w:t xml:space="preserve"> Résumé De 2014 à 2016, la lutte contre la maladie à virus Ebola a provoqué une série de controverses liées au régime d’intervention auprès des populations en Afrique de l’Ouest. Dans cette crise, les Médecins Sans Frontières (MSF) et les experts de l’Organisation Mondiale de la Santé (OMS) ont tout particulièrement occupé le devant de la scène. Ces deux poids lourds du système de santé globale se sont affrontés au sein d’arènes de négociation techniques sur le terrain de l’efficacité de la réponse, sur les moyens d’endiguer l’épidémie, sur l’attitude à adopter face aux populations affectées. Les tensions révèlent les implicites de modes d’intervention génériques, et véhiculent difficilement remis en cause par les acteurs de la réponse. L’objectif dans cet article est de déployer une analyse capable de présenter une incarnation des débats en actes autour de trois controverses concrètes : i) la lenteur de réaction de l’Organisation Mondiale de la Santé à déclarer une urgence de santé publique de portée internationale ; ii) la mise à jour des protocoles concernant les Equipements de Protection Individuelle (EPI) utilisés sur le terrain par les soignants ; et iii) le non-engagement principalement de l’organisation MSF dans des solutions alternatives au centre de traitement centralisé. En conclusion, on présentera comment des savoirs importants pour l’action, venant en particulier d</w:t>
      </w:r>
    </w:p>
    <w:p>
      <w:pPr/>
      <w:r>
        <w:rPr>
          <w:b/>
        </w:rPr>
        <w:t>POSSIBLE 2019:</w:t>
      </w:r>
      <w:r>
        <w:t xml:space="preserve"> Dans les coulisses de la gestion de l’épidémie Ebola en Afrique de l’Ouest (2014-2016) : l’ère de l’« OMSF » — https://doi.org/10.1684/sss.2019.0139</w:t>
      </w:r>
    </w:p>
    <w:p>
      <w:pPr/>
      <w:r>
        <w:rPr>
          <w:b/>
        </w:rPr>
        <w:t>Shared claim-specific concepts:</w:t>
      </w:r>
      <w:r>
        <w:t xml:space="preserve"> les, pour, une, cet, article; EU scope not established. This is a provisional connection, not an outcome finding.</w:t>
      </w:r>
    </w:p>
    <w:p>
      <w:pPr>
        <w:pStyle w:val="SourceNote"/>
      </w:pPr>
      <w:r>
        <w:rPr>
          <w:b/>
        </w:rPr>
        <w:t>Available abstract (not full text):</w:t>
      </w:r>
      <w:r>
        <w:t xml:space="preserve"> De 2014 à 2016, la lutte contre la maladie à virus Ebola a provoqué une série de controverses liées au régime d'intervention auprès des populations en Afrique de l'Ouest. Dans cette crise, les Médecins Sans Frontières (MSF) et les experts de l'Organisation Mondiale de la Santé(OMS) ont tout particulièrement occupé le devant de la scène. Ces deux poids lourds du système de santé globale se sont affrontés au sein d'arènes de négociation techniques sur le terrain de l'efficacité de la réponse, sur les moyens d'endiguer l'épidémie, sur l'attitude à adopter face aux populations affectées. Les tensions révèlent les implicites de modes d'intervention génériques difficilement remis en cause par les acteurs de la réponse. L'objectif dans cet article est de déployer une analyse capable de présenter une incarnation des débats en actes autour de trois controverses concrètes : i) la lenteur de réaction de l'Organisation Mondiale de la Santé à déclarer une urgence de santé publique de portée internationale ; ii) la mise à jour des protocoles concernant les Equipements de Protection Individuelle (EPI) utilisés sur le terrain par les soignants ; et iii) le non-engagement principalement de l'organisation MSF dans des solutions alternatives au centre de traitement centralisé. En conclusion, on présentera comment des savoirs importants pour l'action, venant en particulier des anthropologues sembl</w:t>
      </w:r>
    </w:p>
    <w:p>
      <w:pPr/>
      <w:r>
        <w:rPr>
          <w:b/>
        </w:rPr>
        <w:t>POSSIBLE 2019:</w:t>
      </w:r>
      <w:r>
        <w:t xml:space="preserve"> Essays in industrial organization : competition and regulation in network industries — https://doi.org/10.70675/4dbdf65ezf0cez4968zbc9cz5bb6629ecaf3</w:t>
      </w:r>
    </w:p>
    <w:p>
      <w:pPr/>
      <w:r>
        <w:rPr>
          <w:b/>
        </w:rPr>
        <w:t>Shared claim-specific concepts:</w:t>
      </w:r>
      <w:r>
        <w:t xml:space="preserve"> second; EU scope not established. This is a provisional connection, not an outcome finding.</w:t>
      </w:r>
    </w:p>
    <w:p>
      <w:pPr>
        <w:pStyle w:val="SourceNote"/>
      </w:pPr>
      <w:r>
        <w:rPr>
          <w:b/>
        </w:rPr>
        <w:t>Available abstract (not full text):</w:t>
      </w:r>
      <w:r>
        <w:t xml:space="preserve"> In the first chapter of the thesis, I study how merger policy affects the choice between in-market and cross-border merging. An insight of the first chapter is that the merger policy should consider subsequent mergers triggered by an initial decision to merge, which here corresponds to the scenario of an exit-by-merger after a failed cross-border merger. In the second chapter of the thesis, I examine the impact of competition between a private firm and public firms on prices and investment in new infrastructures. An insight from this analysis is that due to distinct objective functions, the private firm charges the monopoly price when it is a monopoly, while the national public firm charges a price such that it cross-subsidizes between low-cost and high-cost areas. Local public firms charge prices contingent on the investment cost in their own area. In monopoly, the national public has the largest coverage, whereas the local public firms cover the same areas as the private firm. In mixed duopoly, prices are strategic complements for the private firm and are strategic substitutes for public firms. Competition leads the private firm to set lower prices, while public firms may charge higher prices. In the third chapter of the thesis, I investigate the impact of competition between two firms in prices and information disclosure levels. In a two-sided market, there are consumers on </w:t>
      </w:r>
    </w:p>
    <w:p>
      <w:pPr>
        <w:pStyle w:val="Heading2"/>
      </w:pPr>
      <w:r>
        <w:t>841.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2024:</w:t>
      </w:r>
      <w:r>
        <w:t xml:space="preserve"> Machine learning for efficient segregation and labeling of potential biological sounds in long-term underwater recordings — https://doi.org/10.3389/frsen.2024.1390687</w:t>
      </w:r>
    </w:p>
    <w:p>
      <w:pPr/>
      <w:r>
        <w:rPr>
          <w:b/>
        </w:rPr>
        <w:t>Shared claim-specific concepts:</w:t>
      </w:r>
      <w:r>
        <w:t xml:space="preserve"> long-term, biological, provide, data, however; EU scope visible. This is a provisional connection, not an outcome finding.</w:t>
      </w:r>
    </w:p>
    <w:p>
      <w:pPr>
        <w:pStyle w:val="SourceNote"/>
      </w:pPr>
      <w:r>
        <w:rPr>
          <w:b/>
        </w:rPr>
        <w:t>Available abstract (not full text):</w:t>
      </w:r>
      <w:r>
        <w:t xml:space="preserve"> Studying marine soundscapes by detecting known sound events and quantifying their spatio-temporal patterns can provide ecologically relevant information. However, the exploration of underwater sound data to find and identify possible sound events of interest can be highly time-intensive for human analysts. To speed up this process, we propose a novel methodology that first detects all the potentially relevant acoustic events and then clusters them in an unsupervised way prior to manual revision. We demonstrate its applicability on a short deployment. To detect acoustic events, a deep learning object detection algorithm from computer vision (YOLOv8) is re-trained to detect any (short) acoustic event. This is done by converting the audio to spectrograms using sliding windows longer than the expected sound events of interest. The model detects any event present on that window and provides their time and frequency limits. With this approach, multiple events happening simultaneously can be detected. To further explore the possibilities to limit the human input needed to create the annotations to train the model, we propose an active learning approach to select the most informative audio files in an iterative manner for subsequent manual annotation. The obtained detection models are trained and tested on a dataset from the Belgian Part of the North Sea, and then further evaluated for</w:t>
      </w:r>
    </w:p>
    <w:p>
      <w:pPr/>
      <w:r>
        <w:rPr>
          <w:b/>
        </w:rPr>
        <w:t>POSSIBLE 2024:</w:t>
      </w:r>
      <w:r>
        <w:t xml:space="preserve"> Toward DNA-Based Recording of Biological Processes — https://doi.org/10.3390/ijms25179233</w:t>
      </w:r>
    </w:p>
    <w:p>
      <w:pPr/>
      <w:r>
        <w:rPr>
          <w:b/>
        </w:rPr>
        <w:t>Shared claim-specific concepts:</w:t>
      </w:r>
      <w:r>
        <w:t xml:space="preserve"> biological, recording, data; EU scope not established. This is a provisional connection, not an outcome finding.</w:t>
      </w:r>
    </w:p>
    <w:p>
      <w:pPr>
        <w:pStyle w:val="SourceNote"/>
      </w:pPr>
      <w:r>
        <w:rPr>
          <w:b/>
        </w:rPr>
        <w:t>Available abstract (not full text):</w:t>
      </w:r>
      <w:r>
        <w:t xml:space="preserve"> Exploiting the inherent compatibility of DNA-based data storage with living cells, various cellular recording approaches have been developed for recording and retrieving biologically relevant signals in otherwise inaccessible locations, such as inside the body. This review provides an overview of the current state of engineered cellular memory systems, highlighting their design principles, advantages, and limitations. We examine various technologies, including CRISPR-Cas systems, recombinases, retrons, and DNA methylation, that enable these recording systems. Additionally, we discuss potential strategies for improving recording accuracy, scalability, and durability to address current limitations in the field. This emerging modality of biological measurement will be key to gaining novel insights into diverse biological processes and fostering the development of various biotechnological applications, from environmental sensing to disease monitoring and beyond.</w:t>
      </w:r>
    </w:p>
    <w:p>
      <w:pPr/>
      <w:r>
        <w:rPr>
          <w:b/>
        </w:rPr>
        <w:t>POSSIBLE 2024:</w:t>
      </w:r>
      <w:r>
        <w:t xml:space="preserve"> Acute to long-term characteristics of impedance recordings during neurostimulation in humans — https://doi.org/10.1088/1741-2552/ad3416</w:t>
      </w:r>
    </w:p>
    <w:p>
      <w:pPr/>
      <w:r>
        <w:rPr>
          <w:b/>
        </w:rPr>
        <w:t>Shared claim-specific concepts:</w:t>
      </w:r>
      <w:r>
        <w:t xml:space="preserve"> long-term, biological, recording, data, other; EU scope not established. This is a provisional connection, not an outcome finding.</w:t>
      </w:r>
    </w:p>
    <w:p>
      <w:pPr>
        <w:pStyle w:val="SourceNote"/>
      </w:pPr>
      <w:r>
        <w:rPr>
          <w:b/>
        </w:rPr>
        <w:t>Available abstract (not full text):</w:t>
      </w:r>
      <w:r>
        <w:t xml:space="preserve"> Objective: This study aims to characterize the time course of impedance, a crucial electrophysiological property of brain tissue, in the human thalamus (THL), amygdala-hippocampus (AMG-HPC), and posterior hippocampus (post-HPC) over an extended period. Approach: Impedance was periodically sampled every 5-15 minutes over several months in five subjects with drug-resistant epilepsy using an experimental neuromodulation device. Initially, we employed descriptive piecewise and continuous mathematical models to characterize the impedance response for approximately three weeks post-electrode implantation. We then explored the temporal dynamics of impedance during periods when electrical stimulation was temporarily halted, observing a monotonic increase (rebound) in impedance before it stabilized at a higher value. Lastly, we assessed the stability of amplitude and phase over the 24-hour impedance cycle throughout the multi-month recording. Main results: Immediately post-implantation, the impedance decreased, reaching a minimum value in all brain regions within approximately two days, and then increased monotonically over about 14 days to a stable value. The models accounted for the variance in short-term impedance changes. Notably, the minimum impedance of the THL in the most epileptogenic hemisphere was significantly lower than in other regions. During the gaps in electrical stimula</w:t>
      </w:r>
    </w:p>
    <w:p>
      <w:pPr/>
      <w:r>
        <w:rPr>
          <w:b/>
        </w:rPr>
        <w:t>POSSIBLE 2022:</w:t>
      </w:r>
      <w:r>
        <w:t xml:space="preserve"> Long-term SCN calcium signal recording in freely moving mice — https://doi.org/10.1016/j.xpro.2022.101547</w:t>
      </w:r>
    </w:p>
    <w:p>
      <w:pPr/>
      <w:r>
        <w:rPr>
          <w:b/>
        </w:rPr>
        <w:t>Shared claim-specific concepts:</w:t>
      </w:r>
      <w:r>
        <w:t xml:space="preserve"> long-term, biological, recording, provide; EU scope not established. This is a provisional connection, not an outcome finding.</w:t>
      </w:r>
    </w:p>
    <w:p>
      <w:pPr>
        <w:pStyle w:val="SourceNote"/>
      </w:pPr>
      <w:r>
        <w:rPr>
          <w:b/>
        </w:rPr>
        <w:t>Available abstract (not full text):</w:t>
      </w:r>
      <w:r>
        <w:t xml:space="preserve"> The suprachiasmatic nucleus (SCN) is the master circadian pacemaker of the mammalian biological clock. Here, we provide a detailed protocol for long-term recording of calcium signals in SCN neurons of freely moving mice through a multichannel optical fiber recording system. This system can simultaneously collect calcium signals from up to seven animals. The calcium signals can be visualized by the appropriate software and code. This protocol can be used to explore the long-term response of SCN to external environmental stimulation. For complete details on the use and execution of this protocol, please refer to Zhai et al. (2022).</w:t>
      </w:r>
    </w:p>
    <w:p>
      <w:pPr/>
      <w:r>
        <w:rPr>
          <w:b/>
        </w:rPr>
        <w:t>POSSIBLE 2022:</w:t>
      </w:r>
      <w:r>
        <w:t xml:space="preserve"> 3D Bioelectronics with a Remodellable Matrix for Long‐Term Tissue Integration and Recording — https://doi.org/10.1002/adma.202207847</w:t>
      </w:r>
    </w:p>
    <w:p>
      <w:pPr/>
      <w:r>
        <w:rPr>
          <w:b/>
        </w:rPr>
        <w:t>Shared claim-specific concepts:</w:t>
      </w:r>
      <w:r>
        <w:t xml:space="preserve"> long-term, recording, however; EU scope not established. This is a provisional connection, not an outcome finding.</w:t>
      </w:r>
    </w:p>
    <w:p>
      <w:pPr>
        <w:pStyle w:val="SourceNote"/>
      </w:pPr>
      <w:r>
        <w:rPr>
          <w:b/>
        </w:rPr>
        <w:t>Available abstract (not full text):</w:t>
      </w:r>
      <w:r>
        <w:t xml:space="preserve"> Bioelectronics hold the key for understanding and treating disease. However, achieving stable, long-term interfaces between electronics and the body remains a challenge. Implantation of a bioelectronic device typically initiates a foreign body response, which can limit long-term recording and stimulation efficacy. Techniques from regenerative medicine have shown a high propensity for promoting integration of implants with surrounding tissue, but these implants lack the capabilities for the sophisticated recording and actuation afforded by electronics. Combining these two fields can achieve the best of both worlds. Here, the construction of a hybrid implant system for creating long-term interfaces with tissue is shown. Implants are created by combining a microelectrode array with a bioresorbable and remodellable gel. These implants are shown to produce a minimal foreign body response when placed into musculature, allowing one to record long-term electromyographic signals with high spatial resolution. This device platform drives the possibility for a new generation of implantable electronics for long-term interfacing.</w:t>
      </w:r>
    </w:p>
    <w:p>
      <w:pPr/>
      <w:r>
        <w:rPr>
          <w:b/>
        </w:rPr>
        <w:t>POSSIBLE 2022:</w:t>
      </w:r>
      <w:r>
        <w:t xml:space="preserve"> Open set classification strategies for long-term environmental field recordings for bird species recognition — https://doi.org/10.1121/10.0011466</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Deep learning is one established tool for carrying out classification tasks on complex, multi-dimensional data. Since audio recordings contain a frequency and temporal component, long-term monitoring of bioacoustics recordings is made more feasible with these computational frameworks. Unfortunately, these neural networks are rarely designed for the task of open set classification in which examples belonging to the training classes must not only be correctly classified but also crucially separated from any spurious or unknown classes. To combat this reliance on closed set classifiers which are singularly inappropriate for monitoring applications in which many non-relevant sounds are likely to be encountered, the performance of several open set classification frameworks is compared on environmental audio datasets recorded and published within this work, containing both biological and anthropogenic sounds. The inference-based open set classification techniques include prediction score thresholding, distance-based thresholding, and OpenMax. Each open set classification technique is evaluated under multi-, single-, and cross-corpus scenarios for two different types of unknown data, configured to highlight common challenges inherent to real-world classification tasks. The performance of each method is highly dependent upon the degree of similarity between the training, testing, and u</w:t>
      </w:r>
    </w:p>
    <w:p>
      <w:pPr/>
      <w:r>
        <w:rPr>
          <w:b/>
        </w:rPr>
        <w:t>POSSIBLE 2021:</w:t>
      </w:r>
      <w:r>
        <w:t xml:space="preserve"> Long-term in-vivo recording performance of flexible penetrating microelectrode arrays — https://doi.org/10.1088/1741-2552/ac3656</w:t>
      </w:r>
    </w:p>
    <w:p>
      <w:pPr/>
      <w:r>
        <w:rPr>
          <w:b/>
        </w:rPr>
        <w:t>Shared claim-specific concepts:</w:t>
      </w:r>
      <w:r>
        <w:t xml:space="preserve"> long-term, biological, recording, often, because, other; EU scope not established. This is a provisional connection, not an outcome finding.</w:t>
      </w:r>
    </w:p>
    <w:p>
      <w:pPr>
        <w:pStyle w:val="SourceNote"/>
      </w:pPr>
      <w:r>
        <w:rPr>
          <w:b/>
        </w:rPr>
        <w:t>Available abstract (not full text):</w:t>
      </w:r>
      <w:r>
        <w:t xml:space="preserve"> Abstract Objective. Neural interfaces are an essential tool to enable the human body to directly communicate with machines such as computers or prosthetic robotic arms. Since invasive electrodes can be located closer to target neurons, they have advantages such as precision in stimulation and high signal-to-noise ratio (SNR) in recording, while they often exhibit unstable performance in long-term in-vivo implantation because of the tissue damage caused by the electrodes insertion. In the present study, we investigated the electrical functionality of flexible penetrating microelectrode arrays (FPMAs) up to 3 months in in-vivo conditions. Approach. The in-vivo experiment was performed by implanting FPMAs in five rats. The in-vivo impedance as well as the action potential (AP) amplitude and SNR were analyzed over weeks. Additionally, APs were tracked over time to investigate the possibility of single neuron recording. Main results. It was observed that the FPMAs exhibited dramatic increases in impedance for the first 4 weeks after implantation, accompanied by decreases in AP amplitude. However, the increase/decrease in AP amplitude was always accompanied by the increase/decrease in background noise, resulting in quite consistently maintained SNRs. After 4 weeks of implantation, we observed two distinctive issues regarding long-term implantation, each caused by chronic tissue respo</w:t>
      </w:r>
    </w:p>
    <w:p>
      <w:pPr/>
      <w:r>
        <w:rPr>
          <w:b/>
        </w:rPr>
        <w:t>POSSIBLE 2020:</w:t>
      </w:r>
      <w:r>
        <w:t xml:space="preserve"> Long-Term Rewritable Report and Recording of Environmental Stimuli in Engineered Bacterial Populations — https://doi.org/10.1021/acssynbio.0c00193</w:t>
      </w:r>
    </w:p>
    <w:p>
      <w:pPr/>
      <w:r>
        <w:rPr>
          <w:b/>
        </w:rPr>
        <w:t>Shared claim-specific concepts:</w:t>
      </w:r>
      <w:r>
        <w:t xml:space="preserve"> long-term, biological, recording, capture, other, however; EU scope not established. This is a provisional connection, not an outcome finding.</w:t>
      </w:r>
    </w:p>
    <w:p>
      <w:pPr>
        <w:pStyle w:val="SourceNote"/>
      </w:pPr>
      <w:r>
        <w:rPr>
          <w:b/>
        </w:rPr>
        <w:t>Available abstract (not full text):</w:t>
      </w:r>
      <w:r>
        <w:t xml:space="preserve"> DNA writing (living sensing recorders) based whole-cell biosensors can capture transient signals and then convert them into readable genomic DNA changes. The primitive signals can be easily obtained by sequencing technology or analysis of protein activity (such as fluorescent protein). However, the functions of the current living sensing recorders still need to be expanded, and the difficulty of rewriting in complex biological environments has further limited their applications. In this study, we designed a long-term rewritable recording system using a CRISPR base editor-based synthetic genetic circuit, named CRISPR-istop. This system can convert stimuli into changes in the fluorescence intensity (reporter) and single-base mutations in genomic DNA (recording). Furthermore, we updated the biological circuit through the strategy of coupling the single-base mutation (record site) and the loss-of-function of the targeted protein (translation stopped by stop codon introduction), and we can remove edited bacteria from a population through selective sweeps upon applying a selective pressure. It successfully conducted the rewritable reporter and recording of the nutrient arabinose and pollutant arsenite with two rounds of continuous operation (10 passages/round, 12 h/passage). These observations indicated that the CRISPR-istop system can report and record stimuli over time; moreover, t</w:t>
      </w:r>
    </w:p>
    <w:p>
      <w:pPr/>
      <w:r>
        <w:rPr>
          <w:b/>
        </w:rPr>
        <w:t>POSSIBLE 2020:</w:t>
      </w:r>
      <w:r>
        <w:t xml:space="preserve"> Does Citizen Science Biological Recording Tell Us As Much About The Recorders As Biodiversity? — https://doi.org/10.31219/osf.io/bsye5</w:t>
      </w:r>
    </w:p>
    <w:p>
      <w:pPr/>
      <w:r>
        <w:rPr>
          <w:b/>
        </w:rPr>
        <w:t>Shared claim-specific concepts:</w:t>
      </w:r>
      <w:r>
        <w:t xml:space="preserve"> biological, recording, however; EU scope not established. This is a provisional connection, not an outcome finding.</w:t>
      </w:r>
    </w:p>
    <w:p>
      <w:pPr>
        <w:pStyle w:val="SourceNote"/>
      </w:pPr>
      <w:r>
        <w:rPr>
          <w:b/>
        </w:rPr>
        <w:t>Available abstract (not full text):</w:t>
      </w:r>
      <w:r>
        <w:t xml:space="preserve"> There is growing body of evidence that a connection to nature is important at both an individual emotional level, and for the development of societal attitudes that rank conservation issues as important, however, there is widespread loss of this connection in modern lifestyles. The recruitment of community stakeholders into Citizen Science biodiversity projects is one mechanism that may help to restore that connection, while at the same time providing outcomes of scientific value. However, the narrative describing such projects tends to use a fundamentally Apollonian view of science, which casts the researcher as an impartial observer and operates within a carefully designed methodology to guide the contributions from volunteer stakeholders. While this is a convenient model for formally reporting scientific outcomes, it masks individual immersive engagement.</w:t>
      </w:r>
    </w:p>
    <w:p>
      <w:pPr>
        <w:pStyle w:val="Heading2"/>
      </w:pPr>
      <w:r>
        <w:t>842.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2016:</w:t>
      </w:r>
      <w:r>
        <w:t xml:space="preserve"> Brexit and Europe. A Commentary — https://doi.org/10.1515/soeu-2016-0031</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The Brexit vote was not simply a rejection of the European Union but also of a politics based on calculated self-interest or reasoned idealism. The author outlines how the referendum came about, provides crucial background information, and analyses its results. The reasons for the success of the Leave campaign are concisely presented, including the role of parties other than the Labour and Tory parties and that of the media in promoting, instead of critically assessing, a campaign characterized by exaggerated, even false claims. In his outlook towards the future, the author focuses on the UK/EU relationship and the internal constitutional crisis the Brexit vote has created and the dangers these pose for (further) destabilisation both of Britain and Europe.</w:t>
      </w:r>
    </w:p>
    <w:p>
      <w:pPr/>
      <w:r>
        <w:rPr>
          <w:b/>
        </w:rPr>
        <w:t>POSSIBLE 2016:</w:t>
      </w:r>
      <w:r>
        <w:t xml:space="preserve"> Applied Anthropology in Europe — https://doi.org/10.3167/aia.2016.230208</w:t>
      </w:r>
    </w:p>
    <w:p>
      <w:pPr/>
      <w:r>
        <w:rPr>
          <w:b/>
        </w:rPr>
        <w:t>Shared claim-specific concepts:</w:t>
      </w:r>
      <w:r>
        <w:t xml:space="preserve"> abstract, outlines, importance; EU scope visible. This is a provisional connection, not an outcome finding.</w:t>
      </w:r>
    </w:p>
    <w:p>
      <w:pPr>
        <w:pStyle w:val="SourceNote"/>
      </w:pPr>
      <w:r>
        <w:rPr>
          <w:b/>
        </w:rPr>
        <w:t>Available abstract (not full text):</w:t>
      </w:r>
      <w:r>
        <w:t xml:space="preserve"> Abstract The article presents the state of applied anthropology in Europe, in particular focusing on the application of anthropological knowledge and skills within the private sector. Firstly, the text depicts the historical context, which has had a strong and often negative impact on the developments in contemporary applied anthropology and specifically on applying anthropology in for-profit endeavours. It then provides an overview of this type of applied anthropology in Europe by identifying its main institutions and individuals. Building on this analysis, the article elaborates on extant challenges for its future development, and outlines the most promising solutions. The authors conclude that it is of crucial importance for European anthropology to make the transition ‘from words to actions’, especially in the areas not traditionally addressed by anthropologists, such as business and design anthropology or consultancy work in the private sector. While the discipline has a longer applied history in areas such as development, human rights and multiculturalism, few anthropologists have played significant roles in the efforts usually associated with the private sector. It is argued that anthropology should – also outside the non-profit and non-governmental sectors – shift from being a descriptive, hermeneutical and interpretative branch of social sciences describing and explain</w:t>
      </w:r>
    </w:p>
    <w:p>
      <w:pPr>
        <w:pStyle w:val="Heading2"/>
      </w:pPr>
      <w:r>
        <w:t>843.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2023:</w:t>
      </w:r>
      <w:r>
        <w:t xml:space="preserve"> Examining the Role of Motivation Cues from Narratives in Online Time Bank Participating Decisions — https://doi.org/10.21203/rs.3.rs-2694840/v1</w:t>
      </w:r>
    </w:p>
    <w:p>
      <w:pPr/>
      <w:r>
        <w:rPr>
          <w:b/>
        </w:rPr>
        <w:t>Shared claim-specific concepts:</w:t>
      </w:r>
      <w:r>
        <w:t xml:space="preserve"> time, banks, value; EU scope not established. This is a provisional connection, not an outcome finding.</w:t>
      </w:r>
    </w:p>
    <w:p>
      <w:pPr>
        <w:pStyle w:val="SourceNote"/>
      </w:pPr>
      <w:r>
        <w:rPr>
          <w:b/>
        </w:rPr>
        <w:t>Available abstract (not full text):</w:t>
      </w:r>
      <w:r>
        <w:t xml:space="preserve"> Abstract Time bank known as “Community/Neighborhood Pension”, provides a new solution to fulfill the unmet service needs of community members with idle community resources. The operation of time banks relies on the active participation of community members. Therefore, in this study we investigate the motivation of members to participate in web-based time banks from a service requirement narrative perspective. Drawing on grounded theory and self-determination theory, we built a model to assess how intrinsic and extrinsic cues underlying service requirement narratives affect time bank participation decisions of service providers. To test our hypotheses, we conducted a regression analysis of 12339 projects from the “Nansha Time Bank” (a web-based time bank) platform in China. We find that participants respond positively to time coin returns and narratives highlighting social connection and value fulfillment but respond negatively to service hour costs and empathy-altruism cues.</w:t>
      </w:r>
    </w:p>
    <w:p>
      <w:pPr/>
      <w:r>
        <w:rPr>
          <w:b/>
        </w:rPr>
        <w:t>POSSIBLE 2022:</w:t>
      </w:r>
      <w:r>
        <w:t xml:space="preserve"> Research on Time Bank Mutual Pension Model under the Background of Aging Population — https://doi.org/10.54097/fbem.v6i3.3312</w:t>
      </w:r>
    </w:p>
    <w:p>
      <w:pPr/>
      <w:r>
        <w:rPr>
          <w:b/>
        </w:rPr>
        <w:t>Shared claim-specific concepts:</w:t>
      </w:r>
      <w:r>
        <w:t xml:space="preserve"> time, value, people; EU scope not established. This is a provisional connection, not an outcome finding.</w:t>
      </w:r>
    </w:p>
    <w:p>
      <w:pPr>
        <w:pStyle w:val="SourceNote"/>
      </w:pPr>
      <w:r>
        <w:rPr>
          <w:b/>
        </w:rPr>
        <w:t>Available abstract (not full text):</w:t>
      </w:r>
      <w:r>
        <w:t xml:space="preserve"> With the aging of the population,the-age security of low-income urban and rural resident,who account for about 70% of china’s total population,has become an important issue related to the national economy and people’s livelihood,and also a short board to be solved urgently in building a socialist modernization power[1].Mutual support for the aged is a new pension model that transcends the blood relationship, can assist the family to provide for the aged, and solve the pension problem with the help of social forces. In this model, the concept of "time money" is introduced and merged into a brand-new mutual support model "Time Bank". China's "Time Bank" mechanism is still in the development stage, and there are still some problems from the current operation of this new pension model in China. In order to promote the extensive development of Time Bank, this paper makes a theoretical analysis on the conversion of time currency value, withdrawal and deposit, the conversion of labor value and time currency value in Time Bank, and the inheritance of time currency savings, so as to create an all-round, wide-area, multi-level and integrated old-age service ecology, create a service-oriented old-age model with China characteristics, and contribute to China's wisdom and China's plan for solving the world's old-age problems.</w:t>
      </w:r>
    </w:p>
    <w:p>
      <w:pPr/>
      <w:r>
        <w:rPr>
          <w:b/>
        </w:rPr>
        <w:t>POSSIBLE 2021:</w:t>
      </w:r>
      <w:r>
        <w:t xml:space="preserve"> Time's up: Analyzing the feminist potential of time banks — https://doi.org/10.1111/gwao.12691</w:t>
      </w:r>
    </w:p>
    <w:p>
      <w:pPr/>
      <w:r>
        <w:rPr>
          <w:b/>
        </w:rPr>
        <w:t>Shared claim-specific concepts:</w:t>
      </w:r>
      <w:r>
        <w:t xml:space="preserve"> time, banks, particularly, they, address; EU scope not established. This is a provisional connection, not an outcome finding.</w:t>
      </w:r>
    </w:p>
    <w:p>
      <w:pPr>
        <w:pStyle w:val="SourceNote"/>
      </w:pPr>
      <w:r>
        <w:rPr>
          <w:b/>
        </w:rPr>
        <w:t>Available abstract (not full text):</w:t>
      </w:r>
      <w:r>
        <w:t xml:space="preserve"> Abstract Time banks are an alternative economic system proposed to address social problems by stimulating work and exchange through time‐based currency. They aim to redefine work and money, through building social capital to alleviate social problems. As women are disproportionately affected by these problems, it follows that membership is predominantly female, often poor. This article takes the position that time banks provide a lens through which to theorize the feminist potential of alternative forms of economic organization. It examines the ways in which feminists, and time banks, have sought to redefine the concepts of work and money, as well as the context of time banks within the Third Sector. “The reality” of these concepts in practice is then critically analyzed using empirical data from a year as an active participant within a time bank. The findings demonstrate the complex issues regarding how the time bank functioned in practice, particularly in relation to how members engaged with it, and articulated their participation. Further, the way in which the system co‐opted feminist potentials of alternative economic practices as part of the Third Sector, through a conception of social capital, is shown to be problematic in terms of exploiting the energies of already exploited women. This research shows the need for ongoing critical examination of initiatives targeted at s</w:t>
      </w:r>
    </w:p>
    <w:p>
      <w:pPr/>
      <w:r>
        <w:rPr>
          <w:b/>
        </w:rPr>
        <w:t>POSSIBLE 2018:</w:t>
      </w:r>
      <w:r>
        <w:t xml:space="preserve"> Time Banks as Aging-in-Place Initiatives — https://openalex.org/W2900139510</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There has been growing concern over how state and federal governments can support the increasing population of aging Americans and their need for long-term care. Current insurance funding models cover acute hospitalization and skilled care only, leaving unskilled care needs and homemaker services at the full expense of those in need. Time banking allows individuals to exchange or barter time for goods or services without monetary payment. There is insufficient evidence to determine if members believe time banks to be a viable alternative to support aging-in-place care needs. This phenomenological study explored time banking as a potential vehicle for nonskilled health care support to defray health care costs as one ages. Ostrom's co-production theory provided the theoretical foundation for the research questions, which examined the participants' lived experiences with the role time banks played in their decision to age in place. Face-to-face interviews were conducted with 10 Southern California time bank participants, age 50 years or older. Using a Moustakas-modified van Kaam method and a priori coding emergent themes were extracted. Study findings illustrated that time bank participation did support aspects of nonskilled health care needs and provided members with confident options for aging in place. Study findings also indicated a need for continued collaborations between pr</w:t>
      </w:r>
    </w:p>
    <w:p>
      <w:pPr/>
      <w:r>
        <w:rPr>
          <w:b/>
        </w:rPr>
        <w:t>POSSIBLE 2017:</w:t>
      </w:r>
      <w:r>
        <w:t xml:space="preserve"> The Institutionalization of Alternative Economies: The Processes of Objectification in Time Banks — https://openalex.org/W7219320224</w:t>
      </w:r>
    </w:p>
    <w:p>
      <w:pPr/>
      <w:r>
        <w:rPr>
          <w:b/>
        </w:rPr>
        <w:t>Shared claim-specific concepts:</w:t>
      </w:r>
      <w:r>
        <w:t xml:space="preserve"> time, banks, different, not; EU scope not established. This is a provisional connection, not an outcome finding.</w:t>
      </w:r>
    </w:p>
    <w:p>
      <w:pPr>
        <w:pStyle w:val="SourceNote"/>
      </w:pPr>
      <w:r>
        <w:rPr>
          <w:b/>
        </w:rPr>
        <w:t>Available abstract (not full text):</w:t>
      </w:r>
      <w:r>
        <w:t xml:space="preserve"> This paper explores the institutionalization process of complementary currencies; understanding the institutionalization of alternative economies is key in order to assess their sustainability. Drawing from neo-institutional theory, the paper examines the objectification processes in a sample of Spanish and Greek recently formed time banks. The paper focuses on the rationalization stage, i.e. when rules, practices and symbols are embedded in the organization, and studies how symbols and norms establish the framework for social interaction and make the common space of action visible. The main finding of this paper is that timebanking is subject to multiple logics, both inter and intra time banks. These logics lead to adopt different organizational forms, promote disparate forms of actorhood, and adopt different pricing and accounting systems. Yet, these objects are not aligned with one another, and tensions between the symbolic and the functional are found. Institutionalization is not yet complete as there are still missing blended models that bridge multiple logics.</w:t>
      </w:r>
    </w:p>
    <w:p>
      <w:pPr/>
      <w:r>
        <w:rPr>
          <w:b/>
        </w:rPr>
        <w:t>POSSIBLE 2016:</w:t>
      </w:r>
      <w:r>
        <w:t xml:space="preserve"> How alternative consumer markets can build community resiliency — https://doi.org/10.1108/ejm-12-2014-0802</w:t>
      </w:r>
    </w:p>
    <w:p>
      <w:pPr/>
      <w:r>
        <w:rPr>
          <w:b/>
        </w:rPr>
        <w:t>Shared claim-specific concepts:</w:t>
      </w:r>
      <w:r>
        <w:t xml:space="preserve"> time, banks, particularly, services, value; EU scope not established. This is a provisional connection, not an outcome finding.</w:t>
      </w:r>
    </w:p>
    <w:p>
      <w:pPr>
        <w:pStyle w:val="SourceNote"/>
      </w:pPr>
      <w:r>
        <w:rPr>
          <w:b/>
        </w:rPr>
        <w:t>Available abstract (not full text):</w:t>
      </w:r>
      <w:r>
        <w:t xml:space="preserve"> Purpose Time banking is a form of alternative consumer market where members trade services, non-reciprocally creating a local marketplace for services. Time Banks facilitate dyadic exchanges, meeting members’ practical needs and building diverse skills. The purpose of this research was to determine the broad capabilities developed in the Time Bank economy, and to demonstrate how these capabilities were mobilised following a series of earthquakes, contributing to the larger community’s resiliency. Design/methodology/approach Taking an ethnographic approach, data were collected using a variety of methods including interviews, focus groups, participant observation and secondary research. Findings Over time, this alternative consumer market developed a significant communication and social network that members activated to solve diverse practical problems facing the community. Similar to other exchange communities, the Time Bank also fostered a strong sense of community based on reciprocity and egalitarian values. Although the Time Bank was created as a marketplace to exchange local services, during a series of devastating earthquakes, it galvanised adaptive capacities, increasing the resiliency of the local community during disaster relief and reconstruction. Research limitations/implications The data were drawn from one alternative exchange system in New Zealand. Practical implica</w:t>
      </w:r>
    </w:p>
    <w:p>
      <w:pPr>
        <w:pStyle w:val="Heading2"/>
      </w:pPr>
      <w:r>
        <w:t>844.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Institutional and organisational change in the German rail transport sector. Working paper 3 of the study LowCarb-RFC - European Rail Freight Corridors going Carbon Neutral — https://doi.org/10.24406/publica-fhg-299027</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paper asks how the modal shift from road to rail in the freight sector is sup-ported by institutional change. Following North (1990), institutions are understood as the "rules of the game" in the rail freight sector. Based on the literature on institutional change, four different perspectives and mechanisms can be dis-cerned: institutional design, collective action, institutional adaptation, and institu-tional diffusion. Each of these perspectives examines the situation in the German rail freight sector from a different angle. Based on this analysis, processes of institutional change and their potential impact on modal shift are discussed. Fol-lowing the railway reform, new domestic and foreign competitors of DB Cargo have entered the rail freight market with business models tailored to promising segments. At the same time, this competition has triggered a transformative or-ganisational change initiative at DB Cargo, which is currently in the process of implementation. Even though the success of this initiatives is highly uncertain, in total, the described changes are likely to result in a higher competitiveness of the sector and a stronger orientation to customer needs. Furthermore, the road freight sector has increasingly come under political pressure due to its rising GHG emissions and rail transport is increasingly seen as a viable alternative. In this respect, the rece</w:t>
      </w:r>
    </w:p>
    <w:p>
      <w:pPr/>
      <w:r>
        <w:rPr>
          <w:b/>
        </w:rPr>
        <w:t>POSSIBLE 2022:</w:t>
      </w:r>
      <w:r>
        <w:t xml:space="preserve"> A review on Rail Transport in Europe and Italy — https://doi.org/10.1109/eeeic/icpseurope54979.2022.9854799</w:t>
      </w:r>
    </w:p>
    <w:p>
      <w:pPr/>
      <w:r>
        <w:rPr>
          <w:b/>
        </w:rPr>
        <w:t>Shared claim-specific concepts:</w:t>
      </w:r>
      <w:r>
        <w:t xml:space="preserve"> transport, sector, evolution; EU scope visible. This is a provisional connection, not an outcome finding.</w:t>
      </w:r>
    </w:p>
    <w:p>
      <w:pPr>
        <w:pStyle w:val="SourceNote"/>
      </w:pPr>
      <w:r>
        <w:rPr>
          <w:b/>
        </w:rPr>
        <w:t>Available abstract (not full text):</w:t>
      </w:r>
      <w:r>
        <w:t xml:space="preserve"> The paper describes the state of the art of passenger and freight rail transport in Italy and Europe taken into account market demand, consumption, emissions and costs. Present and future scenarios are analyzed (projections towards 2030 and 2050) to observe the evolution of rail transport and to evaluate how the demand for mobility will change and how the new development frontiers will impact pollution and economic management. Summarizing, the paper identifies the policies implemented to promote the railway sector and the existing limits to its development.</w:t>
      </w:r>
    </w:p>
    <w:p>
      <w:pPr/>
      <w:r>
        <w:rPr>
          <w:b/>
        </w:rPr>
        <w:t>POSSIBLE 2020:</w:t>
      </w:r>
      <w:r>
        <w:t xml:space="preserve"> Consuption and development of biofules in the European transport sector — https://doi.org/10.34726/hss.2020.73182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With the new European Union (EU) Renewable Energy Directive RED II adopted in 2018, the EU strives to increase consumption of renewable energy by 32 percent and to take a leading position in this regard by further reducing dependency on imported fossil fuels. Biofuels, such as bioethanol, biodiesel or biogas, play a significant role as the Directive fosters the consumption of them, as well as the further development of advanced biofuels, which is crucial for reducing greenhouse gas emissions and the decarbonisation of the transport sector in the EU. The future of biofuel development depends to a large extent on political support and decisions, as well as technological development and more intensive use of new raw materials such as lignocellulosic biomass or waste feedstock. In addition the reduction of feedstocks with a high risk of land use change are also discussed. This thesis describes biofuels currently available on the European market, as well as the development of advanced biofuels. Subsequently, the impact of this new Directive on the availability of biofuels in the transport sector are summarized</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transport, investments, industrial;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r>
        <w:rPr>
          <w:b/>
        </w:rPr>
        <w:t>POSSIBLE 2017:</w:t>
      </w:r>
      <w:r>
        <w:t xml:space="preserve"> Policy preferences and the diversity of instrument choice for mitigating climate change impacts in the transport sector — https://doi.org/10.1080/09640568.2017.1397505</w:t>
      </w:r>
    </w:p>
    <w:p>
      <w:pPr/>
      <w:r>
        <w:rPr>
          <w:b/>
        </w:rPr>
        <w:t>Shared claim-specific concepts:</w:t>
      </w:r>
      <w:r>
        <w:t xml:space="preserve"> transport, sector, challenges; EU scope visible. This is a provisional connection, not an outcome finding.</w:t>
      </w:r>
    </w:p>
    <w:p>
      <w:pPr>
        <w:pStyle w:val="SourceNote"/>
      </w:pPr>
      <w:r>
        <w:rPr>
          <w:b/>
        </w:rPr>
        <w:t>Available abstract (not full text):</w:t>
      </w:r>
      <w:r>
        <w:t xml:space="preserve"> Different policy approaches and responses to common environmental challenges, such as climate change, exist between countries, and sometimes even within countries. This situation arises because public policy-makers are not only driven by concerns of theoretical purity but are also influenced by a range of social, political, economic, cultural and administrative matters when selecting techniques or instruments to achieve specific policy goals. This article examines whether the diversity of stated policy instruments to tackle climate change mitigation in the transport sector can be explained according to national policy preferences in a European context. It also investigates whether the mix of national climate change policy instruments for transport exhibits temporal stability, even after national changes in political power. To do so, the article reviews a series of national policy documents that address climate change in the transport sector in four European countries with contrasting administrative traditions – France, Germany, Sweden and the United Kingdom.</w:t>
      </w:r>
    </w:p>
    <w:p>
      <w:pPr/>
      <w:r>
        <w:rPr>
          <w:b/>
        </w:rPr>
        <w:t>POSSIBLE 2017:</w:t>
      </w:r>
      <w:r>
        <w:t xml:space="preserve"> The European Union Strategy On Reducing Greenhouse Gases Emissions From The Transport Sector — https://openalex.org/W2955496990</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pace of the transition to a low carbon economy has been sped up lately while the European Union wants to become a world leader in combating climate change. In this context, reducing emissions from the transport sector represents an essential element in the strategy for the sustainable development of the society.The following paper aims to assess and analyze the main elements of the European Union's policy concerning the transition to a transport with low carbon emissions, including the increase of the efficiency of the transport system, accelerating the use of low-emission alternative energy or switching to zero-emission vehicles. Also, in this paper there will be assessed the degree of achievement of the objective of the share of energy from renewable sources in transport by the Member States of the European Union.</w:t>
      </w:r>
    </w:p>
    <w:p>
      <w:pPr/>
      <w:r>
        <w:rPr>
          <w:b/>
        </w:rPr>
        <w:t>POSSIBLE 2017:</w:t>
      </w:r>
      <w:r>
        <w:t xml:space="preserve"> Sectoral use of climate information in Europe: A synoptic overview — https://doi.org/10.1016/j.cliser.2017.06.001</w:t>
      </w:r>
    </w:p>
    <w:p>
      <w:pPr/>
      <w:r>
        <w:rPr>
          <w:b/>
        </w:rPr>
        <w:t>Shared claim-specific concepts:</w:t>
      </w:r>
      <w:r>
        <w:t xml:space="preserve"> transport, need; EU scope visible. This is a provisional connection, not an outcome finding.</w:t>
      </w:r>
    </w:p>
    <w:p>
      <w:pPr>
        <w:pStyle w:val="SourceNote"/>
      </w:pPr>
      <w:r>
        <w:rPr>
          <w:b/>
        </w:rPr>
        <w:t>Available abstract (not full text):</w:t>
      </w:r>
      <w:r>
        <w:t xml:space="preserve"> Society can benefit from usable climate information to better prepare and adapt to the risks and opportunities posed by climate variability and change. An adequate and effective provision of climate information – from historical observations through to seasonal forecasts, and multi-decadal climate change projections – is critical to inform planning and decision-making in climate-sensitive sectors. Central to this are the end-users of climate information and a growing emphasis on tailored climate information and services shaped by user needs. However, knowledge about the use of climate information across European economic sectors is limited. This paper identifies the spectrum of sectoral information requirements across a number of sectors including agriculture, forestry, energy, water, tourism, insurance, health, emergency services and transport sectors, drawing from an online survey (n = 462) and interviews with (potential) users of climate information (n = 80). This analysis reveals shared opportunities across sectors including the potential application of decadal climate predictions. In addition, common barriers and enablers to the uptake of climate information were also noted including the format of the information provided, the need for compatibility with existing in-house systems, and the perceived credibility and trust of information providers. This analysis also points t</w:t>
      </w:r>
    </w:p>
    <w:p>
      <w:pPr/>
      <w:r>
        <w:rPr>
          <w:b/>
        </w:rPr>
        <w:t>POSSIBLE 2017:</w:t>
      </w:r>
      <w:r>
        <w:t xml:space="preserve"> The European Railway Sectors: Understanding and Assessing Change — https://openalex.org/W2590852891</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This paper aims at explaining and assessing the process of change that European railway sectors have experienced over the last decades. It has been organized in two parts: the first part (section 2) explains change and the second part (section 3) empirically assesses change. In the first part we argue that the roots of this change process date back to the 1950s when, because of competitiveness reasons, the market share of most European railways began to decrease compared to other transport modes. Since national reformers ascribed these performance shortcomings to the traditional organization of the railway sector which was that of vertically-integrated state- owned monopoly. Therefore, between the 1970s and 1980s many governments in Europe adopted reforms that tried to inject competition in national railway sectors by supporting liberalization policies. Then, since early-1990s the European Commission has released a number of regulatory instruments aimed at pursuing three main goals: 1) liberalization of the rail services; 2) unbundling of infrastructure and service level, and 3) creation of the common transport market. The empirical analysis conducted in the second part of this paper suggests that state-controlled structures still play a crucial role in the management and performance of national railway industries as lower service prices are associated with greater presence of </w:t>
      </w:r>
    </w:p>
    <w:p>
      <w:pPr>
        <w:pStyle w:val="Heading2"/>
      </w:pPr>
      <w:r>
        <w:t>845.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r>
        <w:rPr>
          <w:b/>
        </w:rPr>
        <w:t>POSSIBLE 2020:</w:t>
      </w:r>
      <w:r>
        <w:t xml:space="preserve"> The supreme audit institutions readiness to uncertainty — https://doi.org/10.9770/jesi.2020.8.1(36)</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inefficient fight against the COVID-19 pandemic and earlier insufficient readiness to counteract terrorist attacks raise the question about the role of the supreme audit institutions (SAIs) in the situation, in which decision-makers take decisions in uncertainty conditions.The states did not prove themselves in conditions of uncertainty.In all countries, the situation is the same, too late decisions regarding anti-epidemic quarantine, lack of necessary measures to protect doctors and patients, too few respirators.Based on the analysis of several randomly selected SAIs from different parts of the Globe, this study found that the audit methodology tailored to a predictable environment became inappropriate in uncertainty conditions.Most of analysed SAIs did not find weak signals and wild cards related to pandemic.Those who found such signals did not use them in foresight, which results that parliaments, governments and the public are not ready for global threats.It creates risks for entrepreneurs.</w:t>
      </w:r>
    </w:p>
    <w:p>
      <w:pPr/>
      <w:r>
        <w:rPr>
          <w:b/>
        </w:rPr>
        <w:t>POSSIBLE 2019:</w:t>
      </w:r>
      <w:r>
        <w:t xml:space="preserve"> OP02 Sweacp: a structured conversation-based advanced care planning approach in the ACP-naïve swedish context — https://doi.org/10.1136/spcare-2019-acpicongressabs.2</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Background Sweden has no systematic advance care planning (ACP), nor judicial means of recognizing proxies in end-of-life (EoL) situations. In the SweACP project in the DöBra research program, we focus on engaging stakeholders in active conversations about preferences for future EoL care, rather than using a document-driven approach to ACP. We describe results of feasibility testing a structured conversation-based ACP approach among older adults in the general public as well as exploring their strategies for reasoning about their EoL preferences. Methods After initial testing in pilot focus groups, a Swedish version of GoWish cards, DöBra cards, and Eco-mapping were used to catalyze discussions on what and who matters at the EoL. The 65 participants from across Sweden actively contacted the researchers volunteering to participate, after receiving information through national patient-or retiree organizations. Both quantitative and qualitative data were analyzed, using descriptive statistics and inductive analysis. Results DöBra cards were positively received by participants; there was great individual variation in card prioritization and formulation of wild cards. Eco-mapping was met with less enthusiasm but was useful in depicting a social context often taken-for-granted. Qualitative analysis revealed several strategies for reasoning about future EoL care. Conclusions Having a </w:t>
      </w:r>
    </w:p>
    <w:p>
      <w:pPr/>
      <w:r>
        <w:rPr>
          <w:b/>
        </w:rPr>
        <w:t>POSSIBLE 2016:</w:t>
      </w:r>
      <w:r>
        <w:t xml:space="preserve"> Short Communication: Georeferencing orchids specimen history cards in Bogor Botanic Gardens to increase their use for conservation efforts — https://doi.org/10.13057/biodiv/d170220</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Rahayu EMD, Yusri S. 2016. Georeferencing orchids specimen history cards in Bogor Botanic Gardens to increase their use for conservation efforts. Biodiversitas 17: 510-514. Orchids are considered valuable plant resource but overharvesting and habitat conversion have threatened their population. Bogor Botanic Gardens (Kebun Raya Bogor; BBG) stores millions of plant specimens, including orchids, taken from the wild or captivity. Origin of specimens is recorded in specimen tags and cards, where each of these can be converted to species occurrence datum for investigations of biodiversity, its relationship with the environment, evaluating conservation efforts and anthropogenic disturbances along spatial or temporal scales. However, data from tags and cards available are often insufficient because localities are typically being recorded as textual descriptions, without geographic coordinates, thus making analysis using Geographical Information System (GIS) tools difficult. In this paper, we reviewed the use of online resources (i.e. GoogleMaps™, ProtectedPlanet.net) for georeferencing specimen cards and Quantum GIS as a GIS tool to store and display the data. Specimen cards from the chosen genera of orchid in BBG were reviewed. The georeferencing process encountered several obstacles, includes: geographically biased locations, changes in spatial-administrative borders, unregistered l</w:t>
      </w:r>
    </w:p>
    <w:p>
      <w:pPr/>
      <w:r>
        <w:rPr>
          <w:b/>
        </w:rPr>
        <w:t>POSSIBLE 2016:</w:t>
      </w:r>
      <w:r>
        <w:t xml:space="preserve"> Locating the Best Available Research — https://doi.org/10.1093/med:psych/9780190621933.003.0003</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This chapter discusses the steps EBP clinicians should take in finding evidence that addresses their clinical questions: searching background information resources, which provide overviews of topics, and then moving to filtered information resources, which provide access to timesaving, synthesized information. To help clinicians navigate these resources, the chapter summarizes basic search concepts that are applicable across the resources, such as Boolean operators, truncation, wild cards, and limits. The chapter describes key background information sources, such as eMedicine, textbooks, and Wikipedia. It then discusses key filtered information sources, including the Cochrane Database of Systematic Reviews, BMJ Clinical Evidence, and several evidence-based journals. The chapter provides tailored tips for optimal searching within each resource introduced.</w:t>
      </w:r>
    </w:p>
    <w:p>
      <w:pPr>
        <w:pStyle w:val="Heading2"/>
      </w:pPr>
      <w:r>
        <w:t>846.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2020:</w:t>
      </w:r>
      <w:r>
        <w:t xml:space="preserve"> E-learning design and entrepreneurship in three European universities — https://doi.org/10.1108/ijebr-06-2019-0407</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The 100 best European universities in the Quacquarelli Symonds Rankings all use e-learning methods. The case study universities were selected from this list. The semistructured interviews with managers of e-learning services highlighted the importance of the design of e-learning courses. However, most focused on the professional figures involved, rather than the process for e-learning and the overall design of the course. Originality/value The article provides a detailed study of e-learning design in an educational context. The analysis of multiple case studies allowed the authors to iden</w:t>
      </w:r>
    </w:p>
    <w:p>
      <w:pPr/>
      <w:r>
        <w:rPr>
          <w:b/>
        </w:rPr>
        <w:t>POSSIBLE 2020:</w:t>
      </w:r>
      <w:r>
        <w:t xml:space="preserve"> E-learning design and entrepreneurship in three European universities — https://openalex.org/W7223193736</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 The 100 best European universities in the Quacquarelli Symonds Rankings all use e-learning methods. The case study universitieswere selected fromthis list.The semistructured interviews withmanagers of e-learning services highlighted the importance of the design of e-learning courses. However, most focused on the professional figures involved, rather than the process for e-learning and the overall design of the course. Originality/value – The article provides a detailed study of e-learning design in an educational context. The analysis of multiple case studies allowed the authors to </w:t>
      </w:r>
    </w:p>
    <w:p>
      <w:pPr/>
      <w:r>
        <w:rPr>
          <w:b/>
        </w:rPr>
        <w:t>POSSIBLE 2019:</w:t>
      </w:r>
      <w:r>
        <w:t xml:space="preserve"> Urban design empowerment through ICT-based platforms in Europe — https://doi.org/10.1080/12265934.2019.1604250</w:t>
      </w:r>
    </w:p>
    <w:p>
      <w:pPr/>
      <w:r>
        <w:rPr>
          <w:b/>
        </w:rPr>
        <w:t>Shared claim-specific concepts:</w:t>
      </w:r>
      <w:r>
        <w:t xml:space="preserve"> aims, design, three, beyond; EU scope visible. This is a provisional connection, not an outcome finding.</w:t>
      </w:r>
    </w:p>
    <w:p>
      <w:pPr>
        <w:pStyle w:val="SourceNote"/>
      </w:pPr>
      <w:r>
        <w:rPr>
          <w:b/>
        </w:rPr>
        <w:t>Available abstract (not full text):</w:t>
      </w:r>
      <w:r>
        <w:t xml:space="preserve"> The use of ICT-based participation tools in urban design has come into prominence in the last decade. A plethora of technology-enabled participatory tools, techniques, and applications have been developed to facilitate the participation of citizens as well as other stakeholders. This study specifically focuses on ICT-based participation platforms that aim to serve as forums to respond to social and spatial needs. Many studies have reported that the use of these participatory platforms has led to positive outcomes. However, their potentials and limits for facilitating different levels of design empowerment (Senbel and Church, 2011. Design Empowerment. Journal of Planning Education and Research, 31(4), 423–437.) remain unknown. In this context, the aims of this study are: (1) to determine how these platforms empower and restrict citizens’ engagement by analysing a variety of ICT-based participation platforms in Europe, and (2) to determine the factors that can facilitate better participation practices. This research analyses 25 ICT-based participation platforms that go beyond one-sided information exchange. They were chosen out of a database of 106 platforms. These were evaluated according to their objectives, the design action phases in which they are designated to be used, their desired levels of design empowerment and their functionalities. The findings indicate that a majorit</w:t>
      </w:r>
    </w:p>
    <w:p>
      <w:pPr/>
      <w:r>
        <w:rPr>
          <w:b/>
        </w:rPr>
        <w:t>POSSIBLE 2019:</w:t>
      </w:r>
      <w:r>
        <w:t xml:space="preserve"> European Men-Who-Have-Sex-With-Men Internet Survey (EMIS-2017): Design and Methods — https://doi.org/10.1007/s13178-019-00413-0</w:t>
      </w:r>
    </w:p>
    <w:p>
      <w:pPr/>
      <w:r>
        <w:rPr>
          <w:b/>
        </w:rPr>
        <w:t>Shared claim-specific concepts:</w:t>
      </w:r>
      <w:r>
        <w:t xml:space="preserve"> design, three, community, health; EU scope visible. This is a provisional connection, not an outcome finding.</w:t>
      </w:r>
    </w:p>
    <w:p>
      <w:pPr>
        <w:pStyle w:val="SourceNote"/>
      </w:pPr>
      <w:r>
        <w:rPr>
          <w:b/>
        </w:rPr>
        <w:t>Available abstract (not full text):</w:t>
      </w:r>
      <w:r>
        <w:t xml:space="preserve"> Abstract Men-who-have-sex-with-men (MSM) carry a disproportionate burden of sexually transmitted infections across Europe. Health planners require sexual health needs assessment data to respond appropriately. In addition, surveillance of risk and precaution behaviours in this population enables evaluative judgements of policy responses. The European MSM Internet Survey (EMIS-2017) aimed to repeat the pan-European online survey on male homosexual behaviour conducted in 2010, both to update information required to plan and monitor health promotion interventions and consolidate harmonisation of existing behavioural surveillance approaches. Our study team collaborated with more than 200 partners from academia, public health and civil society across 50 countries. Starting from our previous EMIS-2010 questionnaire, partners engaged in three rounds of iterative survey development and piloting until the final content was agreed. Transfer to an online survey application was followed by further pre-testing before translation into 32 additional languages, final testing and sign-off. The survey was available to complete online in 33 languages simultaneously from 18 October 2017 to 31 January 2018. Ten international MSM dating mobile apps were paid to send short promotional messages, and national partners promoted the survey via at least another 272 websites and social media accounts. Real-</w:t>
      </w:r>
    </w:p>
    <w:p>
      <w:pPr/>
      <w:r>
        <w:rPr>
          <w:b/>
        </w:rPr>
        <w:t>POSSIBLE 2019:</w:t>
      </w:r>
      <w:r>
        <w:t xml:space="preserve"> Overview of the DEMO staged design approach in Europe — https://doi.org/10.1088/1741-4326/ab1178</w:t>
      </w:r>
    </w:p>
    <w:p>
      <w:pPr/>
      <w:r>
        <w:rPr>
          <w:b/>
        </w:rPr>
        <w:t>Shared claim-specific concepts:</w:t>
      </w:r>
      <w:r>
        <w:t xml:space="preserve"> aims, design, system, clear, advance;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r>
        <w:rPr>
          <w:b/>
        </w:rPr>
        <w:t>POSSIBLE 2019:</w:t>
      </w:r>
      <w:r>
        <w:t xml:space="preserve"> The European Campaigns of Three Socialist Parties — https://doi.org/10.4324/9780429310904-5</w:t>
      </w:r>
    </w:p>
    <w:p>
      <w:pPr/>
      <w:r>
        <w:rPr>
          <w:b/>
        </w:rPr>
        <w:t>Shared claim-specific concepts:</w:t>
      </w:r>
      <w:r>
        <w:t xml:space="preserve"> design, three, community; EU scope visible. This is a provisional connection, not an outcome finding.</w:t>
      </w:r>
    </w:p>
    <w:p>
      <w:pPr>
        <w:pStyle w:val="SourceNote"/>
      </w:pPr>
      <w:r>
        <w:rPr>
          <w:b/>
        </w:rPr>
        <w:t>Available abstract (not full text):</w:t>
      </w:r>
      <w:r>
        <w:t xml:space="preserve"> This chapter explores the pragmatic aspects of the campaign, with the aim of completing the description of what happened in the historic European event. It examines the campaign plans and activities of the Confederation of Socialist Parties of the European Community. The chapter considers whether national politics or European socialism was the primary reference point for each party. It provides some assessments about differences and similarities in the three campaigns, and about the place of transnational socialist efforts in each party&amp;s;s electoral activities. The Labour three campaigns are: Party, SPD, and Parti Socialiste. The staff of the Socialist Group and the Confederation undertook four types of activities during the campaign: the design and use of common visual symbols, publication of materials for distribution to the voters, organization of special conferences for the candidates, and acting as a clearing house for speakers and information.</w:t>
      </w:r>
    </w:p>
    <w:p>
      <w:pPr/>
      <w:r>
        <w:rPr>
          <w:b/>
        </w:rPr>
        <w:t>POSSIBLE 2018:</w:t>
      </w:r>
      <w:r>
        <w:t xml:space="preserve"> DEMO design activity in Europe: Progress and updates — https://doi.org/10.1016/j.fusengdes.2018.04.001</w:t>
      </w:r>
    </w:p>
    <w:p>
      <w:pPr/>
      <w:r>
        <w:rPr>
          <w:b/>
        </w:rPr>
        <w:t>Shared claim-specific concepts:</w:t>
      </w:r>
      <w:r>
        <w:t xml:space="preserve"> design, system, all; EU scope visible. This is a provisional connection, not an outcome finding.</w:t>
      </w:r>
    </w:p>
    <w:p>
      <w:pPr>
        <w:pStyle w:val="SourceNote"/>
      </w:pPr>
      <w:r>
        <w:rPr>
          <w:b/>
        </w:rPr>
        <w:t>Available abstract (not full text):</w:t>
      </w:r>
      <w:r>
        <w:t xml:space="preserve"> This paper describes the progress of the DEMO Design Activities in Europe and particularly the work done to address critical design integration issues that affect the machine configuration and performance, the plant concept layout and the selection of system design and technologies. Work continues to be primarily focused on the design integration of a pulsed baseline DEMO reactor concept, but a number of alternative configurations (e.g., a double-null divertor and a snowflake divertor as well as a ‘flexi’ DEMO that operates initially in an inductively driven pulsed regime, with the possibility to be upgraded to a long-pulse or steady-state machine with a greater reliance on auxiliary current drive, etc.) are under preliminary study, especially to evaluate their DEMO reactor relevance. Some initial considerations are given on the strategy to implement a structured design and technology down-selection, that progressively reviews and narrows options to arrive at the DEMO plant concept that addresses major system integration risks and offers the best probability to satisfy all stakeholder mission requirements. Finally, some recent technical achievements are highlighted.</w:t>
      </w:r>
    </w:p>
    <w:p>
      <w:pPr/>
      <w:r>
        <w:rPr>
          <w:b/>
        </w:rPr>
        <w:t>POSSIBLE 2017:</w:t>
      </w:r>
      <w:r>
        <w:t xml:space="preserve"> Design, assessment and feasibility of legume-based cropping systems in three European regions — https://doi.org/10.1071/cp17064</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Grain legumes in cropping systems result in agronomic and environmental benefits. Nevertheless, their areas in Europe have strongly decreased over the past decades. Our aim was to design locally adapted innovative cropping systems including grain legumes for three European local pedoclimatic contexts, to assess their sustainability, and to discuss their feasibility with stakeholders. The methodology included an initial diagnosis of the most frequent cropping systems and local improvement targets in each local context (e.g. improve legume profitability, limit diseases of legumes, reduce intensive use of chemical inputs in cropping systems), the design of innovative legume-based cropping systems during a common workshop, focusing on three aims ((i) decrease pesticide use, (ii) reduce mineral N fertiliser dependency, and (iii) increase yield stability of grain legume crops and other crops of the crop sequence), and their multicriteria sustainability assessment. Stakeholders meetings were organised in each local context to discuss the feasibility of implementing the innovative cropping systems in farmers’ fields (technical implementation of cropping systems and possibility of development of legume sectors). Four to five cropping systems were designed in each local context, with crop sequences longer than references. They included at least two grain legumes (pea, faba bean, chickpea</w:t>
      </w:r>
    </w:p>
    <w:p>
      <w:pPr/>
      <w:r>
        <w:rPr>
          <w:b/>
        </w:rPr>
        <w:t>POSSIBLE 2017:</w:t>
      </w:r>
      <w:r>
        <w:t xml:space="preserve"> European DEMO design strategy and consequences for materials — https://doi.org/10.1088/1741-4326/57/9/092002</w:t>
      </w:r>
    </w:p>
    <w:p>
      <w:pPr/>
      <w:r>
        <w:rPr>
          <w:b/>
        </w:rPr>
        <w:t>Shared claim-specific concepts:</w:t>
      </w:r>
      <w:r>
        <w:t xml:space="preserve"> aims, design, system; EU scope visible. This is a provisional connection, not an outcome finding.</w:t>
      </w:r>
    </w:p>
    <w:p>
      <w:pPr>
        <w:pStyle w:val="SourceNote"/>
      </w:pPr>
      <w:r>
        <w:rPr>
          <w:b/>
        </w:rPr>
        <w:t>Available abstract (not full text):</w:t>
      </w:r>
      <w:r>
        <w:t xml:space="preserve"> Demonstrating the production of net electricity and operating with a closed fuel-cycle remain unarguably the crucial steps towards the exploitation of fusion power. These are the aims of a demonstration fusion reactor (DEMO) proposed to be built after ITER. This paper briefly describes the DEMO design options that are being considered in Europe for the current conceptual design studies as part of the Roadmap to Fusion Electricity Horizon 2020. These are not intended to represent fixed and exclusive design choices but rather 'proxies' of possible plant design options to be used to identify generic design/material issues that need to be resolved in future fusion reactor systems. The materials nuclear design requirements and the effects of radiation damage are briefly analysed with emphasis on a pulsed 'low extrapolation' system, which is being used for the initial design integration studies, based as far as possible on mature technologies and reliable regimes of operation (to be extrapolated from the ITER experience), and on the use of materials suitable for the expected level of neutron fluence. The main technical issues arising from the plasma and nuclear loads and the effects of radiation damage particularly on the structural and heat sink materials of the vessel and in-vessel components are critically discussed. The need to establish realistic target performance and a develop</w:t>
      </w:r>
    </w:p>
    <w:p>
      <w:pPr/>
      <w:r>
        <w:rPr>
          <w:b/>
        </w:rPr>
        <w:t>POSSIBLE 2017:</w:t>
      </w:r>
      <w:r>
        <w:t xml:space="preserve"> Use of complementary and alternative medicine in Europe: Health-related and sociodemographic determinants — https://doi.org/10.1177/1403494817733869</w:t>
      </w:r>
    </w:p>
    <w:p>
      <w:pPr/>
      <w:r>
        <w:rPr>
          <w:b/>
        </w:rPr>
        <w:t>Shared claim-specific concepts:</w:t>
      </w:r>
      <w:r>
        <w:t xml:space="preserve"> aims, three, health, conclusions, all, medicine; EU scope visible. This is a provisional connection, not an outcome finding.</w:t>
      </w:r>
    </w:p>
    <w:p>
      <w:pPr>
        <w:pStyle w:val="SourceNote"/>
      </w:pPr>
      <w:r>
        <w:rPr>
          <w:b/>
        </w:rPr>
        <w:t>Available abstract (not full text):</w:t>
      </w:r>
      <w:r>
        <w:t xml:space="preserve"> AIMS: The aim of this research was to study health-related and sociodemographic determinants of the use of different complementary and alternative medicine (CAM) treatments in Europe and differences in CAM use in various European countries. METHODS: The study was based on a design-based logistic regression analysis of the European Social Survey (ESS), Round 7. We distinguished four CAM modalities: manual therapies, alternative medicinal systems, traditional Asian medical systems and mind-body therapies. RESULTS: In total, 25.9% of the general population had used CAM during the last 12 months. Typically, only one CAM treatment had been used, and it was used more often as complementary rather than alternative treatment. The use of CAM varied greatly by country, from 10% in Hungary to almost 40% in Germany. Compared to those in good health, the use of CAM was two to fourfold greater among those with health problems. The health profiles of users of different CAM modalities varied. For example, back or neck pain was associated with all types of CAM, whereas depression was associated only with the use of mind-body therapies. Individuals with difficult to diagnose health conditions were more inclined to utilize CAM, and CAM use was more common among women and those with a higher education. Lower income was associated with the use of mind-body therapies, whereas the other three CAM mod</w:t>
      </w:r>
    </w:p>
    <w:p>
      <w:pPr/>
      <w:r>
        <w:rPr>
          <w:b/>
        </w:rPr>
        <w:t>POSSIBLE 2017:</w:t>
      </w:r>
      <w:r>
        <w:t xml:space="preserve"> The EU-AIMS Longitudinal European Autism Project (LEAP): design and methodologies to identify and validate stratification biomarkers for autism spectrum disorders — https://doi.org/10.1186/s13229-017-0146-8</w:t>
      </w:r>
    </w:p>
    <w:p>
      <w:pPr/>
      <w:r>
        <w:rPr>
          <w:b/>
        </w:rPr>
        <w:t>Shared claim-specific concepts:</w:t>
      </w:r>
      <w:r>
        <w:t xml:space="preserve"> aims, design, all, medicine; EU scope visible. This is a provisional connection, not an outcome finding.</w:t>
      </w:r>
    </w:p>
    <w:p>
      <w:pPr>
        <w:pStyle w:val="SourceNote"/>
      </w:pPr>
      <w:r>
        <w:rPr>
          <w:b/>
        </w:rPr>
        <w:t>Available abstract (not full text):</w:t>
      </w:r>
      <w:r>
        <w:t xml:space="preserve"> BACKGROUND: The tremendous clinical and aetiological diversity among individuals with autism spectrum disorder (ASD) has been a major obstacle to the development of new treatments, as many may only be effective in particular subgroups. Precision medicine approaches aim to overcome this challenge by combining pathophysiologically based treatments with stratification biomarkers that predict which treatment may be most beneficial for particular individuals. However, so far, we have no single validated stratification biomarker for ASD. This may be due to the fact that most research studies primarily have focused on the identification of mean case-control differences, rather than within-group variability, and included small samples that were underpowered for stratification approaches. The EU-AIMS Longitudinal European Autism Project (LEAP) is to date the largest multi-centre, multi-disciplinary observational study worldwide that aims to identify and validate stratification biomarkers for ASD. METHODS: LEAP includes 437 children and adults with ASD and 300 individuals with typical development or mild intellectual disability. Using an accelerated longitudinal design, each participant is comprehensively characterised in terms of clinical symptoms, comorbidities, functional outcomes, neurocognitive profile, brain structure and function, biochemical markers and genomics. In addition, 51 </w:t>
      </w:r>
    </w:p>
    <w:p>
      <w:pPr>
        <w:pStyle w:val="Heading2"/>
      </w:pPr>
      <w:r>
        <w:t>847.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2018:</w:t>
      </w:r>
      <w:r>
        <w:t xml:space="preserve"> A Perceptual Theory of Hope — https://doi.org/10.3998/ergo.12405314.0005.008</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in.We argue that shortcomings in recent theories of hope have methodological roots in that they proceed with little regard for the rich body of literature on the emotions.Taking insights from work in the philosophy of emotions, we argue that hope involves a kind of normative perception.We then develop a strategy for determining the content of this perception, arguing that hope is a perception of practical reasons.Our proposal stands in contrast with familiar views on which hope is fundamentally about the good.We conclude by considering the increasingly popular idea that some hopes are non-intentional and thus, by implication, non-perceptual.We reply by arguing that our perceptual theory plausibly generalizes to these instances of hope.</w:t>
      </w:r>
    </w:p>
    <w:p>
      <w:pPr/>
      <w:r>
        <w:rPr>
          <w:b/>
        </w:rPr>
        <w:t>POSSIBLE 2016:</w:t>
      </w:r>
      <w:r>
        <w:t xml:space="preserve"> A Monetary Hope for Europe — https://openalex.org/W7137600050</w:t>
      </w:r>
    </w:p>
    <w:p>
      <w:pPr/>
      <w:r>
        <w:rPr>
          <w:b/>
        </w:rPr>
        <w:t>Shared claim-specific concepts:</w:t>
      </w:r>
      <w:r>
        <w:t xml:space="preserve"> hope, union, also; EU scope visible. This is a provisional connection, not an outcome finding.</w:t>
      </w:r>
    </w:p>
    <w:p>
      <w:pPr>
        <w:pStyle w:val="SourceNote"/>
      </w:pPr>
      <w:r>
        <w:rPr>
          <w:b/>
        </w:rPr>
        <w:t>Available abstract (not full text):</w:t>
      </w:r>
      <w:r>
        <w:t xml:space="preserve"> A Monetary Hope for Europe. This book studies the euro in a global perspective and opens a new series edited by the Jean Monnet European Centre of Excellence of the University of Florence, Verso l’unificazione europea. Most of the chapters have been written by economists who met and discussed their diverse views at a multi-disciplinary conference organized by the Centre in May 2013 under the title The euro and the struggle for the creation of a new global currency: Problems and perspectives in the building of the political, financial and economic foundations of the European federal government. The list of contributors also includes historians as well as European and international law academics. Their essays have been revised on the basis and against the backdrop of an ongoing crisis of both the euro and the whole European project in the last years and months. The volume aims to provide useful data and interpretations to improve knowledge on the euro and the European Union in their economic, historical, juridical and political perspectives.</w:t>
      </w:r>
    </w:p>
    <w:p>
      <w:pPr/>
      <w:r>
        <w:rPr>
          <w:b/>
        </w:rPr>
        <w:t>POSSIBLE 2016:</w:t>
      </w:r>
      <w:r>
        <w:t xml:space="preserve"> A doubtful hope: resource affect in a future oil economy — https://doi.org/10.1111/1467-9655.12397</w:t>
      </w:r>
    </w:p>
    <w:p>
      <w:pPr/>
      <w:r>
        <w:rPr>
          <w:b/>
        </w:rPr>
        <w:t>Shared claim-specific concepts:</w:t>
      </w:r>
      <w:r>
        <w:t xml:space="preserve"> hope, affect, about, also, role; EU scope not established. This is a provisional connection, not an outcome finding.</w:t>
      </w:r>
    </w:p>
    <w:p>
      <w:pPr>
        <w:pStyle w:val="SourceNote"/>
      </w:pPr>
      <w:r>
        <w:rPr>
          <w:b/>
        </w:rPr>
        <w:t>Available abstract (not full text):</w:t>
      </w:r>
      <w:r>
        <w:t xml:space="preserve"> In global debates about natural resource extraction, affect has played an increasingly prominent, if somewhat nameless, role. This paper proposes a theorization of resource affect both as an intrinsic element of capitalist dynamics and as an object problematized by corporate, government, and third‐sector practice. Drawing on ethnographic research in São Tomé and Príncipe (STP), I explore the affective horizons generated by the prospect of hydrocarbon exploration: a doubtful hope comprised of visions of material betterment, personal and collective transformation, as well as anticipations of failure, friction, and discontent. I also examine the multitude of oil‐related campaigns, activities, and programmes initiated by non‐governmental organizations and global governance institutions in STP, animated by the specific conundrums presented by oil's futurity. In light of this, I argue that what we see emerging is a new resource politics that revolves around not simply the democratic and technical aspects of resource exploitation but increasingly their associated affective dissonances and inconsistencies.</w:t>
      </w:r>
    </w:p>
    <w:p>
      <w:pPr/>
      <w:r>
        <w:rPr>
          <w:b/>
        </w:rPr>
        <w:t>POSSIBLE 2015:</w:t>
      </w:r>
      <w:r>
        <w:t xml:space="preserve"> Austerity, the European Council, and the Institutional Future of the European Union: A Proposal to Strengthen the Presidency of the European Council — https://doi.org/10.2979/indjglolegstu.22.2.269</w:t>
      </w:r>
    </w:p>
    <w:p>
      <w:pPr/>
      <w:r>
        <w:rPr>
          <w:b/>
        </w:rPr>
        <w:t>Shared claim-specific concepts:</w:t>
      </w:r>
      <w:r>
        <w:t xml:space="preserve"> debate, union, commission; EU scope visible. This is a provisional connection, not an outcome finding.</w:t>
      </w:r>
    </w:p>
    <w:p>
      <w:pPr>
        <w:pStyle w:val="SourceNote"/>
      </w:pPr>
      <w:r>
        <w:rPr>
          <w:b/>
        </w:rPr>
        <w:t>Available abstract (not full text):</w:t>
      </w:r>
      <w:r>
        <w:t xml:space="preserve"> This article contextualizes the resilience of austerity in Europe, explaining it in light of the transformations in the EU system of governance. As the article maintains, since the eruption of the Euro-crisis, the European Council—the body congressing the heads of state and government of the EU member states together with its President and the President of the European Commission—has risen to the center of EU governance. In an intergovernmental institution such as the European Council, however, larger and wealthier states have been able to impose their preferences on other states—a development that is at odds with the anti-hegemonic nature of the EU integration project. To address this problematic state of affairs, this article proposes a targeted institutional reform: strengthening the President of the European Council. As this article claims, a President of the European Council endowed with its own executive powers and legitimated by a popular election could restore a balance between the member states and, at the same time, create a forum for democratic contestation of the policies of the European Union. The proposal to strengthen the presidency of the European Council builds on recent calls to redefine this institution as the presidency of the European Union as a whole. However, it faces several challenges. This article considers the following questions: 1) What are the adva</w:t>
      </w:r>
    </w:p>
    <w:p>
      <w:pPr>
        <w:pStyle w:val="Heading2"/>
      </w:pPr>
      <w:r>
        <w:t>848.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2023:</w:t>
      </w:r>
      <w:r>
        <w:t xml:space="preserve"> Reduced grazing and changes in the area of agroforestry in Europe — https://doi.org/10.3389/fenvs.2023.1258697</w:t>
      </w:r>
    </w:p>
    <w:p>
      <w:pPr/>
      <w:r>
        <w:rPr>
          <w:b/>
        </w:rPr>
        <w:t>Shared claim-specific concepts:</w:t>
      </w:r>
      <w:r>
        <w:t xml:space="preserve"> show, area, but, land, use;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Pasture Quality Monitoring Based on Proximal and Remote Optical Sensors: A Case Study in the Montado Mediterranean Ecosystem — https://doi.org/10.3390/agriengineering5010025</w:t>
      </w:r>
    </w:p>
    <w:p>
      <w:pPr/>
      <w:r>
        <w:rPr>
          <w:b/>
        </w:rPr>
        <w:t>Shared claim-specific concepts:</w:t>
      </w:r>
      <w:r>
        <w:t xml:space="preserve"> show, montado, case; EU scope visible. This is a provisional connection, not an outcome finding.</w:t>
      </w:r>
    </w:p>
    <w:p>
      <w:pPr>
        <w:pStyle w:val="SourceNote"/>
      </w:pPr>
      <w:r>
        <w:rPr>
          <w:b/>
        </w:rPr>
        <w:t>Available abstract (not full text):</w:t>
      </w:r>
      <w:r>
        <w:t xml:space="preserve"> Permanent dryland pastures are the basis of animal feed in extensive grazing systems. Seasonality and inter-annual climatic variability, associated with shallow, acidic, and not very fertile soils, result in low productivity and rapid degradation of pasture quality, which requires the supplementation of animal feed. In this study, carried out in a biodiverse pasture field in the Mediterranean region of southern Portugal, the vegetation index (NDVI, Normalized Difference Vegetation Index) obtained from measurements performed by a proximal optical sensor (PS) and satellite images (RS) was used to assess pasture quality parameters (pasture moisture content, PMC, crude protein, CP, and neutral detergent fiber, NDF). The monitoring was carried out throughout the 2021/2022 pasture growing season. Significant correlations were obtained between the NDVI obtained by PS and RS (R2 of 0.84) and the reference values of pasture parameters obtained in laboratory protocols: PMC (R2 of 0.88 and 0.78, respectively), CP (R2 of 0.67 and 0.63, respectively), and NDF (R2 of 0.50 and 0.46, respectively). This case study also demonstrated the spatial and temporal variability of vegetative vigour and, consequently, of pasture quality in the Montado, the characteristic Mediterranean ecosystem. These results show the pertinence of these technologies in supporting the decision-making process of the farm </w:t>
      </w:r>
    </w:p>
    <w:p>
      <w:pPr/>
      <w:r>
        <w:rPr>
          <w:b/>
        </w:rPr>
        <w:t>POSSIBLE 2022:</w:t>
      </w:r>
      <w:r>
        <w:t xml:space="preserve"> A Technological Approach to Support Extensive Livestock Management in the Portuguese Montado Ecosystem — https://doi.org/10.3390/agronomy12051212</w:t>
      </w:r>
    </w:p>
    <w:p>
      <w:pPr/>
      <w:r>
        <w:rPr>
          <w:b/>
        </w:rPr>
        <w:t>Shared claim-specific concepts:</w:t>
      </w:r>
      <w:r>
        <w:t xml:space="preserve"> area, montado, use; EU scope visible. This is a provisional connection, not an outcome finding.</w:t>
      </w:r>
    </w:p>
    <w:p>
      <w:pPr>
        <w:pStyle w:val="SourceNote"/>
      </w:pPr>
      <w:r>
        <w:rPr>
          <w:b/>
        </w:rPr>
        <w:t>Available abstract (not full text):</w:t>
      </w:r>
      <w:r>
        <w:t xml:space="preserve"> Extensive livestock production systems based on improved pastures under Montado of Holm oaks represent an approach in line with the challenges of sustainability and biodiversity. The increasing incorporation of technologies in the monitoring of this ecosystem allows for a better knowledge of the spatial and temporal variability and, consequently, a more economically profitable management. In this study, between July 2020 and June 2021, soil and pastures were monitored in a 20 ha Montado area located in Alentejo (Southern Portugal) and used for extensive grazing of cattle. The survey of soil apparent electrical conductivity (ECa), the application of algorithms for definition of homogeneous management zones (HMZ), the use of indices obtained from satellite imagery time series to characterize the evolution of pasture quality and the soil and pasture sampling, including the identification of bio-indicator botanical species, were the basis of this exploratory study, allowing a holistic approach to this complex soil-pasture-trees and animals ecosystem. In the near future, this knowledge could represent an important milestone in providing decision-making support systems to farm managers in terms of smart sampling, differential application of fertilizers, amendments or seeds, choosing the best spacing and density of trees in this ecosystem, promoting dynamic grazing, or identifying the</w:t>
      </w:r>
    </w:p>
    <w:p>
      <w:pPr/>
      <w:r>
        <w:rPr>
          <w:b/>
        </w:rPr>
        <w:t>POSSIBLE 2021:</w:t>
      </w:r>
      <w:r>
        <w:t xml:space="preserve"> Silvopasture policy promotion in European Mediterranean areas — https://doi.org/10.1371/journal.pone.0245846</w:t>
      </w:r>
    </w:p>
    <w:p>
      <w:pPr/>
      <w:r>
        <w:rPr>
          <w:b/>
        </w:rPr>
        <w:t>Shared claim-specific concepts:</w:t>
      </w:r>
      <w:r>
        <w:t xml:space="preserve"> show, area, montado, land, use; EU scope visible. This is a provisional connection, not an outcome finding.</w:t>
      </w:r>
    </w:p>
    <w:p>
      <w:pPr>
        <w:pStyle w:val="SourceNote"/>
      </w:pPr>
      <w:r>
        <w:rPr>
          <w:b/>
        </w:rPr>
        <w:t>Available abstract (not full text):</w:t>
      </w:r>
      <w:r>
        <w:t xml:space="preserve"> Silvopasture is the deliberate integration of a woody component with grazed pastures as understorey. It is one of the most extended agroforestry practices all over the world. Silvopasture use is key to increase the sustainability of livestock farming systems as silvopasture reduces the use of concentrates since the woody component provides feed for animals. However, it is not an extensively used practice in Europe. This paper aims at evaluating, from Eurostat, LUCAS database and the 118 rural development programs, the current situation of permanent grasslands in the Mediterranean area of Europe as well as the rural development programmes fostering silvopasture to better understand how sustainable land use systems are promoted and provide insights to foster silvopasture across Europe. The results of this study show that most of the policy measures related to silvopasture are adapted to the local necessity. The already existing agroforestry managed land (dehesas/montado) are related to measures supporting regeneration and maintenance while in those areas where agroforestry does not exist the measures are related to forest fire prevention.</w:t>
      </w:r>
    </w:p>
    <w:p>
      <w:pPr/>
      <w:r>
        <w:rPr>
          <w:b/>
        </w:rPr>
        <w:t>POSSIBLE 2020:</w:t>
      </w:r>
      <w:r>
        <w:t xml:space="preserve"> Competitiveness of Portuguese Montado Ewe Production Systems among the European Ewe Production Systems — https://doi.org/10.3390/agriculture10050184</w:t>
      </w:r>
    </w:p>
    <w:p>
      <w:pPr/>
      <w:r>
        <w:rPr>
          <w:b/>
        </w:rPr>
        <w:t>Shared claim-specific concepts:</w:t>
      </w:r>
      <w:r>
        <w:t xml:space="preserve"> montado, but, land; EU scope visible. This is a provisional connection, not an outcome finding.</w:t>
      </w:r>
    </w:p>
    <w:p>
      <w:pPr>
        <w:pStyle w:val="SourceNote"/>
      </w:pPr>
      <w:r>
        <w:rPr>
          <w:b/>
        </w:rPr>
        <w:t>Available abstract (not full text):</w:t>
      </w:r>
      <w:r>
        <w:t xml:space="preserve"> The number of ewes in Portugal registers a decrease since 1998. This decrease is felt particularly in the south of the country, which concentrates almost half of the existing ewes, mainly for meat production. One of the most important ewe production systems is the Montado, a High Nature Value ecosystem, occupying ca. 1.2 million ha in Portugal. The competitiveness of this system among the European ewe production systems is an important issue for the future of the Montado ecosystem. So, the objective of this paper is to analyze the ewe production systems in the Montado, using the agri benchmark database, and compare these systems with other European countries’ systems, ranking their competitiveness and efficiency among other systems in the European Union. We concluded that this methodology facilitated an in-depth understanding not only of the competitiveness and efficiency of ewe production systems in Portugal but also of their positioning regarding other systems in the European Union. The pattern of returns assures that these farms are competitive in the sense that they depend on the market on their decisions, and thus it is important that market values sheep products. Nevertheless, the diversification to other income sources would be a good option for the future sustainability of these farms and the opportunities and risks that these systems will deal with in a new green econo</w:t>
      </w:r>
    </w:p>
    <w:p>
      <w:pPr/>
      <w:r>
        <w:rPr>
          <w:b/>
        </w:rPr>
        <w:t>POSSIBLE 2020:</w:t>
      </w:r>
      <w:r>
        <w:t xml:space="preserve"> The Montado/Dehesa Cow-Calf Production Systems in Portugal and Spain: An Economic and Resources’ Use Approach — https://doi.org/10.3390/land9050148</w:t>
      </w:r>
    </w:p>
    <w:p>
      <w:pPr/>
      <w:r>
        <w:rPr>
          <w:b/>
        </w:rPr>
        <w:t>Shared claim-specific concepts:</w:t>
      </w:r>
      <w:r>
        <w:t xml:space="preserve"> montado, land, use; EU scope visible. This is a provisional connection, not an outcome finding.</w:t>
      </w:r>
    </w:p>
    <w:p>
      <w:pPr>
        <w:pStyle w:val="SourceNote"/>
      </w:pPr>
      <w:r>
        <w:rPr>
          <w:b/>
        </w:rPr>
        <w:t>Available abstract (not full text):</w:t>
      </w:r>
      <w:r>
        <w:t xml:space="preserve"> The Montado in Portugal and Dehesa in Spain is a unique agro-silvo-pastoral system designed to overcome food needs in a scarce resource’s environment. The system competitiveness is not clear and it is now under severe threats, caused by extensification or abandonment of less fertile areas and by intensification in more fertile ones. The aim of the undertaken research is to compare the cow-calf production within these systems in Portugal and Spain, identifying their strengths and weaknesses and the main drivers of their evolution, and to compare these systems with other European countries’ systems, ranking their competitiveness and efficiency among other systems in the EU. The research indicates that Montado/Dehesa farms systems are dependent on the type of farming system, its context and management, i.e., on the decision and its context; so, in a context of Mediterranean land system changes, the future of the Montado/Dehesa ecosystem depends on the ability of the cow-calf production systems to face the future and to perceive the modifications needed to overcome new challenges and take advantage of new opportunities.</w:t>
      </w:r>
    </w:p>
    <w:p>
      <w:pPr/>
      <w:r>
        <w:rPr>
          <w:b/>
        </w:rPr>
        <w:t>POSSIBLE 2019:</w:t>
      </w:r>
      <w:r>
        <w:t xml:space="preserve"> Valuing and mapping cork and carbon across land use scenarios in a Portuguese montado landscape — https://doi.org/10.1371/journal.pone.0212174</w:t>
      </w:r>
    </w:p>
    <w:p>
      <w:pPr/>
      <w:r>
        <w:rPr>
          <w:b/>
        </w:rPr>
        <w:t>Shared claim-specific concepts:</w:t>
      </w:r>
      <w:r>
        <w:t xml:space="preserve"> show, area, montado, land, use; EU scope visible. This is a provisional connection, not an outcome finding.</w:t>
      </w:r>
    </w:p>
    <w:p>
      <w:pPr>
        <w:pStyle w:val="SourceNote"/>
      </w:pPr>
      <w:r>
        <w:rPr>
          <w:b/>
        </w:rPr>
        <w:t>Available abstract (not full text):</w:t>
      </w:r>
      <w:r>
        <w:t xml:space="preserve"> The ecosystem services approach can inform decision-making by accounting for both short- and long-term benefits from different land use options. Here we used the InVEST toolkit to quantify and map key ecosystem services at the largest publicly-owned agro-silvo-pastoral farmstead in Portugal-a site representative for the montado landscape. We analyzed how Provisioning (cork production) and Regulating &amp; Maintenance (carbon storage and sequestration) services would be affected under three land use change scenarios, which were developed in collaboration with the forest manager of the study area: Cattle Intensification, Forest Improvement, and Residential Development. Results show that increasing cattle or residential development would deliver substantially lower levels of services. We find that extensive management, improvements to forest quality, and promotion of traditional livestock grazing would provide the highest levels of assessed ecosystem services, resulting in 13.5% more carbon storage (worth between $0.34-$7.79 million USD depending on carbon price) and 62.7% more cork production (total value of USD $3.5 million) than the current land use. However, a shift in economic incentives to make sustainable cork harvesting and traditional low-density grazing of smaller ruminants like sheep and goats profitable are likely needed to reward traditional land stewardship and help supp</w:t>
      </w:r>
    </w:p>
    <w:p>
      <w:pPr/>
      <w:r>
        <w:rPr>
          <w:b/>
        </w:rPr>
        <w:t>POSSIBLE 2018:</w:t>
      </w:r>
      <w:r>
        <w:t xml:space="preserve"> Modelling biodiversity trends in the montado (wood pasture) landscapes of the Alentejo, Portugal — https://doi.org/10.1007/s10980-018-0627-y</w:t>
      </w:r>
    </w:p>
    <w:p>
      <w:pPr/>
      <w:r>
        <w:rPr>
          <w:b/>
        </w:rPr>
        <w:t>Shared claim-specific concepts:</w:t>
      </w:r>
      <w:r>
        <w:t xml:space="preserve"> area, montado, land, use, case; EU scope visible. This is a provisional connection, not an outcome finding.</w:t>
      </w:r>
    </w:p>
    <w:p>
      <w:pPr>
        <w:pStyle w:val="SourceNote"/>
      </w:pPr>
      <w:r>
        <w:rPr>
          <w:b/>
        </w:rPr>
        <w:t>Available abstract (not full text):</w:t>
      </w:r>
      <w:r>
        <w:t xml:space="preserve"> Montados are dynamic agroforestry systems of southern Portugal, with high economic and ecological values. Changes in land use and cover have important implications for landscape-level biodiversity and its conservation. Our objectives were to evaluate the biodiversity values and trends in a montado system in the Alentejo, Portugal so as to inform landscape level conservation approaches. In doing so, we aimed to develop a replicable and robust approach drawing together field observation, expert opinion, and remote sensing to produce predictions relevant to land management planning. Field sampling and subsequent analysis of data on the birds, butterflies and plants in eight distinct land covers allowed the identification of two principal habitat groupings of importance: ‘montado mosaic’ and ‘shrubland’. Morphological spatial pattern analysis was performed on Landsat-derived GIS habitat layers for 1984 and 2009, generating maps and statistics for change in the different landscape functional classes. In addition, we demonstrated how the modelling of ecotones between open and closed biomes can identify the preferred hunting grounds of the threatened Iberian lynx and black vulture, flagship species whose conservation provides benefits to the area’s wider biodiversity values. Total and core area of montado mosaics and shrubland increased over the 25 year period, whilst the amount of ha</w:t>
      </w:r>
    </w:p>
    <w:p>
      <w:pPr/>
      <w:r>
        <w:rPr>
          <w:b/>
        </w:rPr>
        <w:t>POSSIBLE 2018:</w:t>
      </w:r>
      <w:r>
        <w:t xml:space="preserve"> Monitoring Seasonal Pasture Quality Degradation in the Mediterranean Montado Ecosystem: Proximal versus Remote Sensing — https://doi.org/10.3390/w10101422</w:t>
      </w:r>
    </w:p>
    <w:p>
      <w:pPr/>
      <w:r>
        <w:rPr>
          <w:b/>
        </w:rPr>
        <w:t>Shared claim-specific concepts:</w:t>
      </w:r>
      <w:r>
        <w:t xml:space="preserve"> show, montado, use; EU scope not established. This is a provisional connection, not an outcome finding.</w:t>
      </w:r>
    </w:p>
    <w:p>
      <w:pPr>
        <w:pStyle w:val="SourceNote"/>
      </w:pPr>
      <w:r>
        <w:rPr>
          <w:b/>
        </w:rPr>
        <w:t>Available abstract (not full text):</w:t>
      </w:r>
      <w:r>
        <w:t xml:space="preserve"> Montado is an agro-forestry system occupying a large surface in countries of the Mediterranean region. In this system, the natural dryland pasture is the principal source for animal feed in extensive grazing. The climatic seasonality associated with the inter-annual irregularity of precipitation greatly influences the development of pasture and its vegetative cycle. The end of spring is a critical period in terms of animal feed due to the notable reduction in the nutritive value of the plants. The objective of this work was to evaluate, through the correlation between pasture quality indexes (Pasture Quality Degradation Index, PQDI and Normalized Difference Vegetation Index, NDVI), two technological approaches for monitoring the evolution of the quality of a biodiverse pasture in the period of greatest vegetative development (between February and June). The technological approaches consisted of (i) proximal sensing (PS), with the use of an active optical sensor; and (ii) remote sensing (RS), using images captured by a Sentinel-2 satellite. The results of this study show strong and significant correlations between PQDI and NDVI (obtained by PS or RS). These two techniques (PS or RS) can, therefore, be used in a complementary way to identify and anticipate the food supplementation needs for animals and support farmers in decision making.</w:t>
      </w:r>
    </w:p>
    <w:p>
      <w:pPr>
        <w:pStyle w:val="Heading2"/>
      </w:pPr>
      <w:r>
        <w:t>849.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2023:</w:t>
      </w:r>
      <w:r>
        <w:t xml:space="preserve"> EGS development in Europe based on operational geothermal projects — https://doi.org/10.1201/9781003271475-2</w:t>
      </w:r>
    </w:p>
    <w:p>
      <w:pPr/>
      <w:r>
        <w:rPr>
          <w:b/>
        </w:rPr>
        <w:t>Shared claim-specific concepts:</w:t>
      </w:r>
      <w:r>
        <w:t xml:space="preserve"> resource, egs, enhanced, geothermal, systems; EU scope visible. This is a provisional connection, not an outcome finding.</w:t>
      </w:r>
    </w:p>
    <w:p>
      <w:pPr>
        <w:pStyle w:val="SourceNote"/>
      </w:pPr>
      <w:r>
        <w:rPr>
          <w:b/>
        </w:rPr>
        <w:t>Available abstract (not full text):</w:t>
      </w:r>
      <w:r>
        <w:t xml:space="preserve"> Enhanced geothermal systems (EGS) appear as a tangible solution for developing decarbonized electricity production and/or renewable heat at high temperatures for industry in Europe. Based on operational geothermal plants (Soultz-sous-Forêts, Rittershoffen) located in the Upper Rhine Graben (URG), it turns out that thermo-hydro or chemical stimulation techniques could be applied to naturally fractured reservoirs to enhance the hydraulic performance of the geothermal wells. However, the main challenge for EGS is the potential occurrence of induced seismicity related to post-drilling hydraulic stimulation or done during sustainable geothermal exploitation, which could generate severe societal concerns. Moreover, after several years of geothermal exploitation in the URG, there is a very low environmental impact characterized by negligible carbon dioxide emissions. As the exploited geothermal resource trapped in the fractured crystalline reservoirs is a Li-rich brine, it is likely in the near future that geothermal lithium for batteries could be produced with a neutral carbon footprint.</w:t>
      </w:r>
    </w:p>
    <w:p>
      <w:pPr/>
      <w:r>
        <w:rPr>
          <w:b/>
        </w:rPr>
        <w:t>POSSIBLE 2022:</w:t>
      </w:r>
      <w:r>
        <w:t xml:space="preserve"> Hydraulic stimulation strategies in enhanced geothermal systems (EGS): a review — https://doi.org/10.1007/s40948-022-00516-w</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Abstract In enhanced geothermal systems (EGS), the natural permeability of deep rocks is normally not high enough and needs to be increased. Permeability increase can be achieved through various stimulation methods, such as hydraulic, chemical, and thermal stimulation. Among these, hydraulic stimulation is the most commonly used technique to increase both reservoir permeability and the specific area for heat exchange. A comprehensive understanding of the underlying processes towards an optimization of hydraulic stimulation performance while minimizing the potential of unwanted induced seismicity is a critical prerequisite for a successful development of any EGS site. In this paper, we review the hydraulic stimulation strategies that have been developed and implemented for EGS. We begin with a description of the underlying mechanisms through which the permeability and heat exchange area increases are achieved. We then discuss the mechanisms of fluid injection-induced seismicity during and after a hydraulic stimulation operation. After that, alternative hydraulic stimulation strategies, namely conventional hydraulic stimulation, multi-stage fracturing, and cyclic soft stimulation, are reviewed based on current research in theoretical studies as well as, laboratory, and in-situ field experiments. Finally, some representative EGS projects are reviewed, focusing on fluid injection s</w:t>
      </w:r>
    </w:p>
    <w:p>
      <w:pPr/>
      <w:r>
        <w:rPr>
          <w:b/>
        </w:rPr>
        <w:t>POSSIBLE 2021:</w:t>
      </w:r>
      <w:r>
        <w:t xml:space="preserve"> The importance of tectonic inheritance and reactivation in geothermal energy exploration for EGS resources in SW England — https://openalex.org/W3092617703</w:t>
      </w:r>
    </w:p>
    <w:p>
      <w:pPr/>
      <w:r>
        <w:rPr>
          <w:b/>
        </w:rPr>
        <w:t>Shared claim-specific concepts:</w:t>
      </w:r>
      <w:r>
        <w:t xml:space="preserve"> egs, enhanced, geothermal, different; EU scope not established. This is a provisional connection, not an outcome finding.</w:t>
      </w:r>
    </w:p>
    <w:p>
      <w:pPr>
        <w:pStyle w:val="SourceNote"/>
      </w:pPr>
      <w:r>
        <w:rPr>
          <w:b/>
        </w:rPr>
        <w:t>Available abstract (not full text):</w:t>
      </w:r>
      <w:r>
        <w:t xml:space="preserve"> Exploration for Enhanced Geothermal System (EGS) resources has long sought natural deep fractured reservoirs. The Upper Rhine Graben is the most studied area for these targets including the successful geothermal plants at Soultz-sous-Forêts, Bruchsal, Insheim, Landau and Rittershoffen (Genter et al., 2010; Vidal et al., 2017). Previous geothermal projects, such as the Hot Dry Rock project at Rosemanowes (1977-1991) in Cornwall (SW England), targeted areas that lacked major faults and fractures (Barker et al., 2000). The Upper Rhine Graben was incepted during Eocene-Oligocene rifting in a NNE-SSW orientation that underwent Miocene sinistral reactivation (Schumacher, 2002). However, structural inheritance from dextrally reactivated Variscan ENE-WSW faults during the Miocene may also contribute to the reservoir (Bertrand et al., 2017). Geothermal energy exploration is currently experiencing a revival in SW England, targeting EGS resources within deep granitehosted fault zones. Two deep wells have been drilled at the United Downs Deep Geothermal Power Project to depths of approximately 5.0 and 2.5 km near Redruth and Eden-EGS Energy have advanced plans for deep geothermal wells near St Austell. The geology of SW England comprises several E-W-trending Devonian-Carboniferous sedimentary basins that were deformed during the Variscan orogeny (Carboniferous) and intruded by the Cornubia</w:t>
      </w:r>
    </w:p>
    <w:p>
      <w:pPr/>
      <w:r>
        <w:rPr>
          <w:b/>
        </w:rPr>
        <w:t>POSSIBLE 2020:</w:t>
      </w:r>
      <w:r>
        <w:t xml:space="preserve"> Stochastic workflows for the evaluation of Enhanced Geothermal System (EGS) potential in geothermal greenfields with sparse data: the case study of Acoculco, Mexico — https://doi.org/10.1016/j.geothermics.2020.101879</w:t>
      </w:r>
    </w:p>
    <w:p>
      <w:pPr/>
      <w:r>
        <w:rPr>
          <w:b/>
        </w:rPr>
        <w:t>Shared claim-specific concepts:</w:t>
      </w:r>
      <w:r>
        <w:t xml:space="preserve"> resource, egs, enhanced, geothermal, systems, different; EU scope not established. This is a provisional connection, not an outcome finding.</w:t>
      </w:r>
    </w:p>
    <w:p>
      <w:pPr>
        <w:pStyle w:val="SourceNote"/>
      </w:pPr>
      <w:r>
        <w:rPr>
          <w:b/>
        </w:rPr>
        <w:t>Available abstract (not full text):</w:t>
      </w:r>
      <w:r>
        <w:t xml:space="preserve"> This paper presents a workflow for resource characterization and assessment of exploration geothermal fields with minimum data. Our approach utilizes stochastic methods to estimate the temperature distribution at potential target depths by focusing on the impact of uncertain input parameters such as thermal conductivity and porosity. We first perform stochastic forward simulations to determine the initial steady-state thermal field and subsequently quantify the uncertainty via a Monte Carlo approach known as Sequential Gaussian Simulation (SGSim). Next, we analyze the in-field likelihood of success for Enhanced Geothermal Systems by simulating hypothetical energy production scenarios based on existing geothermal installations. This approach is applied to the case study of a Hot Dry Rock geothermal field with two exploration wells, located in Acoculco, Mexico. Data scarcity in this field necessitates the use of stochastic methods for plausible prediction of reservoir temperature used to determine the accessible thermal power. Once reliable temperature estimates are obtained at potential target depths, we simulate production scenarios by assuming a prior successful stimulation process in the existing wells. In addition to providing preliminary estimates of thermal power for different injection/production rates, stimulated volumes and created permeability, we present the long-term</w:t>
      </w:r>
    </w:p>
    <w:p>
      <w:pPr/>
      <w:r>
        <w:rPr>
          <w:b/>
        </w:rPr>
        <w:t>POSSIBLE 2019:</w:t>
      </w:r>
      <w:r>
        <w:t xml:space="preserve"> Enhanced geothermal system (EGS) well stimulation design and simulation using DFN-based model: Newberry EGS case study — https://openalex.org/W2964883730</w:t>
      </w:r>
    </w:p>
    <w:p>
      <w:pPr/>
      <w:r>
        <w:rPr>
          <w:b/>
        </w:rPr>
        <w:t>Shared claim-specific concepts:</w:t>
      </w:r>
      <w:r>
        <w:t xml:space="preserve"> egs, enhanced, geothermal, different; EU scope visible. This is a provisional connection, not an outcome finding.</w:t>
      </w:r>
    </w:p>
    <w:p>
      <w:pPr>
        <w:pStyle w:val="SourceNote"/>
      </w:pPr>
      <w:r>
        <w:rPr>
          <w:b/>
        </w:rPr>
        <w:t>Available abstract (not full text):</w:t>
      </w:r>
      <w:r>
        <w:t xml:space="preserve"> A conceptual model of the Newberry EGS (Enhanced Geothermal System) project stimulation program for well NWG 55-29 has been developed.A discrete fracture network (DFN) model is embedded in the simulation to investigate effect of in situ stress state and natural fractures or faults properties.The local in situ stress information has been revisited and a new interpretation is proposed.Simulation results using the conceptual model are compared to a case of previously published stress information.To revisit the stress determination, compressive failure around a wellbore has been analyzed and different modes of breakouts were distinguished.Incorporating temperature change, a simple compressive failure model based on Mohr-Coulomb failure criterion for inclined wellbores has been developed.The model has been first used to perceive compressive failure profile when breakouts and tensile wall fractures simultaneously occurred at a wellbore from a well at Visund Field in the North Sea.The model illustrates distinct profiles at the direction of breakouts and tensile wall fractures.Further, it is also applied to well GPK2 at the Soultz geothermal field in France, where thermally induced or mode-X breakout has been observed.Different modes of compressive wellbore failure are observed, B-mode for conventional breakout and X-mode for breakout at the opposite side as compressive failure happeni</w:t>
      </w:r>
    </w:p>
    <w:p>
      <w:pPr/>
      <w:r>
        <w:rPr>
          <w:b/>
        </w:rPr>
        <w:t>POSSIBLE 2019:</w:t>
      </w:r>
      <w:r>
        <w:t xml:space="preserve"> An In‐Depth Seismological Analysis Revealing a Causal Link Between the 2017 MW 5.5 Pohang Earthquake and EGS Project — https://doi.org/10.1029/2019jb018368</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Abstract Hydraulic injection by the Pohang enhanced geothermal systems (EGSs) has been suspected to trigger the 2017 moment magnitude (MW) 5.5 Pohang earthquake in South Korea. The last stimulation experiment in the EGS was conducted only 2 months before the disaster, which has led to this suspicion. In this study, we conducted a seismic analysis on the earthquakes that have occurred around the EGS site in the past 10 years. The study included the construction of a velocity model, earthquake detection, the determination of hypocenters, magnitudes, focal mechanisms, and stress inversion, and a clustering analysis. No seismic activity was detected near the study area until November 2015 when there was a loss of a large quantity of heavy drilling mud. For three stimulations of a geothermal well, earthquakes sequentially migrated to the southwest along a fault plane, leading to the location of the mainshock. The delineated fault plane crossed the injection well at approximately 3,800 m, which corresponds to the borehole interval of not only the mud loss but also the breakage of the well's casing due to the mainshock rupture. These findings can be treated as empirical evidence for the hypothesis that the 2017 MW 5.5 Pohang earthquake was initiated on a critically stressed fault zone by the anthropogenic activity of fluid injection, consequentially releasing accumulated strain energy</w:t>
      </w:r>
    </w:p>
    <w:p>
      <w:pPr/>
      <w:r>
        <w:rPr>
          <w:b/>
        </w:rPr>
        <w:t>POSSIBLE 2019:</w:t>
      </w:r>
      <w:r>
        <w:t xml:space="preserve"> APPLIED GEOSTATISTICS TO THE ASSESSMENT OF ENHANCED GEOTHERMAL SYSTEM (EGS) IN CENTRAL SUMATERA BASIN — https://doi.org/10.47599/bsdg.v14i2.284</w:t>
      </w:r>
    </w:p>
    <w:p>
      <w:pPr/>
      <w:r>
        <w:rPr>
          <w:b/>
        </w:rPr>
        <w:t>Shared claim-specific concepts:</w:t>
      </w:r>
      <w:r>
        <w:t xml:space="preserve"> egs, enhanced, geothermal; EU scope not established. This is a provisional connection, not an outcome finding.</w:t>
      </w:r>
    </w:p>
    <w:p>
      <w:pPr>
        <w:pStyle w:val="SourceNote"/>
      </w:pPr>
      <w:r>
        <w:rPr>
          <w:b/>
        </w:rPr>
        <w:t>Available abstract (not full text):</w:t>
      </w:r>
      <w:r>
        <w:t xml:space="preserve"> Thick sediment (over 2,500 m), fractured basement and high thermal gradient (up to 19.10 C/100 m) of Central Sumatra Basin are suitable factors to have the Enhanced Geothermal System (EGS) potential. A number of 130 wells data were used to evaluate the EGS of the basin. The assessment is divided into the number of estimation within the grid cell (1x1 km) of sediment thickness, heat flow, thermal conductivity and technical potential calculated starting from basement-sediment layer interface. The distribution of heat flow and gradient thermal values correspond to the sediment layer. The autocorrelation test indicates the data is stationary. The variance of data gets bigger after a depth over 5.5 km. According to the Beardsmore protocol, the technical potential value ranged from 0.5 MW up to 4.7 MW at a depth of 3.5 km. In addition, the lowest technical potential is 0.66 MW and the highest is 5.76 MW at a depth of 4.5 km. The ordinary kriging, using the number of lags 10 in variogram modeling, estimated the technical potential distribution is higher to the southwest.</w:t>
      </w:r>
    </w:p>
    <w:p>
      <w:pPr/>
      <w:r>
        <w:rPr>
          <w:b/>
        </w:rPr>
        <w:t>POSSIBLE 2018:</w:t>
      </w:r>
      <w:r>
        <w:t xml:space="preserve"> Seismic Analysis of Spatio-Temporal Fracture Generation During EGS Resource Development — https://doi.org/10.2172/1479656</w:t>
      </w:r>
    </w:p>
    <w:p>
      <w:pPr/>
      <w:r>
        <w:rPr>
          <w:b/>
        </w:rPr>
        <w:t>Shared claim-specific concepts:</w:t>
      </w:r>
      <w:r>
        <w:t xml:space="preserve"> resource, egs, enhanced, geothermal; EU scope not established. This is a provisional connection, not an outcome finding.</w:t>
      </w:r>
    </w:p>
    <w:p>
      <w:pPr>
        <w:pStyle w:val="SourceNote"/>
      </w:pPr>
      <w:r>
        <w:rPr>
          <w:b/>
        </w:rPr>
        <w:t>Available abstract (not full text):</w:t>
      </w:r>
      <w:r>
        <w:t xml:space="preserve"> This DOE GTO funded project was a collaborative effort between Array Information Technology and the University of California at Berkeley. The project goal is to improve technology to assess in-situ stress magnitude and orientation, kinematic fracture parameters, rupture size, rupture orientation as well as temporal changes and volumetric distribution of the injected fluid during Enhanced Geothermal System (EGS) resource development. The project leveraged high-frequency seismic data recorded by the LBNL 34-station permanent geophone network and seismic broadband data recorded by a temporary 33-station seismometer network that operated in The Geysers during the injection phase of the DOE GTO funded EGS demonstration project at the well Prati-32. The operation of the broadband network with high station density and good azimuthal coverage to monitor the injection phase produced an unprecedented dataset that is typically unavailable for EGS operations. The two datasets offer the advantages of studying the parameters under investigation over a broader frequency band and the higher sensitivity of the broadband seismometers resulted in a richer dataset with a lower magnitude of completeness. Moment tensor (MT) inversion have been employed to develop a catalog of earthquake source solutions including moment tensor and finite source rupture area. This resulted in a 168-event waveform-bas</w:t>
      </w:r>
    </w:p>
    <w:p>
      <w:pPr/>
      <w:r>
        <w:rPr>
          <w:b/>
        </w:rPr>
        <w:t>POSSIBLE 2017:</w:t>
      </w:r>
      <w:r>
        <w:t xml:space="preserve"> Assessment of the resource base for engineered geothermal systems in Great Britain — https://doi.org/10.1186/s40517-017-0066-z</w:t>
      </w:r>
    </w:p>
    <w:p>
      <w:pPr/>
      <w:r>
        <w:rPr>
          <w:b/>
        </w:rPr>
        <w:t>Shared claim-specific concepts:</w:t>
      </w:r>
      <w:r>
        <w:t xml:space="preserve"> resource, base, egs, geothermal, systems, different; EU scope not established. This is a provisional connection, not an outcome finding.</w:t>
      </w:r>
    </w:p>
    <w:p>
      <w:pPr>
        <w:pStyle w:val="SourceNote"/>
      </w:pPr>
      <w:r>
        <w:rPr>
          <w:b/>
        </w:rPr>
        <w:t>Available abstract (not full text):</w:t>
      </w:r>
      <w:r>
        <w:t xml:space="preserve"> An assessment of the engineered geothermal system (EGS) resource base that might be available for the generation of electricity for Great Britain has been undertaken by adopting a globally self-consistent protocol that if universally adopted, would allow estimates of EGS made for different countries and regions to be comparable. Maximum estimated temperatures at depths of 5 and 7 km are greater than 200 and 300 °C respectively, a considerable increase over previous estimates. The total heat in place in the basement, to a depth of 9.5 km that is theoretically available for EGS is 357,197 EJ. If it were possible to develop just 2% of this resource, this would be equivalent to 1242 times the final UK energy consumption in 2015. The theoretical and technical potential power has been calculated from the available heat in place. The total technical potential power, to a depth of 6.5 km, is 222,393 MW e and represents just 0.4% of the theoretical potential power. Current EGS exploitation is more likely to be restricted to a depths of around 4.5 km and reservoir temperatures greater than 175 °C. In which case technical potential power is mainly restricted to regions of high heat producing granites and represents a total technical potential power of 2280 MW e . However, improvements in drilling technology are expected to enable economic drilling to depths of 7 km or greater that will en</w:t>
      </w:r>
    </w:p>
    <w:p>
      <w:pPr/>
      <w:r>
        <w:rPr>
          <w:b/>
        </w:rPr>
        <w:t>POSSIBLE 2016:</w:t>
      </w:r>
      <w:r>
        <w:t xml:space="preserve"> A Selection Method for Power Generation Plants Used for Enhanced Geothermal Systems (EGS) — https://doi.org/10.3390/en9080597</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As a promising and advanced technology, enhanced geothermal systems (EGS) can be used to generate electricity using deep geothermal energy. In order to better utilize the EGS to produce electricity, power cycles’ selection maps are generated for people to choose the best system based on the geofluids’ temperature and dryness conditions. Optimizations on double-flash system (DF), flash-organic Rankine cycle system (FORC), and double-flash-organic Rankine cycle system (DFORC) are carried out, and the single-flash (SF) system is set as a reference system. The results indicate that each upgraded system (DF, FORC, and DFORC) can produce more net power output compared with the SF system and can reach a maximum net power output under a given geofluid condition. For an organic Rankine cycle (ORC) using R245fa as working fluid, the generated selection maps indicate that using the FORC system can produce more power than using other power cycles when the heat source temperature is below 170 °C. Either DF or DFORC systems could be an option if the heat source temperature is above 170 °C, but the DF system is more attractive under a relatively lower geofluid’s dryness and a higher temperature condition.</w:t>
      </w:r>
    </w:p>
    <w:p>
      <w:pPr>
        <w:pStyle w:val="Heading2"/>
      </w:pPr>
      <w:r>
        <w:t>850.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2021:</w:t>
      </w:r>
      <w:r>
        <w:t xml:space="preserve"> The first multi-model ensemble of regional climate simulations at kilometer-scale resolution, part I: evaluation of precipitation — https://doi.org/10.1007/s00382-021-05708-w</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Abstract Here we present the first multi-model ensemble of regional climate simulations at kilometer-scale horizontal grid spacing over a decade long period. A total of 23 simulations run with a horizontal grid spacing of $$\sim $$ ∼ 3 km, driven by ERA-Interim reanalysis, and performed by 22 European research groups are analysed. Six different regional climate models (RCMs) are represented in the ensemble. The simulations are compared against available high-resolution precipitation observations and coarse resolution ( $$\sim $$ ∼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a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On average, the multi-model mean shows a reduction of bias from $$\sim \,$$ ∼ −40% at 12 km to $$\sim \,$$ ∼ −3% at 3 km for heavy hourly precipitation in summer. Furthermore, the</w:t>
      </w:r>
    </w:p>
    <w:p>
      <w:pPr/>
      <w:r>
        <w:rPr>
          <w:b/>
        </w:rPr>
        <w:t>POSSIBLE 2021:</w:t>
      </w:r>
      <w:r>
        <w:t xml:space="preserve"> The first multi-model ensemble of regional climate simulations at kilometer-scale resolution part 2: historical and future simulations of precipitation — https://doi.org/10.1007/s00382-021-05657-4</w:t>
      </w:r>
    </w:p>
    <w:p>
      <w:pPr/>
      <w:r>
        <w:rPr>
          <w:b/>
        </w:rPr>
        <w:t>Shared claim-specific concepts:</w:t>
      </w:r>
      <w:r>
        <w:t xml:space="preserve"> multi-model, ensemble, regional, climate, precipitation;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multi-model, ensemble, regional, climate, projections;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An investigation of weighting schemes suitable for incorporating large ensembles into multi-model ensembles — https://doi.org/10.5194/esd-11-807-2020</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Multi-model ensembles can be used to estimate uncertainty in projections of regional climate, but this uncertainty often depends on the constituents of the ensemble. The dependence of uncertainty on ensemble composition is clear when single model initial condition large ensembles (SMILEs) are included within a multi-model ensemble. SMILEs introduce new information into a multi-model ensemble by representing region-scale internal variability, but also introduce redundant information, by virtue of a single model being represented by 50–100 outcomes. To preserve the contribution of internal variability and ensure redundancy does not overwhelm uncertainty estimates, a weighting approach is used to incorporate 50-members of the Community Earth System Model (CESM1.2.2), 50-members of the Canadian Earth System Model (CanESM2), and 100-members of the MPI Grand Ensemble (MPI-GE) into an 88-member Coupled Model Intercomparison Project Phase 5 (CMIP5) multi-model ensemble. The weight assigned to each multi-model ensemble member is based on the member's ability to reproduce observed climate (performance) and scaled by a measure of redundancy (dependence). Surface air temperature (SAT) and sea level pressure (SLP) diagnostics are used to determine the weights, and relationships between present and future diagnostic behavior are discussed. A new diagnostic, estimated forced trend, </w:t>
      </w:r>
    </w:p>
    <w:p>
      <w:pPr/>
      <w:r>
        <w:rPr>
          <w:b/>
        </w:rPr>
        <w:t>POSSIBLE 2020:</w:t>
      </w:r>
      <w:r>
        <w:t xml:space="preserve"> Evaluation of the Large EURO‐CORDEX Regional Climate Model Ensemble — https://doi.org/10.1029/2019jd032344</w:t>
      </w:r>
    </w:p>
    <w:p>
      <w:pPr/>
      <w:r>
        <w:rPr>
          <w:b/>
        </w:rPr>
        <w:t>Shared claim-specific concepts:</w:t>
      </w:r>
      <w:r>
        <w:t xml:space="preserve"> ensemble, regional, climate, projections, temperature, precipitation; EU scope visible. This is a provisional connection, not an outcome finding.</w:t>
      </w:r>
    </w:p>
    <w:p>
      <w:pPr>
        <w:pStyle w:val="SourceNote"/>
      </w:pPr>
      <w:r>
        <w:rPr>
          <w:b/>
        </w:rPr>
        <w:t>Available abstract (not full text):</w:t>
      </w:r>
      <w:r>
        <w:t xml:space="preserve"> Abstract The use of regional climate model (RCM)‐based projections for providing regional climate information in a research and climate service contexts is currently expanding very fast. This has been possible thanks to a considerable effort in developing comprehensive ensembles of RCM projections, especially for Europe, in the EURO‐CORDEX community (Jacob et al., 2014, 2020). As of end of 2019, EURO‐CORDEX has developed a set of 55 historical and scenario projections (RCP8.5) using 8 driving global climate models (GCMs) and 11 RCMs. This article presents the ensemble including its design. We target the analysis to better characterize the quality of the RCMs by providing an evaluation of these RCM simulations over a number of classical climate variables and extreme and impact‐oriented indices for the period 1981–2010. For the main variables, the model simulations generally agree with observations and reanalyses. However, several systematic biases are found as well, with shared responsibilities among RCMs and GCMs: Simulations are overall too cold, too wet, and too windy compared to available observations or reanalyses. Some simulations show strong systematic biases on temperature, others on precipitation or dynamical variables, but none of the models/simulations can be defined as the best or the worst on all criteria. The article aims at supporting a proper use of these simulat</w:t>
      </w:r>
    </w:p>
    <w:p>
      <w:pPr/>
      <w:r>
        <w:rPr>
          <w:b/>
        </w:rPr>
        <w:t>POSSIBLE 2020:</w:t>
      </w:r>
      <w:r>
        <w:t xml:space="preserve"> The first multi-model ensemble of regional climate simulations at kilometer-scale resolution, Part I: Evaluation of precipitation — https://doi.org/10.5194/egusphere-egu2020-22378</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Here we present the first multi-model ensemble of climate simulations at kilometer-scale horizontal resolution over a decade long period. A total of 22 simulations, performed by 21 European research groups are analyzed. Six different regional climate models (RCMs) are represented in the ensemble. The simulations are compared against available high-resolution precipitation observations and coarse resolution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Although differences between the model simulations at the kilometer-scale and observations exist, it is evident that they are superior to the coarse-resolution RCMs in the simulation of precipitation in the present-day climate, and thus offer a promising way forward for investigations of climate and climat</w:t>
      </w:r>
    </w:p>
    <w:p>
      <w:pPr/>
      <w:r>
        <w:rPr>
          <w:b/>
        </w:rPr>
        <w:t>POSSIBLE 2020:</w:t>
      </w:r>
      <w:r>
        <w:t xml:space="preserve"> Precipitation projections of the first multi-model ensemble of regional climate simulations at convection permitting scale — https://doi.org/10.5194/egusphere-egu2020-2687</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We present a multi-model ensemble of regional climate model scenario simulations run at scales allowing for explicit treatment of convective processes (2-3km) over historical and end of century time slices, providing an overview of future precipitation changes over the Alpine domain within the convection-permitting CORDEX-FPS initiative. The 12 simulations of the ensemble have been performed by different research groups around Europe. The simulations are compared with high resolution observations to assess the performance over the historical period and the ensemble of 12 to 25 km resolution driving models is used as a benchmark. An improvement of the representation of fine scale details of the analyzed fields on a seasonal scale is found, as well as of the onset and peak of the summer diurnal convection. An enhancement of the projected patterns of change and modifications of its sign for the daily precipitation intensity and heavy precipitation over some regions are found with respect to coarse resolution ensemble. A change of the amplitude of the diurnal cycle for precipitation intensity and frequency is also shown, as well also a larger positive change for high to extreme events for daily and hourly precipitation distributions. The results are challenging and promising for further assessment of the local impacts of climate change.</w:t>
      </w:r>
    </w:p>
    <w:p>
      <w:pPr/>
      <w:r>
        <w:rPr>
          <w:b/>
        </w:rPr>
        <w:t>POSSIBLE 2019:</w:t>
      </w:r>
      <w:r>
        <w:t xml:space="preserve"> Assessing natural variability in RCM signals: comparison of a multi model EURO-CORDEX ensemble with a 50-member single model large ensemble — https://doi.org/10.1007/s00382-019-04755-8</w:t>
      </w:r>
    </w:p>
    <w:p>
      <w:pPr/>
      <w:r>
        <w:rPr>
          <w:b/>
        </w:rPr>
        <w:t>Shared claim-specific concepts:</w:t>
      </w:r>
      <w:r>
        <w:t xml:space="preserve"> multi-model, ensemble, regional, climate, used, temperature; EU scope visible. This is a provisional connection, not an outcome finding.</w:t>
      </w:r>
    </w:p>
    <w:p>
      <w:pPr>
        <w:pStyle w:val="SourceNote"/>
      </w:pPr>
      <w:r>
        <w:rPr>
          <w:b/>
        </w:rPr>
        <w:t>Available abstract (not full text):</w:t>
      </w:r>
      <w:r>
        <w:t xml:space="preserve"> Uncertainties in climate model ensembles are still relatively large. Besides scenario and model response uncertainty, natural variability is another important source of uncertainty. To study regional natural variability on timescales of several decades and more, observations are often too sparse and short. Regional Climate Models (RCMs) can be used to overcome this lack of useful data at high spatial resolutions. In this study, we compare a new 50-member single RCM large ensemble (CRCM5-LE) with an ensemble of 22 EURO-CORDEX models for seasonal temperature and precipitation at 0.11° grid size over Europe—all driven by the RCP 8.5 scenario. This setup allows us to quantify the contribution of natural/model-internal variability on the total uncertainty of a multi-model ensemble. The variability of climate change signals within the two ensembles is compared for three future periods (2020–2049, 2040–069 and 2070–2099). Results show that the single model spread is usually smaller than the multi-model spread for temperature. Similar variabilities can mostly be found in the near future (and to a lesser extent in the mid future) during winter and spring, especially for northern and central parts of Europe. The contribution of internal variability is generally higher for precipitation. In the near future almost all seasons and regions show similar variabilities. In the mid and far futur</w:t>
      </w:r>
    </w:p>
    <w:p>
      <w:pPr/>
      <w:r>
        <w:rPr>
          <w:b/>
        </w:rPr>
        <w:t>POSSIBLE 2019:</w:t>
      </w:r>
      <w:r>
        <w:t xml:space="preserve"> A multi-model, multi-scenario, and multi-domain analysis of regional climate projections for the Mediterranean — https://doi.org/10.1007/s10113-019-01565-w</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Observation and model-based studies have identified the Mediterranean region as one of the most prominent climate change “hot-spots.” Parts of this distinctive region are included in several Coordinated Regional Downscaling Experiment (CORDEX) domains such as those for Europe, Africa, the Mediterranean, and the Middle East/North Africa. In this study, we compile and analyze monthly temperature and precipitation fields derived from regional climate model simulations performed over different CORDEX domains at a spatial resolution of 50 km. This unique multi-model, multi-scenario, and multi-domain “super-ensemble” is used to update projected changes for the Mediterranean region. The statistical robustness and significance of the climate change signal is assessed. By considering information from more than one CORDEX domains, our analysis addresses an additional type of uncertainty that is often neglected and is related to the positioning of the regional climate model domain. CORDEX simulations suggest a general warming by the end of the century (between 1 and 5 °C with respect to the 1986–2005 reference period), which is expected to be strongest during summer (up to 7 °C). A general drying (between 10 and 40%) is also inferred for the Mediterranean. However, the projected precipitation change signal is less significant and less robust. The CORDEX ensemble corroborates the </w:t>
      </w:r>
    </w:p>
    <w:p>
      <w:pPr/>
      <w:r>
        <w:rPr>
          <w:b/>
        </w:rPr>
        <w:t>POSSIBLE 2019:</w:t>
      </w:r>
      <w:r>
        <w:t xml:space="preserve"> A global evaluation of multi‐model ensemble tropical cyclone track probability forecasts — https://doi.org/10.1002/qj.3712</w:t>
      </w:r>
    </w:p>
    <w:p>
      <w:pPr/>
      <w:r>
        <w:rPr>
          <w:b/>
        </w:rPr>
        <w:t>Shared claim-specific concepts:</w:t>
      </w:r>
      <w:r>
        <w:t xml:space="preserve"> ensemble, regional, terms, high; EU scope visible. This is a provisional connection, not an outcome finding.</w:t>
      </w:r>
    </w:p>
    <w:p>
      <w:pPr>
        <w:pStyle w:val="SourceNote"/>
      </w:pPr>
      <w:r>
        <w:rPr>
          <w:b/>
        </w:rPr>
        <w:t>Available abstract (not full text):</w:t>
      </w:r>
      <w:r>
        <w:t xml:space="preserve"> Abstract At the Met Office, dynamic ensemble forecasts from the Met Office Global and Regional Ensemble Prediction System (MOGREPS‐G), the European Centre for Medium‐Range Weather Forecasts Ensemble (ECMWF ENS) and National Centers for Environmental Prediction Global Ensemble Forecast System (NCEP GEFS) global ensemble forecast models are post‐processed to identify and track tropical cyclones. The ensemble members from each model are also combined into a 108‐member multi‐model ensemble. Track probability forecasts are produced for named tropical cyclones showing the probability of a location being within 120 km of a named tropical cyclone at any point in the next 7 days, and also broken down into each 24‐hour forecast period. This study presents the verification of these named‐storm track probabilities over a two‐year period across all global tropical cyclone basins, and compares the results from basin to basin. The combined multi‐model ensemble is found to increase the skill and value of the track probability forecasts over the best‐performing individual ensemble (ECMWF ENS), for both overall 7‐day track probability forecasts and 24‐hour track probabilities. Basin‐based and storm‐based verification illustrates that the best performing individual ensemble can change from basin to basin and from storm to storm, but that the multi‐model ensemble adds skill in every basin, and is </w:t>
      </w:r>
    </w:p>
    <w:p>
      <w:pPr>
        <w:pStyle w:val="Heading2"/>
      </w:pPr>
      <w:r>
        <w:t>851.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partially, climate, trends, observed, over, central;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2019:</w:t>
      </w:r>
      <w:r>
        <w:t xml:space="preserve"> Social Innovation in Community Energy in Europe: A Review of the Evidence — https://doi.org/10.3389/fenrg.2019.00031</w:t>
      </w:r>
    </w:p>
    <w:p>
      <w:pPr/>
      <w:r>
        <w:rPr>
          <w:b/>
        </w:rPr>
        <w:t>Shared claim-specific concepts:</w:t>
      </w:r>
      <w:r>
        <w:t xml:space="preserve"> over, last, three;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2017:</w:t>
      </w:r>
      <w:r>
        <w:t xml:space="preserve"> Life cycle assessment of chitosan production in India and Europe — https://doi.org/10.1007/s11367-017-1290-2</w:t>
      </w:r>
    </w:p>
    <w:p>
      <w:pPr/>
      <w:r>
        <w:rPr>
          <w:b/>
        </w:rPr>
        <w:t>Shared claim-specific concepts:</w:t>
      </w:r>
      <w:r>
        <w:t xml:space="preserve"> three, use; EU scope visible. This is a provisional connection, not an outcome finding.</w:t>
      </w:r>
    </w:p>
    <w:p>
      <w:pPr>
        <w:pStyle w:val="SourceNote"/>
      </w:pPr>
      <w:r>
        <w:rPr>
          <w:b/>
        </w:rPr>
        <w:t>Available abstract (not full text):</w:t>
      </w:r>
      <w:r>
        <w:t xml:space="preserve"> The aim of this article is to present the first life cycle assessment of chitosan production based on data from two real producers located in India and Europe. The goal of the life cycle assessment (LCA) was to understand the main hot spots in the two supply chains, which are substantially different in terms of raw materials and production locations. The LCA is based on consequential modelling principles, whereby allocation is avoided by means of substitution, and market mixes include only flexible, i.e. non-constrained suppliers. The product system is cradle to gate and includes the production of raw materials, namely waste shells from snow crab and shrimp in Canada and India, respectively, the processing of these in China and India and the manufacture of chitosan in Europe and India. Primary data for chitin and chitosan production were obtained from the actual producers, whereas raw material acquisition as well as waste management activities were based on literature sources. The effects of indirect land use change (iLUC) were also included. Impact assessment was carried out at midpoint level by means of the recommended methods in the International Life Cycle Data (ILCD) handbook. In the Indian supply chain, the production of chemicals (HCl and NaOH) appears as an important hot spot. The use of shrimp shells as raw material affects the market for animal feed, resulting in a cr</w:t>
      </w:r>
    </w:p>
    <w:p>
      <w:pPr>
        <w:pStyle w:val="Heading2"/>
      </w:pPr>
      <w:r>
        <w:t>852.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2023:</w:t>
      </w:r>
      <w:r>
        <w:t xml:space="preserve"> Coupling hydrological, habitat and water supply indicators to improve the management of environmental flows — https://doi.org/10.1016/j.scitotenv.2023.165640</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Highly regulated basins have traditionally required management practices to mitigate the negative environmental impacts and ensure human well-being. This paper proposes and assesses environmental and water supply deficit indicators to assist in the management of environmental flows (e-flows). For that, a water allocation model is applied, and hydrological alteration, habitat alteration and water supply indicators are quantified, normalized and integrated into a general basin management indicator. This basin management indicator is analyzed for four management approaches and seven e-flow scenarios in the Júcar River Basin (eastern Spain). Hydrological alteration indicators show a less pronounced alteration in the river sections located upstream of the basin while a higher alteration in the downstream sections. As for the habitat indicators, they experience an improvement compared to the natural regime. Based on the values of the basin management indicator, the best e-flow scenario to adopt in the Júcar River Basin is selected. The indicators proposed in this work are useful for supporting decision-making regarding the planning and management of e-flows in regulated river basins worldwide.</w:t>
      </w:r>
    </w:p>
    <w:p>
      <w:pPr/>
      <w:r>
        <w:rPr>
          <w:b/>
        </w:rPr>
        <w:t>POSSIBLE 2022:</w:t>
      </w:r>
      <w:r>
        <w:t xml:space="preserve"> A hydrological model to estimate pollution from combined sewer overflows at the regional scale: Application to Europe — https://doi.org/10.1016/j.ejrh.2022.101080</w:t>
      </w:r>
    </w:p>
    <w:p>
      <w:pPr/>
      <w:r>
        <w:rPr>
          <w:b/>
        </w:rPr>
        <w:t>Shared claim-specific concepts:</w:t>
      </w:r>
      <w:r>
        <w:t xml:space="preserve"> hydrological, first, order; EU scope visible. This is a provisional connection, not an outcome finding.</w:t>
      </w:r>
    </w:p>
    <w:p>
      <w:pPr>
        <w:pStyle w:val="SourceNote"/>
      </w:pPr>
      <w:r>
        <w:rPr>
          <w:b/>
        </w:rPr>
        <w:t>Available abstract (not full text):</w:t>
      </w:r>
      <w:r>
        <w:t xml:space="preserve"> Combined Sewer Overflows (CSO) of 671 Functional Urban Areas (FUAs) throughout the European Union + UK (EU28), representing almost half of the EU28 population. CSO loads can be quantified at the local scale through measurements, or with calibrated hydrological models. However, they are difficult to quantify at a large scale (e.g. regional or national), due to a lack of data, and the models used at local scale cannot be applied in the absence of knowledge of the combined sewer (CS) network. This paper presents a 6-parameter lumped hydrological model to simulate a CS network and its overflows, using population and rainfall data of 671 EU28 FUAs. When properly calibrated, the model can predict the CSO hydrographs as well as aggregated CSO descriptors of a catchment with known impervious surface area connected to a CS with a reasonable reliability. When model calibration is not possible, using default values of the parameters enables a first approximation estimate of CSOs, accurate within one order of magnitude, which can be used to support scenario analysis for regional and continental CSO management. At the EU28 scale, the estimated total CSO volume is 5.7·103 Mm3/y, with a dry weather flow content in CSOs of 460 Mm3/y (assuming a dry weather flow of 200 l/population equivalent (PE)/day including sanitary discharges, industrial discharge and infiltration). A collection of case st</w:t>
      </w:r>
    </w:p>
    <w:p>
      <w:pPr/>
      <w:r>
        <w:rPr>
          <w:b/>
        </w:rPr>
        <w:t>POSSIBLE 2020:</w:t>
      </w:r>
      <w:r>
        <w:t xml:space="preserve"> Glacio‐hydrological model calibration and evaluation — https://doi.org/10.1002/wat2.1483</w:t>
      </w:r>
    </w:p>
    <w:p>
      <w:pPr/>
      <w:r>
        <w:rPr>
          <w:b/>
        </w:rPr>
        <w:t>Shared claim-specific concepts:</w:t>
      </w:r>
      <w:r>
        <w:t xml:space="preserve"> hydrological, climate, simulations, water, streamflow, account; EU scope not established. This is a provisional connection, not an outcome finding.</w:t>
      </w:r>
    </w:p>
    <w:p>
      <w:pPr>
        <w:pStyle w:val="SourceNote"/>
      </w:pPr>
      <w:r>
        <w:rPr>
          <w:b/>
        </w:rPr>
        <w:t>Available abstract (not full text):</w:t>
      </w:r>
      <w:r>
        <w:t xml:space="preserve"> Abstract Glaciers are essential for downstream water resources. Hydrological modeling is necessary for a better understanding and for future projections of the water resources in these rapidly changing systems, but modeling glacierized catchments is especially challenging. Here we review a wealth of glacio‐hydrological modeling studies (145 publications) in catchments around the world. Major model challenges include a high uncertainty in the input data, mainly precipitation, due to scarce observations. Consequently, the risk of wrongly compensating input with model errors in competing snow and ice accumulation and melt process parameterization is particularly high. Modelers have used a range of calibration and validation approaches to address this issue. The review revealed that while a large part (~35%) of the reviewed studies used only streamflow data to evaluate model performances, most studies (~50%) have used additional data related to snow and glaciers to constrain model parameters. These data were employed in a variety of calibration strategies, including stepwise and multi‐signal calibration. Although the primary aim of glacio‐hydrological modeling studies is to assess future climate change impacts, long‐term changes have rarely been taken into account in model performance evaluations. Overall, a more precise description of which data are used how for model evaluation w</w:t>
      </w:r>
    </w:p>
    <w:p>
      <w:pPr/>
      <w:r>
        <w:rPr>
          <w:b/>
        </w:rPr>
        <w:t>POSSIBLE 2020:</w:t>
      </w:r>
      <w:r>
        <w:t xml:space="preserve"> Review: Sources of Hydrological Model Uncertainties and Advances in Their Analysis — https://doi.org/10.3390/w13010028</w:t>
      </w:r>
    </w:p>
    <w:p>
      <w:pPr/>
      <w:r>
        <w:rPr>
          <w:b/>
        </w:rPr>
        <w:t>Shared claim-specific concepts:</w:t>
      </w:r>
      <w:r>
        <w:t xml:space="preserve"> hydrological, uncertainty; EU scope not established. This is a provisional connection, not an outcome finding.</w:t>
      </w:r>
    </w:p>
    <w:p>
      <w:pPr>
        <w:pStyle w:val="SourceNote"/>
      </w:pPr>
      <w:r>
        <w:rPr>
          <w:b/>
        </w:rPr>
        <w:t>Available abstract (not full text):</w:t>
      </w:r>
      <w:r>
        <w:t xml:space="preserve"> Despite progresses in representing different processes, hydrological models remain uncertain. Their uncertainty stems from input and calibration data, model structure, and parameters. In characterizing these sources, their causes, interactions and different uncertainty analysis (UA) methods are reviewed. The commonly used UA methods are categorized into six broad classes: (i) Monte Carlo analysis, (ii) Bayesian statistics, (iii) multi-objective analysis, (iv) least-squares-based inverse modeling, (v) response-surface-based techniques, and (vi) multi-modeling analysis. For each source of uncertainty, the status-quo and applications of these methods are critiqued in gauged catchments where UA is common and in ungauged catchments where both UA and its review are lacking. Compared to parameter uncertainty, UA application for structural uncertainty is limited while input and calibration data uncertainties are mostly unaccounted. Further research is needed to improve the computational efficiency of UA, disentangle and propagate the different sources of uncertainty, improve UA applications to environmental changes and coupled human–natural-hydrologic systems, and ease UA’s applications for practitioners.</w:t>
      </w:r>
    </w:p>
    <w:p>
      <w:pPr/>
      <w:r>
        <w:rPr>
          <w:b/>
        </w:rPr>
        <w:t>POSSIBLE 2019:</w:t>
      </w:r>
      <w:r>
        <w:t xml:space="preserve"> Improvement of surface run‐off in the hydrological model ParFlow by a scale‐consistent river parameterization — https://doi.org/10.1002/hyp.13448</w:t>
      </w:r>
    </w:p>
    <w:p>
      <w:pPr/>
      <w:r>
        <w:rPr>
          <w:b/>
        </w:rPr>
        <w:t>Shared claim-specific concepts:</w:t>
      </w:r>
      <w:r>
        <w:t xml:space="preserve"> hydrological, simulations, water; EU scope not established. This is a provisional connection, not an outcome finding.</w:t>
      </w:r>
    </w:p>
    <w:p>
      <w:pPr>
        <w:pStyle w:val="SourceNote"/>
      </w:pPr>
      <w:r>
        <w:rPr>
          <w:b/>
        </w:rPr>
        <w:t>Available abstract (not full text):</w:t>
      </w:r>
      <w:r>
        <w:t xml:space="preserve"> Abstract We propose an improvement of the overland‐flow parameterization in a distributed hydrological model, which uses a constant horizontal grid resolution and employs the kinematic wave approximation for both hillslope and river channel flow. The standard parameterization lacks any channel flow characteristics for rivers, which results in reduced river flow velocities for streams narrower than the horizontal grid resolution. Moreover, the surface areas, through which these wider model rivers may exchange water with the subsurface, are larger than the real river channels potentially leading to unrealistic vertical flows. We propose an approximation of the subscale channel flow by scaling Manning's roughness in the kinematic wave formulation via a relationship between river width and grid cell size, following a simplified version of the Barré de Saint‐Venant equations (Manning–Strickler equations). The too large exchange areas between model rivers and the subsurface are compensated by a grid resolution‐dependent scaling of the infiltration/exfiltration rate across river beds. We test both scaling approaches in the integrated hydrological model ParFlow. An empirical relation is used for estimating the true river width from the mean annual discharge. Our simulations show that the scaling of the roughness coefficient and the hydraulic conductivity effectively corrects overland f</w:t>
      </w:r>
    </w:p>
    <w:p>
      <w:pPr/>
      <w:r>
        <w:rPr>
          <w:b/>
        </w:rPr>
        <w:t>POSSIBLE 2018:</w:t>
      </w:r>
      <w:r>
        <w:t xml:space="preserve"> Coupling land-use change and hydrologic models for quantification of catchment ecosystem services — https://doi.org/10.1016/j.envsoft.2018.08.029</w:t>
      </w:r>
    </w:p>
    <w:p>
      <w:pPr/>
      <w:r>
        <w:rPr>
          <w:b/>
        </w:rPr>
        <w:t>Shared claim-specific concepts:</w:t>
      </w:r>
      <w:r>
        <w:t xml:space="preserve"> coupling, use, first; EU scope not established. This is a provisional connection, not an outcome finding.</w:t>
      </w:r>
    </w:p>
    <w:p>
      <w:pPr>
        <w:pStyle w:val="SourceNote"/>
      </w:pPr>
      <w:r>
        <w:rPr>
          <w:b/>
        </w:rPr>
        <w:t>Available abstract (not full text):</w:t>
      </w:r>
      <w:r>
        <w:t xml:space="preserve"> Representation of land-use and hydrologic interactions in respective models has traditionally been problematic. The use of static land-use in most hydrologic models or that of the use of simple hydrologic proxies in land-use change models call for more integrated approaches. The objective of this study is to assess whether dynamic feedback between land-use change and hydrology can (1) improve model performances, and/or (2) produce a more realistic quantification of ecosystem services. To test this, we coupled a land-use change model and a hydrologic mode. First, the land-use change and the hydrologic models were separately developed and calibrated. Then, the two models were dynamically coupled to exchange data at yearly time-steps. The approach is applied to a catchment in South Africa. Performance of coupled models when compared to the uncoupled models were marginal, but the coupled models excelled at the quantification of catchment ecosystem services more robustly.</w:t>
      </w:r>
    </w:p>
    <w:p>
      <w:pPr>
        <w:pStyle w:val="Heading2"/>
      </w:pPr>
      <w:r>
        <w:t>853.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2022:</w:t>
      </w:r>
      <w:r>
        <w:t xml:space="preserve"> Governing artificial intelligence in China and the European Union: Comparing aims and promoting ethical outcomes — https://doi.org/10.1080/01972243.2022.2124565</w:t>
      </w:r>
    </w:p>
    <w:p>
      <w:pPr/>
      <w:r>
        <w:rPr>
          <w:b/>
        </w:rPr>
        <w:t>Shared claim-specific concepts:</w:t>
      </w:r>
      <w:r>
        <w:t xml:space="preserve"> aim, article, use; EU scope visible. This is a provisional connection, not an outcome finding.</w:t>
      </w:r>
    </w:p>
    <w:p>
      <w:pPr>
        <w:pStyle w:val="SourceNote"/>
      </w:pPr>
      <w:r>
        <w:rPr>
          <w:b/>
        </w:rPr>
        <w:t>Available abstract (not full text):</w:t>
      </w:r>
      <w:r>
        <w:t xml:space="preserve"> In this article, we compare the artificial intelligence strategies of China and the European Union, assessing the key similarities and differences regarding what the high-level aims of each governance strategy are, how the development and use of AI is promoted in the public and private sectors, and whom these policies are meant to benefit. We characterize China’s strategy by its primary focus on fostering innovation and a more recent emphasis on “common prosperity,” and the EU’s on promoting ethical outcomes through protecting fundamental rights. Building on this comparative analysis, we consider the areas where the EU and China could learn from and improve upon each other’s approaches to AI governance to promote more ethical outcomes. We outline policy recommendations for both European and Chinese policymakers that would support them in achieving this aim.</w:t>
      </w:r>
    </w:p>
    <w:p>
      <w:pPr/>
      <w:r>
        <w:rPr>
          <w:b/>
        </w:rPr>
        <w:t>POSSIBLE 2022:</w:t>
      </w:r>
      <w:r>
        <w:t xml:space="preserve"> Assessing the Effectiveness of Selected European Innovation Systems — https://doi.org/10.18778/1508-2008.25.15</w:t>
      </w:r>
    </w:p>
    <w:p>
      <w:pPr/>
      <w:r>
        <w:rPr>
          <w:b/>
        </w:rPr>
        <w:t>Shared claim-specific concepts:</w:t>
      </w:r>
      <w:r>
        <w:t xml:space="preserve"> aim, article, assess, possible; EU scope visible. This is a provisional connection, not an outcome finding.</w:t>
      </w:r>
    </w:p>
    <w:p>
      <w:pPr>
        <w:pStyle w:val="SourceNote"/>
      </w:pPr>
      <w:r>
        <w:rPr>
          <w:b/>
        </w:rPr>
        <w:t>Available abstract (not full text):</w:t>
      </w:r>
      <w:r>
        <w:t xml:space="preserve"> The growing importance of innovation in the modern economy has revived the interest of economic sciences in studies on the mechanisms that govern innovation and its impact on economic development. This growth of interest induced the concept of the national system of innovation (NSI), which occupies an important place in the innovation policy of all developed market economies. The economic literature distinguishes various typologies of innovation systems. The aim of the article is to assess the effectiveness of the system of European integration, the socio‑democratic system, and the mutated system, measured by the level of innovation of the economies that belong to these systems, in 2014 and 2019. The article analyzes the literature on the subject of innovation systems. The method of linear ordering, which makes it possible to build a synthetic measure calculated using the Hellwig method, is used to assess the effectiveness of innovation systems. The article formulates a research hypothesis that the most effective innovation systems are the socio‑democratic system and the system of European integration. This hypothesis has been positively verified.</w:t>
      </w:r>
    </w:p>
    <w:p>
      <w:pPr/>
      <w:r>
        <w:rPr>
          <w:b/>
        </w:rPr>
        <w:t>POSSIBLE 2021:</w:t>
      </w:r>
      <w:r>
        <w:t xml:space="preserve"> Assessing the Level of Renewable Energy Development in the European Union Member States. A 10-Year Perspective — https://doi.org/10.3390/en14133765</w:t>
      </w:r>
    </w:p>
    <w:p>
      <w:pPr/>
      <w:r>
        <w:rPr>
          <w:b/>
        </w:rPr>
        <w:t>Shared claim-specific concepts:</w:t>
      </w:r>
      <w:r>
        <w:t xml:space="preserve"> article, assess, possible, set, indicators; EU scope visible. This is a provisional connection, not an outcome finding.</w:t>
      </w:r>
    </w:p>
    <w:p>
      <w:pPr>
        <w:pStyle w:val="SourceNote"/>
      </w:pPr>
      <w:r>
        <w:rPr>
          <w:b/>
        </w:rPr>
        <w:t>Available abstract (not full text):</w:t>
      </w:r>
      <w:r>
        <w:t xml:space="preserve"> The global economic development is, to a great extent, dependent on access to large amounts of cheap energy sources. The growing social awareness of ecology and the enormous damage to the Earth’s ecosystem due to the production of energy from conventional sources have forced fundamental changes in the energy sector. Renewable energy is considered to be an opportunity for such changes. The current state of the art allows such changes to be made without restricting economic development. Therefore, activities related to the energy transition are being taken all over the world. The European Union has definitely managed to achieve the most tangible effects in this regard. This article presents the findings of the research aimed at presenting the current state of renewable energy in the European Union and analyzing the changes reported in this sector in the last decade. The research was carried out using a selected set of 11 indicators characterizing renewable energy in individual countries. These indicators were selected on the basis of literature review and own studies of the state of renewable energy and its development prospects. Based on these indicators, changes in the energy structure of individual European Union countries between 2008–2018 were determined. The study is divided into two main stages. The principal components analysis (PCA) was used for the first analysis. In tu</w:t>
      </w:r>
    </w:p>
    <w:p>
      <w:pPr/>
      <w:r>
        <w:rPr>
          <w:b/>
        </w:rPr>
        <w:t>POSSIBLE 2021:</w:t>
      </w:r>
      <w:r>
        <w:t xml:space="preserve"> Assessing the level of digital maturity of enterprises in the Central and Eastern European countries using the MCDM and Shannon’s entropy methods — https://doi.org/10.1371/journal.pone.0253965</w:t>
      </w:r>
    </w:p>
    <w:p>
      <w:pPr/>
      <w:r>
        <w:rPr>
          <w:b/>
        </w:rPr>
        <w:t>Shared claim-specific concepts:</w:t>
      </w:r>
      <w:r>
        <w:t xml:space="preserve"> article, possible; EU scope visible. This is a provisional connection, not an outcome finding.</w:t>
      </w:r>
    </w:p>
    <w:p>
      <w:pPr>
        <w:pStyle w:val="SourceNote"/>
      </w:pPr>
      <w:r>
        <w:rPr>
          <w:b/>
        </w:rPr>
        <w:t>Available abstract (not full text):</w:t>
      </w:r>
      <w:r>
        <w:t xml:space="preserve"> The process of global economic digitalization is a natural stage of evolutionary changes resulting from a dynamic development of information and communication technologies. Having appreciated the importance and advantages of digital transformation, individual countries began to strive to introduce it as soon as possible. In this context, it is important to study the level of digital maturity in Central and Eastern Europe, where the level of digitization is relatively low. This article assesses the level of digital readiness of enterprises in these countries based on 14 determinants characterizing the most important areas of the digitalization process. The research was carried out for 11 countries from the region, both for all and manufacturing enterprises. Multi-criteria analysis aimed at assessing the digital maturity of countries were performed using the Multi-Criteria Decision-Making methods (the TOPSIS, MOORA, VIKOR), and entropy methods for delineating the weights of the determinants. In order to obtain an unambiguous assessment of the determined digital maturity, the mean-rank method was applied. The method of multidimensional scaling allowed for the analysis of similarities between the countries in question. The results showed that the level of digital maturity in the Central and Eastern Europe countries varies greatly and is lower than in other European Union countries.</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carbon,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The ‘political’ roles of the European Commission — https://doi.org/10.1080/07036337.2019.1572135</w:t>
      </w:r>
    </w:p>
    <w:p>
      <w:pPr/>
      <w:r>
        <w:rPr>
          <w:b/>
        </w:rPr>
        <w:t>Shared claim-specific concepts:</w:t>
      </w:r>
      <w:r>
        <w:t xml:space="preserve"> aim, article, assess;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2017:</w:t>
      </w:r>
      <w:r>
        <w:t xml:space="preserve"> Life cycle assessment of chitosan production in India and Europe — https://doi.org/10.1007/s11367-017-1290-2</w:t>
      </w:r>
    </w:p>
    <w:p>
      <w:pPr/>
      <w:r>
        <w:rPr>
          <w:b/>
        </w:rPr>
        <w:t>Shared claim-specific concepts:</w:t>
      </w:r>
      <w:r>
        <w:t xml:space="preserve"> aim, article, land, use, water, relevant; EU scope visible. This is a provisional connection, not an outcome finding.</w:t>
      </w:r>
    </w:p>
    <w:p>
      <w:pPr>
        <w:pStyle w:val="SourceNote"/>
      </w:pPr>
      <w:r>
        <w:rPr>
          <w:b/>
        </w:rPr>
        <w:t>Available abstract (not full text):</w:t>
      </w:r>
      <w:r>
        <w:t xml:space="preserve"> The aim of this article is to present the first life cycle assessment of chitosan production based on data from two real producers located in India and Europe. The goal of the life cycle assessment (LCA) was to understand the main hot spots in the two supply chains, which are substantially different in terms of raw materials and production locations. The LCA is based on consequential modelling principles, whereby allocation is avoided by means of substitution, and market mixes include only flexible, i.e. non-constrained suppliers. The product system is cradle to gate and includes the production of raw materials, namely waste shells from snow crab and shrimp in Canada and India, respectively, the processing of these in China and India and the manufacture of chitosan in Europe and India. Primary data for chitin and chitosan production were obtained from the actual producers, whereas raw material acquisition as well as waste management activities were based on literature sources. The effects of indirect land use change (iLUC) were also included. Impact assessment was carried out at midpoint level by means of the recommended methods in the International Life Cycle Data (ILCD) handbook. In the Indian supply chain, the production of chemicals (HCl and NaOH) appears as an important hot spot. The use of shrimp shells as raw material affects the market for animal feed, resulting in a cr</w:t>
      </w:r>
    </w:p>
    <w:p>
      <w:pPr/>
      <w:r>
        <w:rPr>
          <w:b/>
        </w:rPr>
        <w:t>POSSIBLE 2015:</w:t>
      </w:r>
      <w:r>
        <w:t xml:space="preserve"> Innovation and Competitiveness in European Context — https://doi.org/10.1016/s2212-5671(15)01455-0</w:t>
      </w:r>
    </w:p>
    <w:p>
      <w:pPr/>
      <w:r>
        <w:rPr>
          <w:b/>
        </w:rPr>
        <w:t>Shared claim-specific concepts:</w:t>
      </w:r>
      <w:r>
        <w:t xml:space="preserve"> article, assess, use, indicators; EU scope visible. This is a provisional connection, not an outcome finding.</w:t>
      </w:r>
    </w:p>
    <w:p>
      <w:pPr>
        <w:pStyle w:val="SourceNote"/>
      </w:pPr>
      <w:r>
        <w:rPr>
          <w:b/>
        </w:rPr>
        <w:t>Available abstract (not full text):</w:t>
      </w:r>
      <w:r>
        <w:t xml:space="preserve"> An almost unanimously accepted issue is that the path to competitiveness of economies, whose companies are exposed to international competition, goes through innovation. This enables companies to adapt quickly to the pace of the technological change, in order to increase competitiveness. This article aims to test the links between innovation and competitiveness having considered the results of the performance evaluation models in matters of innovation and competitiveness for different countries, such as the Innovation Union Scoreboard and IMD World Competitiveness Yearbook. Using these models we can evaluate the connection between the composite indicators calculated by using the methodologies mentioned above. To determine the connection we will use a panel-type econometric model. The econometric analysis aims to confirm a cause-effect relationship between innovation and competitiveness through which we will be able to assess the impact of innovation on competitiveness growth. In accordance with the European and national policies for stimulating innovation through increased R&amp;D funding intensity, raising the average level of spending in the EU of R&amp;D to 3% of GDP could significantly enhance the competitiveness of European economies compared to other states.</w:t>
      </w:r>
    </w:p>
    <w:p>
      <w:pPr>
        <w:pStyle w:val="Heading2"/>
      </w:pPr>
      <w:r>
        <w:t>854.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r>
        <w:rPr>
          <w:b/>
        </w:rPr>
        <w:t>POSSIBLE 2022:</w:t>
      </w:r>
      <w:r>
        <w:t xml:space="preserve"> An Overview of Packaging Waste Models in Some European Countries — https://doi.org/10.3390/recycling7030038</w:t>
      </w:r>
    </w:p>
    <w:p>
      <w:pPr/>
      <w:r>
        <w:rPr>
          <w:b/>
        </w:rPr>
        <w:t>Shared claim-specific concepts:</w:t>
      </w:r>
      <w:r>
        <w:t xml:space="preserve"> packaging, implications, provide, base; EU scope visible. This is a provisional connection, not an outcome finding.</w:t>
      </w:r>
    </w:p>
    <w:p>
      <w:pPr>
        <w:pStyle w:val="SourceNote"/>
      </w:pPr>
      <w:r>
        <w:rPr>
          <w:b/>
        </w:rPr>
        <w:t>Available abstract (not full text):</w:t>
      </w:r>
      <w:r>
        <w:t xml:space="preserve"> Efficient packaging waste management systems are essential considering recent revisions of the European legislation on packaging waste management that sets ambitious targets. European rules aim to deal with the increasing quantities of packaging waste, which cause environmental problems. Consequently, it is necessary to identify functional packaging waste management systems to achieve these targets effectively and efficiently. However, given the heterogeneity of the different packaging management systems, policymakers, scholars, and industry operators struggle to have a comparative view. The number of non-harmonized laws in force across countries, autonomous recycling targets, and constant updates are prominent problems that make it difficult to obtain comparable information for research, business, and policymaking. To fill this gap, our research question consists of assigning responsibilities for prevention, collection, recycling, and recovery and an overview of some models at a glance with respect to the general governance and functioning of the system. We base our research on a multiple-case design since more cases are examined using complementary data collection methods, analysis of the previous literature, reports, legislation, and business and institutional websites. Our results provide insights from the following cases: Germany, France, the United Kingdom, the Netherland</w:t>
      </w:r>
    </w:p>
    <w:p>
      <w:pPr/>
      <w:r>
        <w:rPr>
          <w:b/>
        </w:rPr>
        <w:t>POSSIBLE 2021:</w:t>
      </w:r>
      <w:r>
        <w:t xml:space="preserve"> Plastic packaging flows in Europe: A hybrid input‐output approach — https://doi.org/10.1111/jiec.13175</w:t>
      </w:r>
    </w:p>
    <w:p>
      <w:pPr/>
      <w:r>
        <w:rPr>
          <w:b/>
        </w:rPr>
        <w:t>Shared claim-specific concepts:</w:t>
      </w:r>
      <w:r>
        <w:t xml:space="preserve"> potential, packaging, then, work; EU scope visible. This is a provisional connection, not an outcome finding.</w:t>
      </w:r>
    </w:p>
    <w:p>
      <w:pPr>
        <w:pStyle w:val="SourceNote"/>
      </w:pPr>
      <w:r>
        <w:rPr>
          <w:b/>
        </w:rPr>
        <w:t>Available abstract (not full text):</w:t>
      </w:r>
      <w:r>
        <w:t xml:space="preserve"> Abstract The European Union (EU) set ambitious goals toward more sustainable use of plastics, but the basis for measuring performance and monitoring progress toward these goals remains inadequate due to a limited understanding of the complex systems behind plastic consumption. In this work, we study the region‐wide material flows of plastics related to packaging in 2014 using a hybrid approach that combines data on the production and end‐of‐life management of plastic packaging with a monetary input‐output model for the EU. The approach enables us to gain insight into interindustry flows and the connection between production and final demand. We map supply chains with a relatively high resolution, including polymer types, packaging forms and application categories. Results estimate the total packaging placed on the market (POM) and then discarded amounted to 18,000 kt., excluding a net increase in stocks of 500 kt. This means that waste generation could have been up to 15% higher than accounted in official statistics, reinforcing potential underreporting accounts as well as remaining data gaps. Thirty‐five percent of postconsumer packaging waste was directed toward recycling. However, only 5% contributed to new domestic packaging production, a reflection of the broad challenges to plastic circularity. Although first steps are taken in this work, we point to an acute lack of info</w:t>
      </w:r>
    </w:p>
    <w:p>
      <w:pPr/>
      <w:r>
        <w:rPr>
          <w:b/>
        </w:rPr>
        <w:t>POSSIBLE 2020:</w:t>
      </w:r>
      <w:r>
        <w:t xml:space="preserve"> The environmental benefits of improving packaging waste collection in Europe — https://doi.org/10.1016/j.wasman.2019.12.045</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Collecting more waste via source separation waste collection systems is an essential part of increasing resource efficiency, achieving European recycling targets and closing the loop in a circular economy. Huge variation in the capture rates of packaging waste (paper, plastic, metal, composite material and glass) exists in Europe, even between municipalities with similar characteristics, which suggests there is great potential to increase the amount of these materials that can be recovered. In order to assess the environmental impacts linked to higher collection rates, a Life Cycle Assessment model was built that considers the reduced need for virgin materials as the system's loops are closed. An extra 18 million tonnes of waste could be collected annually in Europe if best practice collection strategies were to be deployed, leading to a 13% reduction in greenhouse gas production associated with the packaging and packaging waste. Although high collection performance is crucial for efficient resource use, improving source separation waste collection systems alone will not be enough to achieve recycling targets; material losses must be reduced throughout the value chain, i.e. at the sorting and recycling stages. By evaluating the circularity and environmental implications of current waste management, it can be shown at which points in the system the most improvement needs to be m</w:t>
      </w:r>
    </w:p>
    <w:p>
      <w:pPr/>
      <w:r>
        <w:rPr>
          <w:b/>
        </w:rPr>
        <w:t>POSSIBLE 2020:</w:t>
      </w:r>
      <w:r>
        <w:t xml:space="preserve"> A review of silver nanoparticles in food packaging technologies: Regulation, methods, properties, migration, and future challenges — https://doi.org/10.1002/jccs.202000179</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Abstract The development of antimicrobial food packaging is needed for food preservation and quality maintenance. Silver nanoparticles (AgNPs) have been widely used as an antimicrobial agent in food packaging technologies. However, the risks associated with their potential migration into foods are a major concern. This paper comprehensively reviews the use of AgNPs in food packaging technologies. The application of AgNPs in food packaging technologies has been regulated by the United States Food and Drug Administration and the European Food Safety Authority. The addition of AgNPs into food packaging can improve their barrier, mechanical, and antibacterial properties, as well as maintain the quality of foods. Migration of AgNPs from food packaging into foods is still a concern as it has implications for human health associated with their toxicity properties. A study on the toxicological properties of AgNPs released from food packaging needs to be carried out intensively to ensure their safety before being widely implemented. Moreover, comprehensive economic evaluation to implement AgNPs in food packaging is needed as such a study is missing in the literature.</w:t>
      </w:r>
    </w:p>
    <w:p>
      <w:pPr/>
      <w:r>
        <w:rPr>
          <w:b/>
        </w:rPr>
        <w:t>POSSIBLE 2016:</w:t>
      </w:r>
      <w:r>
        <w:t xml:space="preserve"> Resource Efficiency: Potential and Economic Implications — https://openalex.org/W2547506595</w:t>
      </w:r>
    </w:p>
    <w:p>
      <w:pPr/>
      <w:r>
        <w:rPr>
          <w:b/>
        </w:rPr>
        <w:t>Shared claim-specific concepts:</w:t>
      </w:r>
      <w:r>
        <w:t xml:space="preserve"> potential, implications, provide; EU scope not established. This is a provisional connection, not an outcome finding.</w:t>
      </w:r>
    </w:p>
    <w:p>
      <w:pPr>
        <w:pStyle w:val="SourceNote"/>
      </w:pPr>
      <w:r>
        <w:rPr>
          <w:b/>
        </w:rPr>
        <w:t>Available abstract (not full text):</w:t>
      </w:r>
      <w:r>
        <w:t xml:space="preserve"> Despite enormous progress in the past decades towards improving human prosperity and well-being, this has come at the lasting cost of degradation of the natural environment and depletion of natural resources. Meeting the needs of a growing and increasingly affluent population, will require natural resource extraction to increase from 85 to 186 billion tonnes by 2050. This can cause irreversible environmental damage and endanger the capacity of Earth to continue to provide resources which are essential for human survival and development. \n \nAnalysis in the report shows that policies and initiatives to improve resource efficiency and tackle climate change can reduce global resource extraction by up to 28 per cent while also boosting the value of world economic activity by 1 per cent in 2050, against the baseline. Such policy actions can also cut global greenhouse gas emissions by around 60 per cent in 2050 relative to 2015 levels. \n \nThis report has been produced by the UNEP’s International Resource Panel in response to a request by leaders of the G7 nations in the context of efforts to promote resource efficiency as a core element of sustainable development. The report conducts a rigorous survey to assess and articulate the prospects and solutions for resource efficiency. It considers how more efficient use of resources can contribute to economic growth, employment and devel</w:t>
      </w:r>
    </w:p>
    <w:p>
      <w:pPr>
        <w:pStyle w:val="Heading2"/>
      </w:pPr>
      <w:r>
        <w:t>855.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2022:</w:t>
      </w:r>
      <w:r>
        <w:t xml:space="preserve"> Stakeholders of the Online Pharmaceutical Market — https://doi.org/10.5772/intechopen.108485</w:t>
      </w:r>
    </w:p>
    <w:p>
      <w:pPr/>
      <w:r>
        <w:rPr>
          <w:b/>
        </w:rPr>
        <w:t>Shared claim-specific concepts:</w:t>
      </w:r>
      <w:r>
        <w:t xml:space="preserve"> stakeholders, landscape, however; EU scope not established. This is a provisional connection, not an outcome finding.</w:t>
      </w:r>
    </w:p>
    <w:p>
      <w:pPr>
        <w:pStyle w:val="SourceNote"/>
      </w:pPr>
      <w:r>
        <w:rPr>
          <w:b/>
        </w:rPr>
        <w:t>Available abstract (not full text):</w:t>
      </w:r>
      <w:r>
        <w:t xml:space="preserve"> During the past two decades, the pharmacy supply chain has developed a new segment besides traditional “brick and mortar” pharmacies. The expansion of the internet, consumer experience in online purchases, the ease of mail order trade, and distance selling have facilitated the growth of the internet pharmacy landscape. Changes in health-seeking behavior, patient empowerment, and openness to self-diagnosis and self-treatment have also contributed to the phenomenon and were further facilitated by the pandemic. Various types of online medicinal product sellers have been published previously, however, authors have classified online pharmacies mainly according to legality and patient safety considerations. As online pharmacies show great diversity, no distinct categories can be specified, rather pharmacies on the web can be categorized by multiple aspects. Admittedly, consumer preferences, regulatory environment, and legitimacy of operation are key influencing factors. In this chapter, key aspects of categorization and nomenclature are discussed to profile different vendors on the internet.</w:t>
      </w:r>
    </w:p>
    <w:p>
      <w:pPr/>
      <w:r>
        <w:rPr>
          <w:b/>
        </w:rPr>
        <w:t>POSSIBLE 2022:</w:t>
      </w:r>
      <w:r>
        <w:t xml:space="preserve"> Interaction between market stakeholders in the process of business development in an innovative economy — https://doi.org/10.5281/zenodo.5909762</w:t>
      </w:r>
    </w:p>
    <w:p>
      <w:pPr/>
      <w:r>
        <w:rPr>
          <w:b/>
        </w:rPr>
        <w:t>Shared claim-specific concepts:</w:t>
      </w:r>
      <w:r>
        <w:t xml:space="preserve"> stakeholders, based; EU scope not established. This is a provisional connection, not an outcome finding.</w:t>
      </w:r>
    </w:p>
    <w:p>
      <w:pPr>
        <w:pStyle w:val="SourceNote"/>
      </w:pPr>
      <w:r>
        <w:rPr>
          <w:b/>
        </w:rPr>
        <w:t>Available abstract (not full text):</w:t>
      </w:r>
      <w:r>
        <w:t xml:space="preserve"> Relevance of the research topic. The problem of interaction between market stakeholders in the development of entrepreneurship in an innovative economy is a prerequisite for the formation of a new type of economy based on knowledge. Transformational configurations in the institutional matrix require a systematic revision of these issues, taking into account the current state of development of the state economy. Formulation of the problem. There is a need to detail the directions of ensuring the interaction of market stakeholders in the process of developing entrepreneurship in an innovative economy. It is important to specify the infrastructural elements that will ensure continuous communication flows between individual market stakeholders. Setting the purpose and objectives of the study – to investigate the problems of interaction between market stakeholders in the development of entrepreneurship in an innovative economy and highlight the directions for improving communication between the scientific sector, production, infrastructure elements and government bodies. Research method or methodology. The article uses the methods of deduction, induction, systematization, analysis, synthesis and theoretical generalization. Presentation of the main material (research results). It is substantiated that the interaction of market stakeholders in the development of entrepreneurship in an</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stakeholders, data, presents;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Market research and stakeholder mapping — https://doi.org/10.5281/zenodo.7116931</w:t>
      </w:r>
    </w:p>
    <w:p>
      <w:pPr/>
      <w:r>
        <w:rPr>
          <w:b/>
        </w:rPr>
        <w:t>Shared claim-specific concepts:</w:t>
      </w:r>
      <w:r>
        <w:t xml:space="preserve"> stakeholders, evolve; EU scope not established. This is a provisional connection, not an outcome finding.</w:t>
      </w:r>
    </w:p>
    <w:p>
      <w:pPr>
        <w:pStyle w:val="SourceNote"/>
      </w:pPr>
      <w:r>
        <w:rPr>
          <w:b/>
        </w:rPr>
        <w:t>Available abstract (not full text):</w:t>
      </w:r>
      <w:r>
        <w:t xml:space="preserve"> As part of the 5GMETA project, WP6 (New Market Ecosystem) has the objective to support the strategy to create a new CCAM (Cooperative, Connected and Automated Mobility) market ecosystem. In particular, Task 6.1 (Market research and stakeholder mapping) aims to provide results after a market research and stakeholders analysis to understand which are the trends, segments and customers for the 5GMETA platform, and how the market will evolve in the CCAM market ecosystem. Moreover, a competitor analysis is performed which will be used as input for some deliverables to follow, such as D6.2 (New Business Model), thus creating a value proposition and a business model that better fits the customers and stakeholders needs. The work also identifies the key stakeholders that take part in use cases, which enriches the analysis by showing opportunities and barriers in such an innovative and technological context.</w:t>
      </w:r>
    </w:p>
    <w:p>
      <w:pPr/>
      <w:r>
        <w:rPr>
          <w:b/>
        </w:rPr>
        <w:t>POSSIBLE 2021:</w:t>
      </w:r>
      <w:r>
        <w:t xml:space="preserve"> D3.1 – Stakeholders and market analysis report — https://doi.org/10.5281/zenodo.5552478</w:t>
      </w:r>
    </w:p>
    <w:p>
      <w:pPr/>
      <w:r>
        <w:rPr>
          <w:b/>
        </w:rPr>
        <w:t>Shared claim-specific concepts:</w:t>
      </w:r>
      <w:r>
        <w:t xml:space="preserve"> stakeholders, data; EU scope not established. This is a provisional connection, not an outcome finding.</w:t>
      </w:r>
    </w:p>
    <w:p>
      <w:pPr>
        <w:pStyle w:val="SourceNote"/>
      </w:pPr>
      <w:r>
        <w:rPr>
          <w:b/>
        </w:rPr>
        <w:t>Available abstract (not full text):</w:t>
      </w:r>
      <w:r>
        <w:t xml:space="preserve"> State of the art review of the stakeholders and market analysis regarding PIXEL technologies and solutions. The aim of this deliverable is to provide an insight to the current and emerging situation of port related solutions focused on the interoperability between agents (cities, transportation companies, port agencies, etc.), the communication and storage of data of port activities, exploitation of this information and optimization of those operations from different points of view (namely environmentally).</w:t>
      </w:r>
    </w:p>
    <w:p>
      <w:pPr/>
      <w:r>
        <w:rPr>
          <w:b/>
        </w:rPr>
        <w:t>POSSIBLE 2021:</w:t>
      </w:r>
      <w:r>
        <w:t xml:space="preserve"> Stakeholder perspectives to improve risk management in European farming systems — https://doi.org/10.1016/j.jrurstud.2021.04.004</w:t>
      </w:r>
    </w:p>
    <w:p>
      <w:pPr/>
      <w:r>
        <w:rPr>
          <w:b/>
        </w:rPr>
        <w:t>Shared claim-specific concepts:</w:t>
      </w:r>
      <w:r>
        <w:t xml:space="preserve"> integrated, data, based; EU scope visible. This is a provisional connection, not an outcome finding.</w:t>
      </w:r>
    </w:p>
    <w:p>
      <w:pPr>
        <w:pStyle w:val="SourceNote"/>
      </w:pPr>
      <w:r>
        <w:rPr>
          <w:b/>
        </w:rPr>
        <w:t>Available abstract (not full text):</w:t>
      </w:r>
      <w:r>
        <w:t xml:space="preserve"> The challenges faced by agricultural systems call for an advance in risk management (RM) assessments. This research identifies and discusses potential improvements to RM across 11 European Union (EU) farming systems (FS). The paper proposes a comprehensive, participatory approach that accounts for multi-stakeholder perspectives relying on 11 focus groups for brainstorming and gathering suggestions to improve RM. Data analysis is based on content analysis and coding of suggested improvements, and their assessment through the lenses of main challenges faced, farms’ flexibility, and dependence on subsidies. First, the results show that necessary improvements differ depending on whether they have their origin in sudden shocks or long-term pressures. Second, farm dependence on direct payments determines a stronger need to improve financial instruments, whereas farm flexibility suggests a need for more accessible and tailored tools for low-flexibility FS, and increased know-what and know-how for high-flexibility FS. Third, our findings indicate a potential for extending stakeholder involvement in RM to new or unconventional roles. Underlying specific improvements, the paper suggests and discusses three main avenues to improve RM as a whole: i) a developed learning and knowledge network; ii) new forms of collaboration; and iii) integrated financial and policy instruments.</w:t>
      </w:r>
    </w:p>
    <w:p>
      <w:pPr/>
      <w:r>
        <w:rPr>
          <w:b/>
        </w:rPr>
        <w:t>POSSIBLE 2019:</w:t>
      </w:r>
      <w:r>
        <w:t xml:space="preserve"> Market Orientation in NGDOs: Construction of a Scale Focused on Their Stakeholders — https://doi.org/10.3390/socsci8080237</w:t>
      </w:r>
    </w:p>
    <w:p>
      <w:pPr/>
      <w:r>
        <w:rPr>
          <w:b/>
        </w:rPr>
        <w:t>Shared claim-specific concepts:</w:t>
      </w:r>
      <w:r>
        <w:t xml:space="preserve"> stakeholders, however, based; EU scope not established. This is a provisional connection, not an outcome finding.</w:t>
      </w:r>
    </w:p>
    <w:p>
      <w:pPr>
        <w:pStyle w:val="SourceNote"/>
      </w:pPr>
      <w:r>
        <w:rPr>
          <w:b/>
        </w:rPr>
        <w:t>Available abstract (not full text):</w:t>
      </w:r>
      <w:r>
        <w:t xml:space="preserve"> Nongovernmental development organizations (NGDOs) have traditionally enjoyed notable recognition and visibility within the field of nonprofit organizations. However, the situation of this sector is problematic in its need to respond to various threats whether programmatic, financial, or of social legitimacy. This study poses as a hypothesis that market orientation, as a management philosophy which many NGDOs could adopt, may be fundamental for them to deal successfully with the challenges they face. An analysis of the literature on market orientation in the nonprofit sector showed that the existing models of market orientation did not adequately capture NGDOs’ real working context, thus recommending a broader market approach based on proposals oriented to the stakeholder and to social aspects. For this reason, the objective of the study was to create a scale of market orientation adapted to the reality of the work of NGDOs. Analysis of a sample of 104 Spanish entities allowed an eight-factor market orientation scale for NGDOs to be created and validated, which reached optimal values of reliability and validity.</w:t>
      </w:r>
    </w:p>
    <w:p>
      <w:pPr/>
      <w:r>
        <w:rPr>
          <w:b/>
        </w:rPr>
        <w:t>POSSIBLE 2015:</w:t>
      </w:r>
      <w:r>
        <w:t xml:space="preserve"> Stakeholder mapping of CSR in Switzerland — https://doi.org/10.1108/srj-06-2014-0071</w:t>
      </w:r>
    </w:p>
    <w:p>
      <w:pPr/>
      <w:r>
        <w:rPr>
          <w:b/>
        </w:rPr>
        <w:t>Shared claim-specific concepts:</w:t>
      </w:r>
      <w:r>
        <w:t xml:space="preserve"> stakeholders, evolve, however, data, based; EU scope visible. This is a provisional connection, not an outcome finding.</w:t>
      </w:r>
    </w:p>
    <w:p>
      <w:pPr>
        <w:pStyle w:val="SourceNote"/>
      </w:pPr>
      <w:r>
        <w:rPr>
          <w:b/>
        </w:rPr>
        <w:t>Available abstract (not full text):</w:t>
      </w:r>
      <w:r>
        <w:t xml:space="preserve"> Purpose – This paper aims to investigate, using stakeholder map methodology, showing power, urgency, legitimacy and concerns of different actors, the current state of corporate social responsibility (CSR) in Switzerland. Previous research on CSR in Europe has made few attempts to identify stakeholders and their contribution to this topic. Design/methodology/approach – To derive this map, publicly available documents were explored, augmented by 27 interviews with key stakeholders (consumers, media, government, trade unions, non-profit organisations [NPOs], banks, certifiers and consultants) and management of different companies (multinational enterprises [MNEs], small- and medium-sized enterprises [SMEs] and large national companies). Using MAXQDA, the quantified codes given for power, legitimacy and urgency were triangulated between self-reporting, external assessments and statements from publicly available documents and subsequently transferred into stakeholder priorities or, in other words, into positions in the map. Further, the codes given in the interviews for different CSR interests and the results from the document analysis were linked between stakeholders. The identified concerns and priorities were quantitatively analysed in regard to centrality and salience using VennMaker. Findings – The paper identified SMEs, MNEs and cooperating NPOs as being the most significant s</w:t>
      </w:r>
    </w:p>
    <w:p>
      <w:pPr>
        <w:pStyle w:val="Heading2"/>
      </w:pPr>
      <w:r>
        <w:t>856.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2019:</w:t>
      </w:r>
      <w:r>
        <w:t xml:space="preserve"> Analysis of reporting completeness in exercise cancer trials: a systematic review — https://doi.org/10.1186/s12874-019-0871-0</w:t>
      </w:r>
    </w:p>
    <w:p>
      <w:pPr/>
      <w:r>
        <w:rPr>
          <w:b/>
        </w:rPr>
        <w:t>Shared claim-specific concepts:</w:t>
      </w:r>
      <w:r>
        <w:t xml:space="preserve"> reports, exercise, four, two, healthcare; EU scope not established. This is a provisional connection, not an outcome finding.</w:t>
      </w:r>
    </w:p>
    <w:p>
      <w:pPr>
        <w:pStyle w:val="SourceNote"/>
      </w:pPr>
      <w:r>
        <w:rPr>
          <w:b/>
        </w:rPr>
        <w:t>Available abstract (not full text):</w:t>
      </w:r>
      <w:r>
        <w:t xml:space="preserve"> BACKGROUND: Exercise is an effective therapeutic intervention for cancer survivors. Concerns about the completeness of reporting of exercise interventions have been raised in the literature, but without any formal analysis. This study aimed to evaluate the completeness of reporting of exercise interventions for cancer survivors in a large sample of randomized clinical trials (RCTs). METHODS: We developed a pre-defined protocol. We searched MEDLINE, EMBASE, and CENTRAL for exercise trials in oncology between 2010 and 2017. Pairs of independent researchers screened the records, extracted study characteristics, and assessed 16 items on the TIDieR checklist (i.e., the 12 items, with item 5 divided into two and item 8 divided into four). For each of these items, the percentage of interventions in the included studies that reported the item was calculated. RESULTS: We included 131 RCTs reporting 138 interventions in the analysis. Breast cancer was the most common type of cancer (69, 50%), and aerobic exercise was the most studied exercise modality (43, 30%) followed by combined aerobic and resistance training (40, 28%). Completeness of reporting ranged from 42 to 96% among the TIDieR items; none of the items was fully reported. 'Intervention length' was the most reported item across interventions (133, 96%), followed by 'rationale' (131, 95%), whereas 'provider' (58, 42%) and 'how we</w:t>
      </w:r>
    </w:p>
    <w:p>
      <w:pPr/>
      <w:r>
        <w:rPr>
          <w:b/>
        </w:rPr>
        <w:t>POSSIBLE 2019:</w:t>
      </w:r>
      <w:r>
        <w:t xml:space="preserve"> Adherence to Exercise Programs in Older Adults: Informative Report — https://doi.org/10.1177/2333721418823604</w:t>
      </w:r>
    </w:p>
    <w:p>
      <w:pPr/>
      <w:r>
        <w:rPr>
          <w:b/>
        </w:rPr>
        <w:t>Shared claim-specific concepts:</w:t>
      </w:r>
      <w:r>
        <w:t xml:space="preserve"> exercise, living, life, older, people, care; EU scope not established. This is a provisional connection, not an outcome finding.</w:t>
      </w:r>
    </w:p>
    <w:p>
      <w:pPr>
        <w:pStyle w:val="SourceNote"/>
      </w:pPr>
      <w:r>
        <w:rPr>
          <w:b/>
        </w:rPr>
        <w:t>Available abstract (not full text):</w:t>
      </w:r>
      <w:r>
        <w:t xml:space="preserve"> This informative report focuses on filling information gaps regarding adherence to physical activity and exercise in the health care spectrum of older adults (OA) and an overview of the benefits of physical activity for OA. Healthy People 2000, 2010, and 2020 are public health programs from the U.S. Department of Health and Human Services that set national goals and objectives for promoting health and preventing disease. The programs include 10 leading health indicators that reflect major health problems, which concern OA. Exercise and physical activity are among the most important factors affecting health and longevity, but exercise adherence is a significant hindrance in achieving health goals in the OA. Exercise adherence in OA is a multifactorial problem encompassing many biopsychosocial factors. Factors affecting adherence in the OA include socioeconomic status, education level, living arrangements, health status, pacemakers, physical fitness, and depression. Improving adherence could have a significant impact on longevity, quality of life, and health care costs.</w:t>
      </w:r>
    </w:p>
    <w:p>
      <w:pPr/>
      <w:r>
        <w:rPr>
          <w:b/>
        </w:rPr>
        <w:t>POSSIBLE 2018:</w:t>
      </w:r>
      <w:r>
        <w:t xml:space="preserve"> ARKANSAS GEOLOGICAL SURVEY PLANNING AND SUPPORT TO THE 2017 EARTHQUAKE EXERCISE — https://doi.org/10.1130/abs/2018sc-310158</w:t>
      </w:r>
    </w:p>
    <w:p>
      <w:pPr/>
      <w:r>
        <w:rPr>
          <w:b/>
        </w:rPr>
        <w:t>Shared claim-specific concepts:</w:t>
      </w:r>
      <w:r>
        <w:t xml:space="preserve"> planning, exercise, state; EU scope not established. This is a provisional connection, not an outcome finding.</w:t>
      </w:r>
    </w:p>
    <w:p>
      <w:pPr>
        <w:pStyle w:val="SourceNote"/>
      </w:pPr>
      <w:r>
        <w:rPr>
          <w:b/>
        </w:rPr>
        <w:t>Available abstract (not full text):</w:t>
      </w:r>
      <w:r>
        <w:t xml:space="preserve"> The Arkansas Geological Survey (AGS) participated in the 2017 Earthquake Exercise on a full scale level (FSE) with its local, state and federal partners. The planning component consisted of compliance with the state’s NIMS policy, development of the AGS Clearinghouse and Emergency Operations Plans, Ham Radio training/licensure, earthquake and GIS training. The Clearinghouse Plan was developed by input from multiple partners including CUSEC state geological surveys. The exercise was designed to establish a learning environment for players to exercise the new Clearinghouse Plans, policies, and procedures as they pertained to the M7.7 New Madrid Seismic Zone (NMSZ) catastrophic earthquake scenario. This is the first time an information clearinghouse plan has been developed and exercised in the central United States Select GS Clearinghouse steering committee and members were the principle entities responsible for the exercise development, oversight and selection of core capabilities, exercise objectives, targets, and tasks. Those capabilities included Operations Communications, Operations Coordination, Situational Awareness, and Logistics and Supply Chain Management. An After Action Report, designed to identify the strengths and potential areas for improvement was prepared after exercise completion. As this is the first exercise focused on the Clearinghouse for a major earthquake r</w:t>
      </w:r>
    </w:p>
    <w:p>
      <w:pPr/>
      <w:r>
        <w:rPr>
          <w:b/>
        </w:rPr>
        <w:t>POSSIBLE 2017:</w:t>
      </w:r>
      <w:r>
        <w:t xml:space="preserve"> Exercise interventions for cerebral palsy — https://doi.org/10.1002/14651858.cd011660.pub2</w:t>
      </w:r>
    </w:p>
    <w:p>
      <w:pPr/>
      <w:r>
        <w:rPr>
          <w:b/>
        </w:rPr>
        <w:t>Shared claim-specific concepts:</w:t>
      </w:r>
      <w:r>
        <w:t xml:space="preserve"> reports, exercise, four, life, defined, two; EU scope visible. This is a provisional connection, not an outcome finding.</w:t>
      </w:r>
    </w:p>
    <w:p>
      <w:pPr>
        <w:pStyle w:val="SourceNote"/>
      </w:pPr>
      <w:r>
        <w:rPr>
          <w:b/>
        </w:rPr>
        <w:t>Available abstract (not full text):</w:t>
      </w:r>
      <w:r>
        <w:t xml:space="preserve"> BACKGROUND: Cerebral palsy (CP) is a neurodevelopmental disorder resulting from an injury to the developing brain. It is the most common form of childhood disability with prevalence rates of between 1.5 and 3.8 per 1000 births reported worldwide. The primary impairments associated with CP include reduced muscle strength and reduced cardiorespiratory fitness, resulting in difficulties performing activities such as dressing, walking and negotiating stairs.Exercise is defined as a planned, structured and repetitive activity that aims to improve fitness, and it is a commonly used intervention for people with CP. Aerobic and resistance training may improve activity (i.e. the ability to execute a task) and participation (i.e. involvement in a life situation) through their impact on the primary impairments of CP. However, to date, there has been no comprehensive review of exercise interventions for people with CP. OBJECTIVES: To assess the effects of exercise interventions in people with CP, primarily in terms of activity, participation and quality of life. Secondary outcomes assessed body functions and body structures. Comparators of interest were no treatment, usual care or an alternative type of exercise intervention. SEARCH METHODS: In June 2016 we searched CENTRAL, MEDLINE, Embase, nine other databases and four trials registers. SELECTION CRITERIA: We included randomised controll</w:t>
      </w:r>
    </w:p>
    <w:p>
      <w:pPr/>
      <w:r>
        <w:rPr>
          <w:b/>
        </w:rPr>
        <w:t>POSSIBLE 2017:</w:t>
      </w:r>
      <w:r>
        <w:t xml:space="preserve"> Is a general or specific exercise recommendation more effective for promoting physical activity among postpartum mothers? — https://doi.org/10.1177/1359105316687627</w:t>
      </w:r>
    </w:p>
    <w:p>
      <w:pPr/>
      <w:r>
        <w:rPr>
          <w:b/>
        </w:rPr>
        <w:t>Shared claim-specific concepts:</w:t>
      </w:r>
      <w:r>
        <w:t xml:space="preserve"> planning, exercise, examined; EU scope not established. This is a provisional connection, not an outcome finding.</w:t>
      </w:r>
    </w:p>
    <w:p>
      <w:pPr>
        <w:pStyle w:val="SourceNote"/>
      </w:pPr>
      <w:r>
        <w:rPr>
          <w:b/>
        </w:rPr>
        <w:t>Available abstract (not full text):</w:t>
      </w:r>
      <w:r>
        <w:t xml:space="preserve"> This comparative effectiveness trial examined the effects of a behavior change intervention supplemented by a general or specific exercise recommendation on physical activity among postpartum mothers. Participants ( N = 49) attended three workshop sessions that provided the exercise recommendation and taught self-regulatory skills. Physical activity, self-efficacy, planning, and barriers were assessed at baseline, post-intervention, and 6-month follow-up. Self-reported physical activity increased significantly in both groups ( p &lt; .001), but the increase was larger in the general condition ( p = .03). Both groups reported increased planning and decreased barriers. Postpartum mothers may benefit from interventions that teach strategies for overcoming barriers while allowing them to choose preferred activities.</w:t>
      </w:r>
    </w:p>
    <w:p>
      <w:pPr/>
      <w:r>
        <w:rPr>
          <w:b/>
        </w:rPr>
        <w:t>POSSIBLE 2016:</w:t>
      </w:r>
      <w:r>
        <w:t xml:space="preserve"> Consensus on Exercise Reporting Template (CERT): Modified Delphi Study — https://doi.org/10.2522/ptj.20150668</w:t>
      </w:r>
    </w:p>
    <w:p>
      <w:pPr/>
      <w:r>
        <w:rPr>
          <w:b/>
        </w:rPr>
        <w:t>Shared claim-specific concepts:</w:t>
      </w:r>
      <w:r>
        <w:t xml:space="preserve"> reports, exercise, defined; EU scope not established. This is a provisional connection, not an outcome finding.</w:t>
      </w:r>
    </w:p>
    <w:p>
      <w:pPr>
        <w:pStyle w:val="SourceNote"/>
      </w:pPr>
      <w:r>
        <w:rPr>
          <w:b/>
        </w:rPr>
        <w:t>Available abstract (not full text):</w:t>
      </w:r>
      <w:r>
        <w:t xml:space="preserve"> BACKGROUND: Exercise interventions are often incompletely described in reports of clinical trials, hampering evaluation of results and replication and implementation into practice. OBJECTIVE: The aim of this study was to develop a standardized method for reporting exercise programs in clinical trials: the Consensus on Exercise Reporting Template (CERT). DESIGN AND METHODS: Using the EQUATOR Network's methodological framework, 137 exercise experts were invited to participate in a Delphi consensus study. A list of 41 items was identified from a meta-epidemiologic study of 73 systematic reviews of exercise. For each item, participants indicated agreement on an 11-point rating scale. Consensus for item inclusion was defined a priori as greater than 70% agreement of respondents rating an item 7 or above. Three sequential rounds of anonymous online questionnaires and a Delphi workshop were used. RESULTS: There were 57 (response rate=42%), 54 (response rate=95%), and 49 (response rate=91%) respondents to rounds 1 through 3, respectively, from 11 countries and a range of disciplines. In round 1, 2 items were excluded; 24 items reached consensus for inclusion (8 items accepted in original format), and 16 items were revised in response to participant suggestions. Of 14 items in round 2, 3 were excluded, 11 reached consensus for inclusion (4 items accepted in original format), and 7 were </w:t>
      </w:r>
    </w:p>
    <w:p>
      <w:pPr/>
      <w:r>
        <w:rPr>
          <w:b/>
        </w:rPr>
        <w:t>POSSIBLE 2015:</w:t>
      </w:r>
      <w:r>
        <w:t xml:space="preserve"> Exercise ASKARI SERPENT: enabling clinical data collection during exercises and operations to support future contingency planning and assurance of category-based reporting systems — https://doi.org/10.1136/jramc-2014-000369</w:t>
      </w:r>
    </w:p>
    <w:p>
      <w:pPr/>
      <w:r>
        <w:rPr>
          <w:b/>
        </w:rPr>
        <w:t>Shared claim-specific concepts:</w:t>
      </w:r>
      <w:r>
        <w:t xml:space="preserve"> reports, planning, exercise, critical, healthcare, provides; EU scope not established. This is a provisional connection, not an outcome finding.</w:t>
      </w:r>
    </w:p>
    <w:p>
      <w:pPr>
        <w:pStyle w:val="SourceNote"/>
      </w:pPr>
      <w:r>
        <w:rPr>
          <w:b/>
        </w:rPr>
        <w:t>Available abstract (not full text):</w:t>
      </w:r>
      <w:r>
        <w:t xml:space="preserve"> INTRODUCTION: Exercise ASKARI SERPENT (Ex AS) is a British Army exercise that provides primary healthcare (PHC) to Kenyan civilians in support of local health authorities. It is conducted in partnership with the Kenya Defence Force Medical Services (KDFMS). Accurate epidemiological data is critical in planning the exercise and for any future short-notice contingency operations in similar environments. This paper reports epidemiological data for Ex AS using a novel data collection system. METHODS: PHC on Ex AS was delivered by trained and validated combat medical technicians (CMTs) using a set of Read-coded protocols. The CMTs were also directly supported and supervised by medical officers and nurses. RESULTS: A total of 3093 consultations were conducted over a 16-day period. Of these, 2707 (87.5%) consultations fell within the remit of the CMT protocols, with only 386 consultations (12.5%) being conducted exclusively by the medical officers or nurses. DISCUSSION: A Read-coded matrix built on CMT protocols is a simple and useful tool, particularly in civilian populations, for collecting morbidity data with the vast majority of conditions accounted for in the protocols. It is anticipated that such a system can better inform training, manning, medical material and pharmaceutical procurement than current category-based morbidity surveillance systems such as EPINATO (NATO epidemiolo</w:t>
      </w:r>
    </w:p>
    <w:p>
      <w:pPr/>
      <w:r>
        <w:rPr>
          <w:b/>
        </w:rPr>
        <w:t>POSSIBLE 2015:</w:t>
      </w:r>
      <w:r>
        <w:t xml:space="preserve"> Exercise programs for people with dementia — https://doi.org/10.1002/14651858.cd006489.pub4</w:t>
      </w:r>
    </w:p>
    <w:p>
      <w:pPr/>
      <w:r>
        <w:rPr>
          <w:b/>
        </w:rPr>
        <w:t>Shared claim-specific concepts:</w:t>
      </w:r>
      <w:r>
        <w:t xml:space="preserve"> exercise, examined, living, life, two, older; EU scope not established. This is a provisional connection, not an outcome finding.</w:t>
      </w:r>
    </w:p>
    <w:p>
      <w:pPr>
        <w:pStyle w:val="SourceNote"/>
      </w:pPr>
      <w:r>
        <w:rPr>
          <w:b/>
        </w:rPr>
        <w:t>Available abstract (not full text):</w:t>
      </w:r>
      <w:r>
        <w:t xml:space="preserve"> BACKGROUND: This is an update of our previous 2013 review. Several recent trials and systematic reviews of the impact of exercise on people with dementia are reporting promising findings. OBJECTIVES: Primary objectiveDo exercise programs for older people with dementia improve their cognition, activities of daily living (ADLs), neuropsychiatric symptoms, depression, and mortality? Secondary objectivesDo exercise programs for older people with dementia have an indirect impact on family caregivers' burden, quality of life, and mortality?Do exercise programs for older people with dementia reduce the use of healthcare services (e.g. visits to the emergency department) by participants and their family caregivers? SEARCH METHODS: We identified trials for inclusion in the review by searching ALOIS (www.medicine.ox.ac.uk/alois), the Cochrane Dementia and Cognitive Improvement Group's Specialised Register, on 4 September 2011, on 13 August 2012, and again on 3 October 2013. SELECTION CRITERIA: In this review, we included randomized controlled trials in which older people, diagnosed with dementia, were allocated either to exercise programs or to control groups (usual care or social contact/activities) with the aim of improving cognition, ADLs, neuropsychiatric symptoms, depression, and mortality. Secondary outcomes related to the family caregiver(s) and included caregiver burden, quality </w:t>
      </w:r>
    </w:p>
    <w:p>
      <w:pPr>
        <w:pStyle w:val="Heading2"/>
      </w:pPr>
      <w:r>
        <w:t>857.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2022:</w:t>
      </w:r>
      <w:r>
        <w:t xml:space="preserve"> Time and Narrative in Augustine’s City of God and Confessions — https://openalex.org/W7217744295</w:t>
      </w:r>
    </w:p>
    <w:p>
      <w:pPr/>
      <w:r>
        <w:rPr>
          <w:b/>
        </w:rPr>
        <w:t>Shared claim-specific concepts:</w:t>
      </w:r>
      <w:r>
        <w:t xml:space="preserve"> time, narrative, out; EU scope not established. This is a provisional connection, not an outcome finding.</w:t>
      </w:r>
    </w:p>
    <w:p>
      <w:pPr>
        <w:pStyle w:val="SourceNote"/>
      </w:pPr>
      <w:r>
        <w:rPr>
          <w:b/>
        </w:rPr>
        <w:t>Available abstract (not full text):</w:t>
      </w:r>
      <w:r>
        <w:t xml:space="preserve"> This paper examines the connections between Augustine ́s conception of Time in two of his main works: City of God and Confession. The issue of Time is crucial for Augustine ́s narrative purposes, and it appears in his account of the history of mankind – the City of God, just as it appears in his account of his own history – the Confessions. Book XI in both works discuss time and creation, and put the narrativeof the book in the context of time as a whole. The two accounts proceed from similar motivations and in a similar method. But they at the same time complete eachother: the account of the Confessions is more detailed in the way it presents the problem and works out the solution step by step; the City of God seems to pick it upfrom where Confessions leaves off and takes it a step further. In this paper, I first briefly sketch the concept of time as presented in Confessions XI. I continue bypointing out how it is completed in the account in City of God I conclude by indicating how these two accounts together put into perspective Augustine’s concern with narrative, as well as his use of it.</w:t>
      </w:r>
    </w:p>
    <w:p>
      <w:pPr/>
      <w:r>
        <w:rPr>
          <w:b/>
        </w:rPr>
        <w:t>POSSIBLE 2021:</w:t>
      </w:r>
      <w:r>
        <w:t xml:space="preserve"> Time Machines: Artificial Intelligence, Process, and Narrative — https://doi.org/10.1007/s13347-021-00479-y</w:t>
      </w:r>
    </w:p>
    <w:p>
      <w:pPr/>
      <w:r>
        <w:rPr>
          <w:b/>
        </w:rPr>
        <w:t>Shared claim-specific concepts:</w:t>
      </w:r>
      <w:r>
        <w:t xml:space="preserve"> narratives, time, narrative; EU scope not established. This is a provisional connection, not an outcome finding.</w:t>
      </w:r>
    </w:p>
    <w:p>
      <w:pPr>
        <w:pStyle w:val="SourceNote"/>
      </w:pPr>
      <w:r>
        <w:rPr>
          <w:b/>
        </w:rPr>
        <w:t>Available abstract (not full text):</w:t>
      </w:r>
      <w:r>
        <w:t xml:space="preserve"> Abstract While today there is much discussion about the ethics of artificial intelligence (AI), less work has been done on the philosophical nature of AI. Drawing on Bergson and Ricoeur, this paper proposes to use the concepts of time, process, and narrative to conceptualize AI and its normatively relevant impact on human lives and society. Distinguishing between a number of different ways in which AI and time are related, the paper explores what it means to understand AI as narrative, as process, or as the emergent outcome of processes and narratives. It pays particular attention to what it calls the “narrator” and “time machine” roles of AI and the normative implications of these roles. It argues that AI processes and narratives shape our time and link past, present, and future in particular ways that are ethically and politically significant.</w:t>
      </w:r>
    </w:p>
    <w:p>
      <w:pPr/>
      <w:r>
        <w:rPr>
          <w:b/>
        </w:rPr>
        <w:t>POSSIBLE 2020:</w:t>
      </w:r>
      <w:r>
        <w:t xml:space="preserve"> Chapter Four. Narratives of Time — https://doi.org/10.3138/9781487536435-007</w:t>
      </w:r>
    </w:p>
    <w:p>
      <w:pPr/>
      <w:r>
        <w:rPr>
          <w:b/>
        </w:rPr>
        <w:t>Shared claim-specific concepts:</w:t>
      </w:r>
      <w:r>
        <w:t xml:space="preserve"> four, narratives, time;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Whose Narrative is it Anyway? Narratives of Social Innovation in Rural Areas – A Comparative Analysis of Community‐Led Initiatives in Scotland and Spain — https://doi.org/10.1111/soru.12321</w:t>
      </w:r>
    </w:p>
    <w:p>
      <w:pPr/>
      <w:r>
        <w:rPr>
          <w:b/>
        </w:rPr>
        <w:t>Shared claim-specific concepts:</w:t>
      </w:r>
      <w:r>
        <w:t xml:space="preserve"> four, narratives, time, narrative, key, themes; EU scope visible. This is a provisional connection, not an outcome finding.</w:t>
      </w:r>
    </w:p>
    <w:p>
      <w:pPr>
        <w:pStyle w:val="SourceNote"/>
      </w:pPr>
      <w:r>
        <w:rPr>
          <w:b/>
        </w:rPr>
        <w:t>Available abstract (not full text):</w:t>
      </w:r>
      <w:r>
        <w:t xml:space="preserve"> Abstract Social innovation is a process in which local communities build social and cultural capital to address challenges and social needs. The diffusion of social innovation requires compelling narratives that encourage people to join them. Using qualitative techniques and a multiple case study methodology, this article examines the content of narratives of social innovation in rural areas and how actors construct, spread and change them. We propose a narrative analytical framework comprising four key components: problematisation; solutions and goals; actors; and plot, which we apply to three initiatives in Scotland and Spain. Our findings suggest that marginalisation, the natural environment and community activation are central themes in the content of narratives. In addition, we explain how policies and public actors can support social innovation as well as how collective leadership of social innovations can reduce imbalances in power relations, and contribute to a consistent evolution of narratives over time, enhancing the sustainability of social innovation projects overall.</w:t>
      </w:r>
    </w:p>
    <w:p>
      <w:pPr/>
      <w:r>
        <w:rPr>
          <w:b/>
        </w:rPr>
        <w:t>POSSIBLE 2020:</w:t>
      </w:r>
      <w:r>
        <w:t xml:space="preserve"> To Be Black Women and Contingent Faculty: Four Scholarly Personal Narratives — https://doi.org/10.1080/00221546.2019.1700478</w:t>
      </w:r>
    </w:p>
    <w:p>
      <w:pPr/>
      <w:r>
        <w:rPr>
          <w:b/>
        </w:rPr>
        <w:t>Shared claim-specific concepts:</w:t>
      </w:r>
      <w:r>
        <w:t xml:space="preserve"> four, narratives, practice; EU scope not established. This is a provisional connection, not an outcome finding.</w:t>
      </w:r>
    </w:p>
    <w:p>
      <w:pPr>
        <w:pStyle w:val="SourceNote"/>
      </w:pPr>
      <w:r>
        <w:rPr>
          <w:b/>
        </w:rPr>
        <w:t>Available abstract (not full text):</w:t>
      </w:r>
      <w:r>
        <w:t xml:space="preserve"> This study utilized scholarly personal narratives to explore the experiences and perceptions of four Black women who served as full-time contingent faculty members in higher education and student affairs graduate preparation programs. Authors drew upon Black feminist thought and intersectionality to frame this study. Specifically, authors extended Collin’s outsider-within status to outsider-outsider-within status to describe the unique experiences of Black women in contingent faculty appointments. Specific findings included: (1) marginalization of contingent faculty, (2) intersections of identities inextricably linked to teaching, and (3) devaluation of scholarly pursuits. Implications for institutional policy and practice are discussed.</w:t>
      </w:r>
    </w:p>
    <w:p>
      <w:pPr/>
      <w:r>
        <w:rPr>
          <w:b/>
        </w:rPr>
        <w:t>POSSIBLE 2019:</w:t>
      </w:r>
      <w:r>
        <w:t xml:space="preserve"> Towards a Context-sensitive Theory of Nursing Ethics: Classification and Comparison of Nurses' Narratives from Four Time Periods (1934, 1979, 1989, and 1995) — https://openalex.org/W2977660801</w:t>
      </w:r>
    </w:p>
    <w:p>
      <w:pPr/>
      <w:r>
        <w:rPr>
          <w:b/>
        </w:rPr>
        <w:t>Shared claim-specific concepts:</w:t>
      </w:r>
      <w:r>
        <w:t xml:space="preserve"> four, narratives, time; EU scope not established. This is a provisional connection, not an outcome finding.</w:t>
      </w:r>
    </w:p>
    <w:p>
      <w:pPr>
        <w:pStyle w:val="SourceNote"/>
      </w:pPr>
      <w:r>
        <w:rPr>
          <w:b/>
        </w:rPr>
        <w:t>Available abstract (not full text):</w:t>
      </w:r>
      <w:r>
        <w:t xml:space="preserve"> Unavailable</w:t>
      </w:r>
    </w:p>
    <w:p>
      <w:pPr/>
      <w:r>
        <w:rPr>
          <w:b/>
        </w:rPr>
        <w:t>POSSIBLE 2019:</w:t>
      </w:r>
      <w:r>
        <w:t xml:space="preserve"> The Narrative of the Iliad: Time, Space, and Story — https://openalex.org/W2969998867</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Like its principal hero, the Iliad has a reputation for straightforwardness that it does not deserve and (unlike Achilles) does not pretend to. Contrary to Auerbach’s thesis that Homeric narrative “leave[s] nothing in obscurity” (1953: 4), this dissertation emphasizes how the Iliad’s narrative modulates the story that it represents—in ways that both helpfully guide and deceptively mislead the audience. In this dissertation, I offer a narratologically-informed study of how the narrator’s representation of the Iliad’s story in time and space meaningfully shapes the audience’s experience of it. Disentangling the time and space of the story from their representation in narrative, I argue that the narrator calls attention to the imperfect correspondence between the narrative and the story, and that the tension between the two—and the failure to recognize the distinction between them—lies at the heart of prominent Homeric problems, from antiquity to today. As I argue, the audience’s experience, as conditioned by the narrative, belies the narrator’s remarkably synoptic sense of both the story and the narrative that represents it. Though readers have long ascribed the difficulty of reading the Iliad to shortcomings of the narrator, I demonstrate that the narrator can see the forest for the trees, even when the audience is stuck in the weeds. Telling a story that is neither wholly new n</w:t>
      </w:r>
    </w:p>
    <w:p>
      <w:pPr/>
      <w:r>
        <w:rPr>
          <w:b/>
        </w:rPr>
        <w:t>POSSIBLE 2018:</w:t>
      </w:r>
      <w:r>
        <w:t xml:space="preserve"> “Community of Common Destiny”: An Analysis on The Marriages between Zones Three, Four and Five from Narrative Time — https://doi.org/10.12677/wls.2018.62009</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Four: Memory and Narrative: Materializing Past and Future in the Present — https://doi.org/10.37862/aaeportal.00203.006</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Four: Memory and Narrative: Materializing Past and Future in the PresentFredrika JacobsAgents of Faith: Votive Objects in Time and PlaceSeveral years had passed since Gian Giacopo Grandone so dramatically entered the Sanctuary of the Madonna dell'Arco just beyond the gates of Naples;...AuthorFredrika JacobsPublisherBard Graduate CenterCopyright© 2018 Bard Graduate Center: Decorative Arts, Design History, Material CultureRelated print edition pages: pp.87-107 https://doi.org/10.37862/aaeportal.00203.006 Stable URL: https://aaeportal.com/?id=-20150Copy Chapter subject tags:Votive offeringsMadonna dell'ArcoBodies--partsHealing in art</w:t>
      </w:r>
    </w:p>
    <w:p>
      <w:pPr/>
      <w:r>
        <w:rPr>
          <w:b/>
        </w:rPr>
        <w:t>POSSIBLE 2017:</w:t>
      </w:r>
      <w:r>
        <w:t xml:space="preserve"> Events in Time and the Rise of Narrative — https://doi.org/10.4324/9781315124520-6</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The idea of "the displacement of mimesis from its role in fictional representation" is simply going back to the antiquated view of fiction as a realm totally divorced from reality. But "collapse of fictionality into narrativity" holds promise. This chapter shows how works of painters, sculptors, and poets are susceptible to the touch of narrative and become subject to storytelling. It provides examples of a painter and four poets: van Gogh, Bidart, Blaga, Kelly, and Cardu. By representing in the medium of lines and color the dynamic relations of both space and time, the moment of the conjunction of the landscape and the celestial body, van Gogh creates a simple narrative within the heart of reality. In his long poem "The Third Hour of the Night," Bidart retells the story of Benvenuto Cellini&amp;s;s life and follows the narrative of the sculptor&amp;s;s own account in his autobiography, The Life of Benvenuto Cellini Written by Himself , and translated by John Addington Symonds.</w:t>
      </w:r>
    </w:p>
    <w:p>
      <w:pPr/>
      <w:r>
        <w:rPr>
          <w:b/>
        </w:rPr>
        <w:t>POSSIBLE 2017:</w:t>
      </w:r>
      <w:r>
        <w:t xml:space="preserve"> Quiet in time and narrative — https://doi.org/10.7765/9781526108883.00009</w:t>
      </w:r>
    </w:p>
    <w:p>
      <w:pPr/>
      <w:r>
        <w:rPr>
          <w:b/>
        </w:rPr>
        <w:t>Shared claim-specific concepts:</w:t>
      </w:r>
      <w:r>
        <w:t xml:space="preserve"> four, time, each, narrative; EU scope not established. This is a provisional connection, not an outcome finding.</w:t>
      </w:r>
    </w:p>
    <w:p>
      <w:pPr>
        <w:pStyle w:val="SourceNote"/>
      </w:pPr>
      <w:r>
        <w:rPr>
          <w:b/>
        </w:rPr>
        <w:t>Available abstract (not full text):</w:t>
      </w:r>
      <w:r>
        <w:t xml:space="preserve"> This chapter examines the discrepancy between the prize-winning success of quiet fiction and repeated critical surprise at the trend's existence. Through analysis of texts by Marilynne Robinson and Paul Harding, the chapter makes two propositions about what quiet fiction might be in its contemporary American form. First, it defines quiet as a narrative aesthetic through analysis of Robinson's Gilead and its partner novels, Home and Lila. Building on the aesthetic conditions, the author reads each text for four quiet criteria and argues that a quiet text privileges the depiction of quiet characters, locations and interior life. The second strand deals with time and temporality in Robinson's and Harding's quiet texts. A quiet novel where narrative duration is based on the movement of thought and the invocation of memory is liberated, the author argues from the linear representation of time and otherwise committed to the portrayal of subjective experience.</w:t>
      </w:r>
    </w:p>
    <w:p>
      <w:pPr>
        <w:pStyle w:val="Heading2"/>
      </w:pPr>
      <w:r>
        <w:t>858.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2022:</w:t>
      </w:r>
      <w:r>
        <w:t xml:space="preserve"> Climate Change Is Driving Shifts in Dragonfly Species Richness across Europe via Differential Dynamics of Taxonomic and Biogeographic Groups — https://doi.org/10.3390/d14121066</w:t>
      </w:r>
    </w:p>
    <w:p>
      <w:pPr/>
      <w:r>
        <w:rPr>
          <w:b/>
        </w:rPr>
        <w:t>Shared claim-specific concepts:</w:t>
      </w:r>
      <w:r>
        <w:t xml:space="preserve"> here, range, dynamics, climate, result, distribution; EU scope visible. This is a provisional connection, not an outcome finding.</w:t>
      </w:r>
    </w:p>
    <w:p>
      <w:pPr>
        <w:pStyle w:val="SourceNote"/>
      </w:pPr>
      <w:r>
        <w:rPr>
          <w:b/>
        </w:rPr>
        <w:t>Available abstract (not full text):</w:t>
      </w:r>
      <w:r>
        <w:t xml:space="preserve"> Understanding how changes in species richness pattern correlate with range changes in different taxonomic and biogeographic groups is important for conservation because it allows for generalizations about which species are at greatest risk. Here, we assessed whether changes in species richness patterns result from generalized range shifts across taxonomic and biogeographic groups or from changes in specific subsets of species. Using data from 1988 and from 2010, we studied changes in distributional range of European dragonfly species, using outline distribution maps for all dragonflies combined and separately for taxonomic suborders (Zygoptera and Anisoptera) and biogeographic groups (Boreo-alpine, Eurasian, Mediterranean, and Tropical). The results demonstrated differing range dynamics for Zygoptera and Anisoptera, with Anisoptera driving local turnover in species richness to a greater extent than Zygoptera. The distributional range of Tropical and Mediterranean species had expanded to a much greater extent than that of Eurasian and Boreo-alpine species. Large-scale changes in species richness arose from several divergent, group-specific processes. Overall, local diversity especially declined in parts of southern and south-eastern Europe, reflecting local losses in multiple species rather than major range contractions among Mediterranean or Eurasian species. In fact, among the</w:t>
      </w:r>
    </w:p>
    <w:p>
      <w:pPr/>
      <w:r>
        <w:rPr>
          <w:b/>
        </w:rPr>
        <w:t>POSSIBLE 2022:</w:t>
      </w:r>
      <w:r>
        <w:t xml:space="preserve"> Ticks on the move—climate change-induced range shifts of three tick species in Europe: current and future habitat suitability for Ixodes ricinus in comparison with Dermacentor reticulatus and Dermacentor marginatus — https://doi.org/10.1007/s00436-022-07556-x</w:t>
      </w:r>
    </w:p>
    <w:p>
      <w:pPr/>
      <w:r>
        <w:rPr>
          <w:b/>
        </w:rPr>
        <w:t>Shared claim-specific concepts:</w:t>
      </w:r>
      <w:r>
        <w:t xml:space="preserve"> range, climate, result, distribution; EU scope visible. This is a provisional connection, not an outcome finding.</w:t>
      </w:r>
    </w:p>
    <w:p>
      <w:pPr>
        <w:pStyle w:val="SourceNote"/>
      </w:pPr>
      <w:r>
        <w:rPr>
          <w:b/>
        </w:rPr>
        <w:t>Available abstract (not full text):</w:t>
      </w:r>
      <w:r>
        <w:t xml:space="preserve">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pPr/>
      <w:r>
        <w:rPr>
          <w:b/>
        </w:rPr>
        <w:t>POSSIBLE 2021:</w:t>
      </w:r>
      <w:r>
        <w:t xml:space="preserve"> Climate Connectivity of European Forests for Species Range Shifts — https://doi.org/10.3390/f12070940</w:t>
      </w:r>
    </w:p>
    <w:p>
      <w:pPr/>
      <w:r>
        <w:rPr>
          <w:b/>
        </w:rPr>
        <w:t>Shared claim-specific concepts:</w:t>
      </w:r>
      <w:r>
        <w:t xml:space="preserve"> here, range, climate; EU scope visible. This is a provisional connection, not an outcome finding.</w:t>
      </w:r>
    </w:p>
    <w:p>
      <w:pPr>
        <w:pStyle w:val="SourceNote"/>
      </w:pPr>
      <w:r>
        <w:rPr>
          <w:b/>
        </w:rPr>
        <w:t>Available abstract (not full text):</w:t>
      </w:r>
      <w:r>
        <w:t xml:space="preserve"> Forest connectivity is important for the range shifts and long-term persistence of forest-dependent species, especially in the context of climate change. This study assessed the climate connectivity of European forests for species to track suitable climate conditions as the climate warms. Here, climate connectivity was calculated as the temperature difference between each forest patch and the coolest patch that can be reached along temperature gradients. We found that, overall, about 36% of the total forested area in Europe has achieved successful climate connectivity under the moderate emission scenario (SSP245), whereby species range shifts could circumvent the impact of climate warming. The percentage is much lower under the highest emission scenario (SSP585), which is only 12%. To identify forest areas of high importance for climate connectivity, we further evaluated the potential of each forest patch to serve as a stepping stone for species range shifts. Our results showed that about 94% of the European forested area is expected to experience species range shifts. Our study identified sites of high conservation value for improving and sustaining forest connectivity to facilitate climate-driven range shifts and thus could provide information for climate-smart management of European forests.</w:t>
      </w:r>
    </w:p>
    <w:p>
      <w:pPr/>
      <w:r>
        <w:rPr>
          <w:b/>
        </w:rPr>
        <w:t>POSSIBLE 2020:</w:t>
      </w:r>
      <w:r>
        <w:t xml:space="preserve"> Black locust (Robinia pseudoacaciaL.) range contraction and expansion in Europe under changing climate — https://doi.org/10.1111/gcb.15486</w:t>
      </w:r>
    </w:p>
    <w:p>
      <w:pPr/>
      <w:r>
        <w:rPr>
          <w:b/>
        </w:rPr>
        <w:t>Shared claim-specific concepts:</w:t>
      </w:r>
      <w:r>
        <w:t xml:space="preserve"> here, range, shift, climate, one, distribution; EU scope visible. This is a provisional connection, not an outcome finding.</w:t>
      </w:r>
    </w:p>
    <w:p>
      <w:pPr>
        <w:pStyle w:val="SourceNote"/>
      </w:pPr>
      <w:r>
        <w:rPr>
          <w:b/>
        </w:rPr>
        <w:t>Available abstract (not full text):</w:t>
      </w:r>
      <w:r>
        <w:t xml:space="preserve"> Robinia pseudoacacia is one of the most frequent non-native species in Europe. It is a fast-growing tree of high economic and cultural importance. On the other hand, it is an invasive species, causing changes in soil chemistry and light regime, and consequently altering the plant communities. Previously published models developed for the potential distribution of R. pseudoacacia concerned 2070, and were based mainly on data from Western and Central Europe; here we extended these findings and included additional data from Eastern Europe. To fill the gap in current knowledge of R. pseudoacacia distribution and improve the reliability of forecasts, we aimed to (i) determine the extent to which the outcome of range modeling will be affected by complementing R. pseudoacacia occurrence data with sites from Central, Southeastern, and Eastern Europe, (ii) identify and quantify the changes in the availability of climate niches for 2050 and 2070, and discuss their impacts on forest management and nature conservation. We showed that the majority of the range changes expected in 2070 will occur as early as 2050. In comparison to previous studies, we demonstrated a greater eastward shift of potential niches of this species and a greater decline of potential niches in Southern Europe. Consequently, future climatic conditions will likely favor the occurrence of R. pseudoacacia in Central and </w:t>
      </w:r>
    </w:p>
    <w:p>
      <w:pPr/>
      <w:r>
        <w:rPr>
          <w:b/>
        </w:rPr>
        <w:t>POSSIBLE 2020:</w:t>
      </w:r>
      <w:r>
        <w:t xml:space="preserve"> Consistent population declines but idiosyncratic range shifts in Alpine orchids under global change — https://doi.org/10.1038/s41467-020-19680-2</w:t>
      </w:r>
    </w:p>
    <w:p>
      <w:pPr/>
      <w:r>
        <w:rPr>
          <w:b/>
        </w:rPr>
        <w:t>Shared claim-specific concepts:</w:t>
      </w:r>
      <w:r>
        <w:t xml:space="preserve"> here, range, over, population, dynamics, climate; EU scope visible. This is a provisional connection, not an outcome finding.</w:t>
      </w:r>
    </w:p>
    <w:p>
      <w:pPr>
        <w:pStyle w:val="SourceNote"/>
      </w:pPr>
      <w:r>
        <w:rPr>
          <w:b/>
        </w:rPr>
        <w:t>Available abstract (not full text):</w:t>
      </w:r>
      <w:r>
        <w:t xml:space="preserve"> Mountains are plant biodiversity hotspots considered particularly vulnerable to multiple environmental changes. Here, we quantify population changes and range-shift dynamics along elevational gradients over the last three decades for c. two-thirds of the orchid species of the European Alps. Local extinctions were more likely for small populations, after habitat alteration, and predominated at the rear edge of species' ranges. Except for the most thermophilic species and wetland specialists, population density decreased over time. Declines were more pronounced for rear-edge populations, possibly due to multiple pressures such as climate warming, habitat alteration, and mismatched ecological interactions. Besides these demographic trends, different species exhibited idiosyncratic range shifts with more than 50% of the species lagging behind climate warming. Our study highlights the importance of long-term monitoring of populations and range distributions at fine spatial resolution to be able to fully understand the consequences of global change for orchids.</w:t>
      </w:r>
    </w:p>
    <w:p>
      <w:pPr/>
      <w:r>
        <w:rPr>
          <w:b/>
        </w:rPr>
        <w:t>POSSIBLE 2020:</w:t>
      </w:r>
      <w:r>
        <w:t xml:space="preserve"> Late Quaternary range shifts of marcescent oaks unveil the dynamics of a major biogeographic transition in southern Europe — https://doi.org/10.1038/s41598-020-78576-9</w:t>
      </w:r>
    </w:p>
    <w:p>
      <w:pPr/>
      <w:r>
        <w:rPr>
          <w:b/>
        </w:rPr>
        <w:t>Shared claim-specific concepts:</w:t>
      </w:r>
      <w:r>
        <w:t xml:space="preserve"> here, range, dynamics, two, climate, distribution; EU scope visible. This is a provisional connection, not an outcome finding.</w:t>
      </w:r>
    </w:p>
    <w:p>
      <w:pPr>
        <w:pStyle w:val="SourceNote"/>
      </w:pPr>
      <w:r>
        <w:rPr>
          <w:b/>
        </w:rPr>
        <w:t>Available abstract (not full text):</w:t>
      </w:r>
      <w:r>
        <w:t xml:space="preserve"> Marcescent forests are ecotones distributed across southern Europe that host increased levels of biodiversity but their persistence is threatened by global change. Here we study the range dynamics of these forests in the Iberian Peninsula (IP) during the Late Quaternary, a period of profound climate and anthropic changes. We modeled and compared the distribution of eight oak taxa for the present and two paleoclimatic environments, the Last Glacial Maximum (LGM, ~ 21 kya) and the Mid-Holocene (MH, ~ 6 kya). Presence records were combined with bioclimatic and topographic data in an ensemble modelling framework to obtain spatial projections for present and past conditions across taxa. Substantial distribution shifts were projected between the three studied periods, that were explained by precipitation, winter cold and terrain ruggedness. Results were congruent with paleoclimatic records of the IP and showed that range shifts of these contact zones concurred with range dynamics of both Submediterranean and Temperate oaks. Notably, the distribution ranges of hybrid oaks and marcescent forests matched throughout the late Quaternary. This study contributes to unveil the complex Late-Quaternary biogeography of the ecotone belt occupied by marcescent forests and, more broadly, of Mediterranean oaks. Improved knowledge of species' responses to climate dynamics will allow us to anticipate</w:t>
      </w:r>
    </w:p>
    <w:p>
      <w:pPr/>
      <w:r>
        <w:rPr>
          <w:b/>
        </w:rPr>
        <w:t>POSSIBLE 2019:</w:t>
      </w:r>
      <w:r>
        <w:t xml:space="preserve"> Climate change induced range shifts in seaweeds distributions in Europe — https://doi.org/10.1016/j.marenvres.2019.04.012</w:t>
      </w:r>
    </w:p>
    <w:p>
      <w:pPr/>
      <w:r>
        <w:rPr>
          <w:b/>
        </w:rPr>
        <w:t>Shared claim-specific concepts:</w:t>
      </w:r>
      <w:r>
        <w:t xml:space="preserve"> range, climate; EU scope visible. This is a provisional connection, not an outcome finding.</w:t>
      </w:r>
    </w:p>
    <w:p>
      <w:pPr>
        <w:pStyle w:val="SourceNote"/>
      </w:pPr>
      <w:r>
        <w:rPr>
          <w:b/>
        </w:rPr>
        <w:t>Available abstract (not full text):</w:t>
      </w:r>
      <w:r>
        <w:t xml:space="preserve"> Unavailable</w:t>
      </w:r>
    </w:p>
    <w:p>
      <w:pPr>
        <w:pStyle w:val="Heading2"/>
      </w:pPr>
      <w:r>
        <w:t>859.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2021:</w:t>
      </w:r>
      <w:r>
        <w:t xml:space="preserve"> Migration and invention in the Age of Mass Migration — https://doi.org/10.1093/jeg/lbab032</w:t>
      </w:r>
    </w:p>
    <w:p>
      <w:pPr/>
      <w:r>
        <w:rPr>
          <w:b/>
        </w:rPr>
        <w:t>Shared claim-specific concepts:</w:t>
      </w:r>
      <w:r>
        <w:t xml:space="preserve"> mass, migration, between, regions; EU scope not established. This is a provisional connection, not an outcome finding.</w:t>
      </w:r>
    </w:p>
    <w:p>
      <w:pPr>
        <w:pStyle w:val="SourceNote"/>
      </w:pPr>
      <w:r>
        <w:rPr>
          <w:b/>
        </w:rPr>
        <w:t>Available abstract (not full text):</w:t>
      </w:r>
      <w:r>
        <w:t xml:space="preserve"> Abstract More than 30 million people migrated to the USA between late-ninetieth and early-twentieth century, and thousands became inventors. Drawing on a novel dataset of immigrant inventors in the USA, we assess the city-level impact of immigrants’ patenting and their contribution to the technological specialization of the receiving US regions between 1870 and 1940. Our results show that native inventors benefited from the inventive activity of immigrants. In addition, we show that the knowledge transferred by immigrants gave rise to new and previously not exiting technological fields in the US regions where immigrants moved to.</w:t>
      </w:r>
    </w:p>
    <w:p>
      <w:pPr/>
      <w:r>
        <w:rPr>
          <w:b/>
        </w:rPr>
        <w:t>POSSIBLE 2021:</w:t>
      </w:r>
      <w:r>
        <w:t xml:space="preserve"> Migration Networks and Location Decisions: Evidence from US Mass Migration — https://doi.org/10.1257/app.20180294</w:t>
      </w:r>
    </w:p>
    <w:p>
      <w:pPr/>
      <w:r>
        <w:rPr>
          <w:b/>
        </w:rPr>
        <w:t>Shared claim-specific concepts:</w:t>
      </w:r>
      <w:r>
        <w:t xml:space="preserve"> mass, migration, estimate; EU scope not established. This is a provisional connection, not an outcome finding.</w:t>
      </w:r>
    </w:p>
    <w:p>
      <w:pPr>
        <w:pStyle w:val="SourceNote"/>
      </w:pPr>
      <w:r>
        <w:rPr>
          <w:b/>
        </w:rPr>
        <w:t>Available abstract (not full text):</w:t>
      </w:r>
      <w:r>
        <w:t xml:space="preserve"> This paper studies how birth town migration networks affected long-run location decisions during historical US migration episodes. We develop a new method to estimate the strength of migration networks for each receiving and sending location. Our estimates imply that when one randomly chosen African American moved from a Southern birth town to a destination county, then 1.9 additional Black migrants made the same move on average. For White migrants from the Great Plains, the average is only 0.4. Networks were particularly important in connecting Black migrants with attractive employment opportunities and played a larger role in less costly moves. (JEL J15, J61, N32, N92, R23, Z13)</w:t>
      </w:r>
    </w:p>
    <w:p>
      <w:pPr/>
      <w:r>
        <w:rPr>
          <w:b/>
        </w:rPr>
        <w:t>POSSIBLE 2021:</w:t>
      </w:r>
      <w:r>
        <w:t xml:space="preserve"> Is There 'Mass Migration' in Canada? — https://doi.org/10.32920/ryerson.14641026.v1</w:t>
      </w:r>
    </w:p>
    <w:p>
      <w:pPr/>
      <w:r>
        <w:rPr>
          <w:b/>
        </w:rPr>
        <w:t>Shared claim-specific concepts:</w:t>
      </w:r>
      <w:r>
        <w:t xml:space="preserve"> mass, migration, allows, world; EU scope not established. This is a provisional connection, not an outcome finding.</w:t>
      </w:r>
    </w:p>
    <w:p>
      <w:pPr>
        <w:pStyle w:val="SourceNote"/>
      </w:pPr>
      <w:r>
        <w:rPr>
          <w:b/>
        </w:rPr>
        <w:t>Available abstract (not full text):</w:t>
      </w:r>
      <w:r>
        <w:t xml:space="preserve"> Immigration in Canada has been a topic of great debate in recent years. Canadian public opinion polls have raised problematic issues around immigration and the increasing diversity of the Canadian population. Some feel that Canada accepts far too many immigrants from diverse backgrounds, too many refugees from crisis-ridden parts of the world and allows large numbers of asylum seekers from the United States.</w:t>
      </w:r>
    </w:p>
    <w:p>
      <w:pPr/>
      <w:r>
        <w:rPr>
          <w:b/>
        </w:rPr>
        <w:t>POSSIBLE 2021:</w:t>
      </w:r>
      <w:r>
        <w:t xml:space="preserve"> Mass Migration as a Hybrid Threat? – A Legal Perspective — https://doi.org/10.15804/ppsy202122</w:t>
      </w:r>
    </w:p>
    <w:p>
      <w:pPr/>
      <w:r>
        <w:rPr>
          <w:b/>
        </w:rPr>
        <w:t>Shared claim-specific concepts:</w:t>
      </w:r>
      <w:r>
        <w:t xml:space="preserve"> mass, migration, between, policies; EU scope visible. This is a provisional connection, not an outcome finding.</w:t>
      </w:r>
    </w:p>
    <w:p>
      <w:pPr>
        <w:pStyle w:val="SourceNote"/>
      </w:pPr>
      <w:r>
        <w:rPr>
          <w:b/>
        </w:rPr>
        <w:t>Available abstract (not full text):</w:t>
      </w:r>
      <w:r>
        <w:t xml:space="preserve"> Migration as a weapon sounds like a policy statement by resurgent nationalistic parties (and governments) in the West. However, politics and the human cost aside, what if an adversary (both state and non-state actor) does exploit the current global crisis of mass migration due to globalization, war, and political unrest? This article will look at the ongoing mass migration to the European Union within the wider security context of the so-called hybrid threats and/or ‘grey zone’ tactics. It looks at the various legal categories of migration as how the law can be weaponized as so-called ‘lawfare’ to undermine the existing legal frameworks distinguishing between legal and illegal migration. The authors recognize the possibility that this article will be used as an argument by the political actors involved for their nationalistic and anti-migration politics and policies. Yet, we believe that the potential of abusing the current vacuum for political gains along ideological party lines makes it necessary to provide a wider legal-security focused perspective on mass migration.</w:t>
      </w:r>
    </w:p>
    <w:p>
      <w:pPr/>
      <w:r>
        <w:rPr>
          <w:b/>
        </w:rPr>
        <w:t>POSSIBLE 2020:</w:t>
      </w:r>
      <w:r>
        <w:t xml:space="preserve"> The Age of Mass Migration, 1840–1937 — https://doi.org/10.1017/9781316841211.004</w:t>
      </w:r>
    </w:p>
    <w:p>
      <w:pPr/>
      <w:r>
        <w:rPr>
          <w:b/>
        </w:rPr>
        <w:t>Shared claim-specific concepts:</w:t>
      </w:r>
      <w:r>
        <w:t xml:space="preserve"> third, mass, migration; EU scope visible. This is a provisional connection, not an outcome finding.</w:t>
      </w:r>
    </w:p>
    <w:p>
      <w:pPr>
        <w:pStyle w:val="SourceNote"/>
      </w:pPr>
      <w:r>
        <w:rPr>
          <w:b/>
        </w:rPr>
        <w:t>Available abstract (not full text):</w:t>
      </w:r>
      <w:r>
        <w:t xml:space="preserve"> Chapter 3 surveys the vast expansion, both in the numbers of migrants and in the range of destinations, of Chinese migration during the age of mass migration, processes driven in part by industrialization and imperialism. The chapter both traces the expansion of existing diasporic trajectories, such as migration from Shandong to Manchuria and the Hokkien diaspora in Southeast Asia, and introduces new diasporic trajectories, such as the Teochiu migrants to Thailand, Cantonese migrants to Australasia and the Americas, and Zhejiang migrants to Europe. The chapter also draws attention to diasporic trajectories made up of female migrants, to Shanghai and Singapore, representing the beginnings of the feminization of migration. The chapter then introduces institutions unique to the age of mass migration: treaty ports, indentured servitude and the “coolie” trade. The chapter argues that while the age of migration was the heyday of such Chinese institutions as native-place associations and brotherhoods, it also witnessed the emergence of new types of migration services. The chapter concludes with a third example of a Chinese diasporic community, this one made up of Teochiu farmers in a village on the Malay Peninsula.</w:t>
      </w:r>
    </w:p>
    <w:p>
      <w:pPr/>
      <w:r>
        <w:rPr>
          <w:b/>
        </w:rPr>
        <w:t>POSSIBLE 2018:</w:t>
      </w:r>
      <w:r>
        <w:t xml:space="preserve"> The age of mass migration in Latin America — https://doi.org/10.1111/ehr.12787</w:t>
      </w:r>
    </w:p>
    <w:p>
      <w:pPr/>
      <w:r>
        <w:rPr>
          <w:b/>
        </w:rPr>
        <w:t>Shared claim-specific concepts:</w:t>
      </w:r>
      <w:r>
        <w:t xml:space="preserve"> mass, migration, between, different, policies; EU scope visible. This is a provisional connection, not an outcome finding.</w:t>
      </w:r>
    </w:p>
    <w:p>
      <w:pPr>
        <w:pStyle w:val="SourceNote"/>
      </w:pPr>
      <w:r>
        <w:rPr>
          <w:b/>
        </w:rPr>
        <w:t>Available abstract (not full text):</w:t>
      </w:r>
      <w:r>
        <w:t xml:space="preserve"> Abstract The experiences of Latin American countries are not fully incorporated into current debates concerning the age of mass migration, even though 13 million Europeans migrated to the region between 1870 and 1930. This survey draws together different aspects of the Latin America immigration experience. Its main objective is to rethink the role of European migration to the region, addressing several major questions in the economics of migration: whether immigrants were positively selected from their sending countries, how immigrants assimilated into the host economies, the role of immigration policies, and the long‐run effects of immigration. Immigrants came from the economically backward areas of southern and eastern Europe, yet their adjustment to the host labour markets in Latin America seems to have been successful. The possibility of rapid social upgrading made Latin America attractive for European immigrants. Migrants were positively selected from origin according to literacy. The most revealing aspect of new research is showing the positive long‐run effects that European immigrants had in Latin American countries. The political economy of immigration policies deserves new research, particularly for Brazil and Cuba. The case of Argentina shows a more complex scenario than the classic representation of landowners constantly supporting an open‐door policy.</w:t>
      </w:r>
    </w:p>
    <w:p>
      <w:pPr/>
      <w:r>
        <w:rPr>
          <w:b/>
        </w:rPr>
        <w:t>POSSIBLE 2018:</w:t>
      </w:r>
      <w:r>
        <w:t xml:space="preserve"> Migration — https://doi.org/10.1093/oxfordhb/9780199696826.013.14</w:t>
      </w:r>
    </w:p>
    <w:p>
      <w:pPr/>
      <w:r>
        <w:rPr>
          <w:b/>
        </w:rPr>
        <w:t>Shared claim-specific concepts:</w:t>
      </w:r>
      <w:r>
        <w:t xml:space="preserve"> third, mass, migration, dynamic; EU scope visible. This is a provisional connection, not an outcome finding.</w:t>
      </w:r>
    </w:p>
    <w:p>
      <w:pPr>
        <w:pStyle w:val="SourceNote"/>
      </w:pPr>
      <w:r>
        <w:rPr>
          <w:b/>
        </w:rPr>
        <w:t>Available abstract (not full text):</w:t>
      </w:r>
      <w:r>
        <w:t xml:space="preserve"> Abstract Migration has long been one of the defining themes of the pre-Roman Iron Age in Europe. Classical authors record migrations by Celtic peoples into Italy and Greece in the fourth and third centuries BC and their testimonies are corroborated by archaeological evidence. Much work has focused on these events and on mass migration in particular. As a result the archaeological study of migration and mobility is weakly theorized and the subject has been unfashionable in most recent western European scholarship. However, migration and mobility in the pre-Roman Iron Age took many forms, from individual marriages to the establishment of Greek colonies in western Europe and the mass migration of Germanic peoples in the second and first centuries BC. The reasons for mobility are varied, but the archaeological and historical sources are clear and consistent in showing that migration was a dynamic and important feature of the pre-Roman Iron Age.</w:t>
      </w:r>
    </w:p>
    <w:p>
      <w:pPr>
        <w:pStyle w:val="Heading2"/>
      </w:pPr>
      <w:r>
        <w:t>860.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2019:</w:t>
      </w:r>
      <w:r>
        <w:t xml:space="preserve"> Prediction of Compressive Strength of Concrete: Critical Comparison of Performance of a Hybrid Machine Learning Model with Standalone Models — https://doi.org/10.1061/(asce)mt.1943-5533.0002902</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The use of machine learning (ML) techniques to model quantitative composition–property relationships in concrete has received substantial attention in the past few years. This paper presents a novel hybrid ML model (RF-FFA) for prediction of compressive strength of concrete by combining the random forests (RF) model with the firefly algorithm (FFA). The firefly algorithm is utilized to determine optimum values of two hyper-parameters (i.e., number of trees and number of leaves per tree in the forest) of the RF model in relation to the nature and volume of the dataset. The RF-FFA model was trained to develop correlations between input variables and output of two different categories of datasets; such correlations were subsequently leveraged by the model to make predictions in previously untrained data domains. The first category included two separate datasets featuring highly nonlinear and periodic relationship between input variables and output, as given by trigonometric functions. The second category included two real-world datasets, composed of mixture design variables of concretes as inputs and their age-dependent compressive strengths as outputs. The prediction performance of the hybrid RF-FFA model was benchmarked against commonly used standalone ML models—support vector machine (SVM), multilayer perceptron artificial neural network (MLP-ANN), M5Prime model tree algorithm </w:t>
      </w:r>
    </w:p>
    <w:p>
      <w:pPr>
        <w:pStyle w:val="Heading2"/>
      </w:pPr>
      <w:r>
        <w:t>861.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r>
        <w:rPr>
          <w:b/>
        </w:rPr>
        <w:t>POSSIBLE 2019:</w:t>
      </w:r>
      <w:r>
        <w:t xml:space="preserve"> HPV vaccination in a context of public mistrust and uncertainty: a systematic literature review of determinants of HPV vaccine hesitancy in Europe — https://doi.org/10.1080/21645515.2018.1564436</w:t>
      </w:r>
    </w:p>
    <w:p>
      <w:pPr/>
      <w:r>
        <w:rPr>
          <w:b/>
        </w:rPr>
        <w:t>Shared claim-specific concepts:</w:t>
      </w:r>
      <w:r>
        <w:t xml:space="preserve"> review, build, develop; EU scope visible. This is a provisional connection, not an outcome finding.</w:t>
      </w:r>
    </w:p>
    <w:p>
      <w:pPr>
        <w:pStyle w:val="SourceNote"/>
      </w:pPr>
      <w:r>
        <w:rPr>
          <w:b/>
        </w:rPr>
        <w:t>Available abstract (not full text):</w:t>
      </w:r>
      <w:r>
        <w:t xml:space="preserve"> Europe is increasingly described as the region in the world with the least confidence in vaccination, and particularly in the safety of vaccines. The aim of this systematic literature review was to gather and summarise all peer-reviewed and grey literature published about determinants of Human Papillomavirus (HPV) vaccine hesitancy in Europe. Ten thematic categories were identified across the 103 articles which were included in the review. Participants from European studies most commonly reported issues with the quantity and quality of information available about HPV vaccination; followed by concerns about potential side effects of the vaccine; and mistrust of health authorities, healthcare workers, and new vaccines. Comparative analyses indicated that confidence determinants differed by country and population groups. This evidence supports the need to develop context-specific interventions to improve confidence in HPV vaccination and design community engagement strategies aiming to build public trust.</w:t>
      </w:r>
    </w:p>
    <w:p>
      <w:pPr/>
      <w:r>
        <w:rPr>
          <w:b/>
        </w:rPr>
        <w:t>POSSIBLE 2018:</w:t>
      </w:r>
      <w:r>
        <w:t xml:space="preserve"> Farming for Life Quality and Sustainability: A Literature Review of Green Care Research Trends in Europe — https://doi.org/10.3390/ijerph15061282</w:t>
      </w:r>
    </w:p>
    <w:p>
      <w:pPr/>
      <w:r>
        <w:rPr>
          <w:b/>
        </w:rPr>
        <w:t>Shared claim-specific concepts:</w:t>
      </w:r>
      <w:r>
        <w:t xml:space="preserve"> review, sustainability, life; EU scope visible. This is a provisional connection, not an outcome finding.</w:t>
      </w:r>
    </w:p>
    <w:p>
      <w:pPr>
        <w:pStyle w:val="SourceNote"/>
      </w:pPr>
      <w:r>
        <w:rPr>
          <w:b/>
        </w:rPr>
        <w:t>Available abstract (not full text):</w:t>
      </w:r>
      <w:r>
        <w:t xml:space="preserve"> Green care is an innovative approach that combines simultaneously caring for people and caring for land through three elements that have not been previously connected: (1) multifunctional agriculture and recognition of the plurality of agricultural system values; (2) social services and health care; and (3) the possibility of strengthening the farming sector and local communities. The current research provides a comprehensive overview of green care in Europe as a scientific discipline through a literature review (n = 98 studies). According to our results, the Netherlands, the UK, Norway and Sweden followed by Italy have led the scientific studies published in English. Green care research comprises a wide range of perspectives and frameworks (social farming, care farming, nature-based solutions, etc.) with differences in their specificities. Green care studies have mainly focused on measuring the effectiveness of therapeutic interventions. Studies that evaluate its relevance in socio-economic and environmental terms are still limited. According to our results, the most common users studied were people suffering from psychological and mental ill health, while the most common activities were horticulture, animal husbandry and gardening. Finally, we discuss the potential of green care to reconnect people with nature and to diversify the farming sector providing new public services </w:t>
      </w:r>
    </w:p>
    <w:p>
      <w:pPr/>
      <w:r>
        <w:rPr>
          <w:b/>
        </w:rPr>
        <w:t>POSSIBLE 2017:</w:t>
      </w:r>
      <w:r>
        <w:t xml:space="preserve"> The bystander approach to violence prevention: Considerations for implementation in Europe. — https://doi.org/10.1037/vio0000104</w:t>
      </w:r>
    </w:p>
    <w:p>
      <w:pPr/>
      <w:r>
        <w:rPr>
          <w:b/>
        </w:rPr>
        <w:t>Shared claim-specific concepts:</w:t>
      </w:r>
      <w:r>
        <w:t xml:space="preserve"> review, build, recent, develop, needed, there; EU scope visible. This is a provisional connection, not an outcome finding.</w:t>
      </w:r>
    </w:p>
    <w:p>
      <w:pPr>
        <w:pStyle w:val="SourceNote"/>
      </w:pPr>
      <w:r>
        <w:rPr>
          <w:b/>
        </w:rPr>
        <w:t>Available abstract (not full text):</w:t>
      </w:r>
      <w:r>
        <w:t xml:space="preserve"> Abstract \nObjective: In recent years there has been a growing awareness of the prevalence of sexual violence in UK university student populations yet prevention efforts are in their infancy. Evidence from the US shows that empowering bystanders to intervene to prevent violence rather than focussing on perpetrators or victims is a promising strategy particularly suited to university settings. Public Health England commissioned a bystander program, The Intervention Initiative, for UK universities. This paper discusses the theoretical underpinnings of the bystander approach and the challenges for practical implementation in Europe. Method: We review findings from research relating to bystander theories, social norms theory and effective prevention programming which inform the development of maximally effective bystander programs. Results: Bystander programs are complex, multi-faceted interventions based on taking participants through the different stages required for an individual to move from inaction to action as described by Latané and Darley, 1969; 1970 in their organising framework for bystander intervention, and incorporating a social norms element. Programs which adhere to the principles for effective prevention as set out by Nation et al. (2003) are most likely to be effective. We demonstrate how these criteria informed the cultural specificity of The Intervention Initiat</w:t>
      </w:r>
    </w:p>
    <w:p>
      <w:pPr/>
      <w:r>
        <w:rPr>
          <w:b/>
        </w:rPr>
        <w:t>POSSIBLE 2016:</w:t>
      </w:r>
      <w:r>
        <w:t xml:space="preserve"> Review of the state of the art and future prospects of the ground-based GNSS meteorology in Europe — https://doi.org/10.5194/amt-9-5385-2016</w:t>
      </w:r>
    </w:p>
    <w:p>
      <w:pPr/>
      <w:r>
        <w:rPr>
          <w:b/>
        </w:rPr>
        <w:t>Shared claim-specific concepts:</w:t>
      </w:r>
      <w:r>
        <w:t xml:space="preserve"> review, develop, life; EU scope visible. This is a provisional connection, not an outcome finding.</w:t>
      </w:r>
    </w:p>
    <w:p>
      <w:pPr>
        <w:pStyle w:val="SourceNote"/>
      </w:pPr>
      <w:r>
        <w:rPr>
          <w:b/>
        </w:rPr>
        <w:t>Available abstract (not full text):</w:t>
      </w:r>
      <w:r>
        <w:t xml:space="preserve"> Abstract. Global Navigation Satellite Systems (GNSS) have revolutionised positioning, navigation, and timing, becoming a common part of our everyday life. Aside from these well-known civilian and commercial applications, GNSS is now an established atmospheric observing system, which can accurately sense water vapour, the most abundant greenhouse gas, accounting for 60–70 % of atmospheric warming. In Europe, the application of GNSS in meteorology started roughly two decades ago and today it is a well-established research field. This review covers the state-of-the-art in GNSS meteorology in Europe. Discussed are the advances in GNSS processing for derivation of tropospheric products, application of GNSS tropospheric products in operational weather prediction and application of GNSS tropospheric products for climate monitoring. Reviewed are the GNSS processing techniques and tropospheric products. Given is a summary of the use of the products for validation and impact studies with operational Numerical Weather Prediction (NWP) models as well as very short weather prediction (nowcasting) case studies. Climate research with GNSS is an emerging field of research, the studies so far have been limited to comparison with the climate models and derivation of trends. More than 15 years of GNSS meteorology in Europe has already achieved outstanding cooperation between the atmospheric and g</w:t>
      </w:r>
    </w:p>
    <w:p>
      <w:pPr>
        <w:pStyle w:val="Heading2"/>
      </w:pPr>
      <w:r>
        <w:t>862.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r>
        <w:rPr>
          <w:b/>
        </w:rPr>
        <w:t>POSSIBLE 2015:</w:t>
      </w:r>
      <w:r>
        <w:t xml:space="preserve"> Structure and Type Characteristics of the Winter Quasi-stationary Front in South China — https://openalex.org/W2384076123</w:t>
      </w:r>
    </w:p>
    <w:p>
      <w:pPr/>
      <w:r>
        <w:rPr>
          <w:b/>
        </w:rPr>
        <w:t>Shared claim-specific concepts:</w:t>
      </w:r>
      <w:r>
        <w:t xml:space="preserve"> addition, china, front, below; EU scope not established. This is a provisional connection, not an outcome finding.</w:t>
      </w:r>
    </w:p>
    <w:p>
      <w:pPr>
        <w:pStyle w:val="SourceNote"/>
      </w:pPr>
      <w:r>
        <w:rPr>
          <w:b/>
        </w:rPr>
        <w:t>Available abstract (not full text):</w:t>
      </w:r>
      <w:r>
        <w:t xml:space="preserve"> Using the daily National Centers for Environmental Prediction(NCEP) global final analysis(FNL) data and daily station rainfall data in China for the winters of 2000–2011, we first define an index to measure the strength of the South China quasi-stationary front(SCSF), and strong SCSF cases are then selected. The structure and characteristic circulation of strong SCSFs in relation to winter precipitation over South China are analyzed by composite analysis. The results show that strong SCSFs are nearly west–east oriented, are more common in January and February, and their frequency of occurrence shows a clear upward trend over the past 12 winters. The frontal zone of a strong SCSF is indicated by a dense band of potential pseudo-equivalent temperatures in the lower troposphere, slanting northward with altitude, with obvious differences across the band in temperature rather than in moisture. In addition, the frontal zone is often associated with a great temperature inversion, positive relative vorticity, and moisture flux convergence of north and south winds. Updrafts mainly appear above the slanted frontal zone, and disturbance zonal circulations with sub-frontal scale updrafts and downdrafts exist at about 850 h Pa below the upper–level westerlies. Strong SCSFs can be classified into three types according to their wind convergence patterns in the frontal zone at 850 h Pa. Among </w:t>
      </w:r>
    </w:p>
    <w:p>
      <w:pPr>
        <w:pStyle w:val="Heading2"/>
      </w:pPr>
      <w:r>
        <w:t>863.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2020:</w:t>
      </w:r>
      <w:r>
        <w:t xml:space="preserve"> Recycling of European plastic is a pathway for plastic debris in the ocean — https://doi.org/10.1016/j.envint.2020.105893</w:t>
      </w:r>
    </w:p>
    <w:p>
      <w:pPr/>
      <w:r>
        <w:rPr>
          <w:b/>
        </w:rPr>
        <w:t>Shared claim-specific concepts:</w:t>
      </w:r>
      <w:r>
        <w:t xml:space="preserve"> pathway, three; EU scope visible. This is a provisional connection, not an outcome finding.</w:t>
      </w:r>
    </w:p>
    <w:p>
      <w:pPr>
        <w:pStyle w:val="SourceNote"/>
      </w:pPr>
      <w:r>
        <w:rPr>
          <w:b/>
        </w:rPr>
        <w:t>Available abstract (not full text):</w:t>
      </w:r>
      <w:r>
        <w:t xml:space="preserve"> Polyethylene (PE) is one of the most common types of plastic. Whilst an increasing share of post-consumer plastic waste from Europe is collected for recycling, 46% of separated PE waste is exported outside of the source country (including intra-EU trade). The fate of this exported European plastic is not well known. This study integrated data on PE waste flows in 2017 from UN Comtrade, an open repository providing detailed international trade data, with best available information on waste management in destination countries, to model the fate of PE exported for recycling from Europe (EU-28, Norway and Switzerland) into: recycled high-density PE (HDPE) and low-density PE (LDPE) resins, "landfill", incineration and ocean debris. Data uncertainty was reflected in three scenarios representing high, low and average recovery efficiency factors in material recovery facilities and reprocessing facilities, and different ocean debris fate factors. The fates of exported PE were then linked back to the individual European countries of export. Our study estimated that 83,187 Mg (tonnes) (range: 32,115-180,558 Mg), or 3% (1-7%) of exported European PE in 2017 ended up in the ocean, indicating an important and hitherto undocumented pathway of plastic debris entering the oceans. The countries with the greatest percentage of exported PE ending up as recycled HDPE or LDPE were Luxembourg and Swi</w:t>
      </w:r>
    </w:p>
    <w:p>
      <w:pPr/>
      <w:r>
        <w:rPr>
          <w:b/>
        </w:rPr>
        <w:t>POSSIBLE 2019:</w:t>
      </w:r>
      <w:r>
        <w:t xml:space="preserve"> A protocol to develop Shared Socio-economic Pathways for European agriculture — https://doi.org/10.1016/j.jenvman.2019.109701</w:t>
      </w:r>
    </w:p>
    <w:p>
      <w:pPr/>
      <w:r>
        <w:rPr>
          <w:b/>
        </w:rPr>
        <w:t>Shared claim-specific concepts:</w:t>
      </w:r>
      <w:r>
        <w:t xml:space="preserve"> evaluation, pathways, develop, suitable, each, sectors; EU scope visible. This is a provisional connection, not an outcome finding.</w:t>
      </w:r>
    </w:p>
    <w:p>
      <w:pPr>
        <w:pStyle w:val="SourceNote"/>
      </w:pPr>
      <w:r>
        <w:rPr>
          <w:b/>
        </w:rPr>
        <w:t>Available abstract (not full text):</w:t>
      </w:r>
      <w:r>
        <w:t xml:space="preserve">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pPr/>
      <w:r>
        <w:rPr>
          <w:b/>
        </w:rPr>
        <w:t>POSSIBLE 2018:</w:t>
      </w:r>
      <w:r>
        <w:t xml:space="preserve"> Evaluating perceptions of risk in mosquito experts and identifying undocumented pathways for the introduction of invasive mosquito species into Europe — https://doi.org/10.1111/mve.12344</w:t>
      </w:r>
    </w:p>
    <w:p>
      <w:pPr/>
      <w:r>
        <w:rPr>
          <w:b/>
        </w:rPr>
        <w:t>Shared claim-specific concepts:</w:t>
      </w:r>
      <w:r>
        <w:t xml:space="preserve"> pathways, pathway, experts, specific; EU scope visible. This is a provisional connection, not an outcome finding.</w:t>
      </w:r>
    </w:p>
    <w:p>
      <w:pPr>
        <w:pStyle w:val="SourceNote"/>
      </w:pPr>
      <w:r>
        <w:rPr>
          <w:b/>
        </w:rPr>
        <w:t>Available abstract (not full text):</w:t>
      </w:r>
      <w:r>
        <w:t xml:space="preserve"> In several reported cases of the entry of invasive mosquito species (IMSs) into Europe, the introduction was associated with a specific pathway of introduction or dispersal. The identification of potential pathways for the introduction of IMSs and evaluations of the importance of the different pathways are key to designing proper surveillance strategies to promptly detect and control introductions in non-infested areas. The main goals of the present study were to identify other, previously undocumented, pathways of introduction into Europe, and to identify mosquito experts' perceptions regarding control measures against IMS introductions via different documented pathways. At the European Mosquito Control Association (EMCA) conference in Montenegro in March 2017, a questionnaire was distributed among meeting participants to collect expert data. Results showed that ground transportation (by cars, trucks, etc.), passive natural dispersal and the shipping of used tyres are perceived as the most likely pathways. Introduction via aircraft did not appear to be well known and was not perceived as probable. This study shows that there were no pathways unknown to European experts that could lead to cryptic introductions into the experts' countries. Furthermore, the findings demonstrated that the perceived efficacy of surveillance and control is key to overcoming the constraints experienc</w:t>
      </w:r>
    </w:p>
    <w:p>
      <w:pPr/>
      <w:r>
        <w:rPr>
          <w:b/>
        </w:rPr>
        <w:t>POSSIBLE 2017:</w:t>
      </w:r>
      <w:r>
        <w:t xml:space="preserve"> Integration of psycho-oncology through the whole care pathway for breast cancer patients in Europe — https://doi.org/10.1016/j.breast.2017.03.004</w:t>
      </w:r>
    </w:p>
    <w:p>
      <w:pPr/>
      <w:r>
        <w:rPr>
          <w:b/>
        </w:rPr>
        <w:t>Shared claim-specific concepts:</w:t>
      </w:r>
      <w:r>
        <w:t xml:space="preserve"> developed, pathway, specific; EU scope visible. This is a provisional connection, not an outcome finding.</w:t>
      </w:r>
    </w:p>
    <w:p>
      <w:pPr>
        <w:pStyle w:val="SourceNote"/>
      </w:pPr>
      <w:r>
        <w:rPr>
          <w:b/>
        </w:rPr>
        <w:t>Available abstract (not full text):</w:t>
      </w:r>
      <w:r>
        <w:t xml:space="preserve"> We are grateful to Drs Bahcivan and Altundag [ [1] Bahcivan O. Altundag K. Considerations to include while setting policy and standards for psycho oncological care in breast cancer services in Europe. Breast. 2017; https://doi.org/10.1016/j.breast.2017.02.007 Abstract Full Text Full Text PDF Scopus (1) Google Scholar ] for providing valuable complementary information to our paper [ [2] Neamtiu L. Deandrea S. Pylkkanen L. et al. Psycho-oncological support for breast cancer patients: a brief overview of breast cancer services certification schemes and national health policies in Europe. Breast. 2016; 29: 178-180 Abstract Full Text Full Text PDF PubMed Scopus (5) Google Scholar ]. We agree that there is a need for harmonisation as training in psycho-oncologyvaries greatly across Europe. However, we propose to look at psycho-oncology as part of comprehensive cancer care rather than merely as a sub-discipline of psychology [ [1] Bahcivan O. Altundag K. Considerations to include while setting policy and standards for psycho oncological care in breast cancer services in Europe. Breast. 2017; https://doi.org/10.1016/j.breast.2017.02.007 Abstract Full Text Full Text PDF Scopus (1) Google Scholar ]. Looking at the cancer care pathway, psycho-oncology addresses the psychological responses to cancer and the psychological, behavioural and social factors that may influence the disease proces</w:t>
      </w:r>
    </w:p>
    <w:p>
      <w:pPr/>
      <w:r>
        <w:rPr>
          <w:b/>
        </w:rPr>
        <w:t>POSSIBLE 2015:</w:t>
      </w:r>
      <w:r>
        <w:t xml:space="preserve"> Report of a European Society of Cardiology-European Association of Percutaneous Cardiovascular Interventions task force on the evaluation of coronary stents in Europe: executive summary — https://doi.org/10.1093/eurheartj/ehv203</w:t>
      </w:r>
    </w:p>
    <w:p>
      <w:pPr/>
      <w:r>
        <w:rPr>
          <w:b/>
        </w:rPr>
        <w:t>Shared claim-specific concepts:</w:t>
      </w:r>
      <w:r>
        <w:t xml:space="preserve"> evaluation, pathway, develop, specific; EU scope visible. This is a provisional connection, not an outcome finding.</w:t>
      </w:r>
    </w:p>
    <w:p>
      <w:pPr>
        <w:pStyle w:val="SourceNote"/>
      </w:pPr>
      <w:r>
        <w:rPr>
          <w:b/>
        </w:rPr>
        <w:t>Available abstract (not full text):</w:t>
      </w:r>
      <w:r>
        <w:t xml:space="preserve"> The evaluation for European Union market approval of coronary stents falls under the Medical Device Directive that was adopted in 1993. Specific requirements for the assessment of coronary stents are laid out in supplementary advisory documents. In response to a call by the European Commission to make recommendations for a revision of the advisory document on the evaluation of coronary stents (Appendix 1 of MEDDEV 2.7.1), the European Society of Cardiology (ESC) and the European Association of Percutaneous Cardiovascular Interventions (EAPCI) established a Task Force to develop an expert advisory report. As basis for its report, the ESC-EAPCI Task Force reviewed existing processes, established a comprehensive list of all coronary drug-eluting stents that have received a CE mark to date, and undertook a systematic review of the literature of all published randomized clinical trials evaluating clinical and angiographic outcomes of coronary artery stents between 2002 and 2013. Based on these data, the TF provided recommendations to inform a new regulatory process for coronary stents. The main recommendations of the task force include implementation of a standardized non-clinical assessment of stents and a novel clinical evaluation pathway for market approval. The two-stage clinical evaluation plan includes recommendation for an initial pre-market trial with objective performance c</w:t>
      </w:r>
    </w:p>
    <w:p>
      <w:pPr/>
      <w:r>
        <w:rPr>
          <w:b/>
        </w:rPr>
        <w:t>POSSIBLE 2015:</w:t>
      </w:r>
      <w:r>
        <w:t xml:space="preserve"> Transition Pathways to Sustainable Pastoral Systems in Europe — https://doi.org/10.2174/1874331501509010006</w:t>
      </w:r>
    </w:p>
    <w:p>
      <w:pPr/>
      <w:r>
        <w:rPr>
          <w:b/>
        </w:rPr>
        <w:t>Shared claim-specific concepts:</w:t>
      </w:r>
      <w:r>
        <w:t xml:space="preserve"> pathways, developed, transition, experts, specific; EU scope visible. This is a provisional connection, not an outcome finding.</w:t>
      </w:r>
    </w:p>
    <w:p>
      <w:pPr>
        <w:pStyle w:val="SourceNote"/>
      </w:pPr>
      <w:r>
        <w:rPr>
          <w:b/>
        </w:rPr>
        <w:t>Available abstract (not full text):</w:t>
      </w:r>
      <w:r>
        <w:t xml:space="preserve"> Large Scale Grazing Systems (LSGSs) in Europe are extensive systems of grassland management, which have developed from the interaction of historical background, human behaviour and natural resources, and are mainly located in the Less Favoured Areas (LFAs). LSGSs currently face competing threats towards intensification and/or abandonment but, at the same time, they harbour a significant part of European nature values. Socio-economic driving forces of land abandonment and intensification are poorly addressed. The current system assumes that these LSGSs are inherently uneconomic and only payments for the potential delivery of environmental services and side line activities are the source of continuity and justification of support. Our conceptual approach, however, is based on the assumptions that endogenous development and targeted policy schemes cannot be disregarded. A framework profile is provided for the identification and description of European LSGSs where regeneration plans can be more cost-effective. Under this conceptual approach, operational tools such as pastoral strategies for survival and system-specific management alternatives can be devised for interplay of environmental and socio-economic functions, facilitating interdisciplinary research within and across systems. From the empirical perspective, we show how the trend of abandonment of LSGS in the last 60 years is</w:t>
      </w:r>
    </w:p>
    <w:p>
      <w:pPr>
        <w:pStyle w:val="Heading2"/>
      </w:pPr>
      <w:r>
        <w:t>864.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2019:</w:t>
      </w:r>
      <w:r>
        <w:t xml:space="preserve"> The Human Cost of Anthropogenic Global Warming: Semi-Quantitative Prediction and the 1,000-Tonne Rule — https://doi.org/10.3389/fpsyg.2019.02323</w:t>
      </w:r>
    </w:p>
    <w:p>
      <w:pPr/>
      <w:r>
        <w:rPr>
          <w:b/>
        </w:rPr>
        <w:t>Shared claim-specific concepts:</w:t>
      </w:r>
      <w:r>
        <w:t xml:space="preserve"> every, tonne, predicted; EU scope not established. This is a provisional connection, not an outcome finding.</w:t>
      </w:r>
    </w:p>
    <w:p>
      <w:pPr>
        <w:pStyle w:val="SourceNote"/>
      </w:pPr>
      <w:r>
        <w:rPr>
          <w:b/>
        </w:rPr>
        <w:t>Available abstract (not full text):</w:t>
      </w:r>
      <w:r>
        <w:t xml:space="preserve"> Greenhouse-gas emissions are indirectly causing future deaths by multiple mechanisms. For example, reduced food and water supplies will exacerbate hunger, disease, violence, and migration. How will anthropogenic global warming (AGW) affect global mortality due to poverty around and beyond 2100? Roughly how much burned fossil carbon corresponds to one future death? What are the psychological, medical, political, and economic implications? Predicted death tolls are crucial for policy formulation, but uncertainty increases with temporal distance from the present and estimates may be biased. Order-of-magnitude estimates should refer to literature from diverse relevant disciplines. The carbon budget for 2°C AGW (roughly 10^12 tonnes carbon) will indirectly cause roughly 10^9 future premature deaths (10% of projected maximum global population), spread over one to two centuries. This zeroth-order prediction is relative and in addition to existing preventable death rates. It lies between likely best- and worst-case scenarios of roughly 3 x 10^8 and 3 x 10^9, corresponding to plus/minus one standard deviation on a logarithmic scale in a Gaussian probability distribution. It implies that one future premature death is caused every time roughly 1000 (300 to 3000) tonnes of carbon are burned. Therefore, any fossil-fuel project that burns millions of tons of carbon is probably indirectly kil</w:t>
      </w:r>
    </w:p>
    <w:p>
      <w:pPr/>
      <w:r>
        <w:rPr>
          <w:b/>
        </w:rPr>
        <w:t>POSSIBLE 2016:</w:t>
      </w:r>
      <w:r>
        <w:t xml:space="preserve"> Health Impacts of Active Transportation in Europe — https://doi.org/10.1371/journal.pone.0149990</w:t>
      </w:r>
    </w:p>
    <w:p>
      <w:pPr/>
      <w:r>
        <w:rPr>
          <w:b/>
        </w:rPr>
        <w:t>Shared claim-specific concepts:</w:t>
      </w:r>
      <w:r>
        <w:t xml:space="preserve"> level, potential; EU scope visible. This is a provisional connection, not an outcome finding.</w:t>
      </w:r>
    </w:p>
    <w:p>
      <w:pPr>
        <w:pStyle w:val="SourceNote"/>
      </w:pPr>
      <w:r>
        <w:rPr>
          <w:b/>
        </w:rPr>
        <w:t>Available abstract (not full text):</w:t>
      </w:r>
      <w:r>
        <w:t xml:space="preserve">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r>
        <w:rPr>
          <w:b/>
        </w:rPr>
        <w:t>POSSIBLE 2016:</w:t>
      </w:r>
      <w:r>
        <w:t xml:space="preserve"> Big Data for Supporting Low-Carbon Road Transport Policies in Europe: Applications, Challenges and Opportunities — https://doi.org/10.1016/j.bdr.2016.04.003</w:t>
      </w:r>
    </w:p>
    <w:p>
      <w:pPr/>
      <w:r>
        <w:rPr>
          <w:b/>
        </w:rPr>
        <w:t>Shared claim-specific concepts:</w:t>
      </w:r>
      <w:r>
        <w:t xml:space="preserve"> every, developed, platform, potential; EU scope visible. This is a provisional connection, not an outcome finding.</w:t>
      </w:r>
    </w:p>
    <w:p>
      <w:pPr>
        <w:pStyle w:val="SourceNote"/>
      </w:pPr>
      <w:r>
        <w:rPr>
          <w:b/>
        </w:rPr>
        <w:t>Available abstract (not full text):</w:t>
      </w:r>
      <w:r>
        <w:t xml:space="preserve"> Big data is among the most promising research trends of the decade, drawing attention from every segment of the market and society. This paper provides the scientific community with a comprehensive overview of the applications of a data processing platform designed to harness the potential of big data in the field of road transport policies in Europe. This platform relies on datasets of driving and mobility patterns collected by means of navigation systems. Two datasets from conventional fuel vehicles collected with on-board GPS systems have been used to perform an initial pilot study and develop its core algorithms. They consist of 4.5 million trips and parking events recorded by monitoring 28,000 vehicles over one month. The presented analyses address: (1) large-scale mobility statistics, (2) potential of electric vehicles in replacing conventional fuel vehicles and related modal shift, (3) energy demand coming from electric vehicles, (4) smart design of the recharge infrastructure and Vehicle-to-Grid, and (5) real-world driving and evaporative emissions assessment and mapping. The developed methodology and the presented outcomes demonstrate the potential of big data for policy assessment and better governance, focusing on the challenges and on the huge opportunities offered for future developments. This paper ultimately aims to show how big data can inspire smart policies to</w:t>
      </w:r>
    </w:p>
    <w:p>
      <w:pPr>
        <w:pStyle w:val="Heading2"/>
      </w:pPr>
      <w:r>
        <w:t>865.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r>
        <w:rPr>
          <w:b/>
        </w:rPr>
        <w:t>POSSIBLE 2017:</w:t>
      </w:r>
      <w:r>
        <w:t xml:space="preserve"> The impact of the US retreat from the Paris Agreement: Kyoto revisited? — https://doi.org/10.1080/14693062.2017.1412934</w:t>
      </w:r>
    </w:p>
    <w:p>
      <w:pPr/>
      <w:r>
        <w:rPr>
          <w:b/>
        </w:rPr>
        <w:t>Shared claim-specific concepts:</w:t>
      </w:r>
      <w:r>
        <w:t xml:space="preserve"> kyoto, agreement, reduce, emissions, different, possible; EU scope not established. This is a provisional connection, not an outcome finding.</w:t>
      </w:r>
    </w:p>
    <w:p>
      <w:pPr>
        <w:pStyle w:val="SourceNote"/>
      </w:pPr>
      <w:r>
        <w:rPr>
          <w:b/>
        </w:rPr>
        <w:t>Available abstract (not full text):</w:t>
      </w:r>
      <w:r>
        <w:t xml:space="preserve"> The United States’ decision to withdraw from the Paris Agreement (pending possible re-engagement under different terms) may have significant ramifications for international climate policy, but the implications of this decision remain contested. This commentary illustrates how comparative analysis of US participation in multilateral environmental agreements can inform predictions and future assessments of the decision. We compare and contrast US non-participation in the Kyoto Protocol and the Paris Agreement, focusing on four key areas that may condition the influence of US treaty decisions on international climate policy: (i) global momentum on climate change mitigation; (ii) the possibility of US non-participation giving rise to alternative forms of international collaboration on climate policy; (iii) the timing and circumstances of the US decision to exit; and (iv) the influence of treaty design on countries’ incentives to participate and comply. We find that differences across the two treaties relating to the first three factors are more likely to reduce the negative ramifications of US withdrawal from the Paris Agreement compared to the Kyoto Protocol. However, the increased urgency of deep decarbonization renders US non-participation a major concern despite its declining share of global emissions. Moreover, key design features of the Paris Agreement suggest that other coun</w:t>
      </w:r>
    </w:p>
    <w:p>
      <w:pPr>
        <w:pStyle w:val="Heading2"/>
      </w:pPr>
      <w:r>
        <w:t>866.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2023:</w:t>
      </w:r>
      <w:r>
        <w:t xml:space="preserve"> Access to European Commission Guidance — https://doi.org/10.21552/estal/2023/3/2</w:t>
      </w:r>
    </w:p>
    <w:p>
      <w:pPr/>
      <w:r>
        <w:rPr>
          <w:b/>
        </w:rPr>
        <w:t>Shared claim-specific concepts:</w:t>
      </w:r>
      <w:r>
        <w:t xml:space="preserve"> commission, assess, between; EU scope visible. This is a provisional connection, not an outcome finding.</w:t>
      </w:r>
    </w:p>
    <w:p>
      <w:pPr>
        <w:pStyle w:val="SourceNote"/>
      </w:pPr>
      <w:r>
        <w:rPr>
          <w:b/>
        </w:rPr>
        <w:t>Available abstract (not full text):</w:t>
      </w:r>
      <w:r>
        <w:t xml:space="preserve"> The Treaty on the Functioning of the European Union (TFEU) grants unique powers to the European Commission in the field of State aid.In no other policy field does the TFEU require Member States to inform the Commission of plans to implement a measure and confer to the Commission the right to assess those measures without obtaining the prior consent of the Council or EU courts.Even under Article 258, where the TFEU empowers the Commission to initiate action against Member States that infringe EU law, the TFEU still obliges the Commission to "bring the matter before the Court of Justice".The TFEU establishes this system of prior control of State aid because public subsidies can distort competition in the internal EU market.The integrity of this system depends on the Commission being able to distinguish between subsidies that remedy market failure and subsidies that worsen market failure.However, the effectiveness of prior control is conditional on compliance by Member States.And, compliance by Member States, in turn, depends on the rules being clear and comprehensible.</w:t>
      </w:r>
    </w:p>
    <w:p>
      <w:pPr/>
      <w:r>
        <w:rPr>
          <w:b/>
        </w:rPr>
        <w:t>POSSIBLE 2023:</w:t>
      </w:r>
      <w:r>
        <w:t xml:space="preserve"> Assessing the role of the European Council and the European Commission during the migration and COVID-19 crises — https://doi.org/10.1080/01402382.2023.2225403</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Over the past decades, ‘emergency politics’ has become a quasi-permanent feature of the European Union (EU). According to some, this has reinforced the trend towards a greater role for the European Council (EUCO) in EU agenda-setting, to the detriment of the European Commission (Commission). In this article, this claim is critically assessed by analysing two major crises: the 2015-2016 migration crisis and the COVID-19 pandemic. By systematically tracing the various agenda-setting roles played by EU actors in these crises, two claims are made. First, using a more fine-grained typology of agenda-setting roles, the relationship between EUCO and the Commission is shown to be more nuanced than is often suggested. Second, EUCO and the Commission cannot be considered monolithic players. Instead, actors within these institutions operate outside of formal channels to purse their own policy goals. This puts in doubt the usefulness of focussing on the EUCO-Commission relationship in a purely inter-institutional sense.</w:t>
      </w:r>
    </w:p>
    <w:p>
      <w:pPr/>
      <w:r>
        <w:rPr>
          <w:b/>
        </w:rPr>
        <w:t>POSSIBLE 2023:</w:t>
      </w:r>
      <w:r>
        <w:t xml:space="preserve"> The European Commission: a climate policy entrepreneur — https://doi.org/10.4337/9781789906981.00013</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The European Commission is a crucial actor in EU climate policy in three regards. First, based on its unique role in the EU system as an initiator of policy proposals, it acts as a policy entrepreneur, contributing to the gradual advancement of EU climate policy. In this role, it has promoted commitments to ever more ambitious greenhouse gas emission reduction targets (compared to 1990 levels) that, once agreed, served as the basis for the Commission’s legislative initiatives. Second, as ‘guardian of the treaties’, the Commission monitors EU countries’ compliance with the adopted legislation. To this end, it has constantly improved coordination processes with national governments. Finally, the Commission is actively involved in EU international climate policy, coordinating bi-lateral and multilateral partnerships on climate change and energy with third countries, contributing to knowledge transfer and policy learning.</w:t>
      </w:r>
    </w:p>
    <w:p>
      <w:pPr/>
      <w:r>
        <w:rPr>
          <w:b/>
        </w:rPr>
        <w:t>POSSIBLE 2022:</w:t>
      </w:r>
      <w:r>
        <w:t xml:space="preserve"> Overseeing the European Commission in the European Semester — https://doi.org/10.1017/9781108886611.005</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This chapter depicts the accountability relationship between the European Parliament and the European Commission in the framework of the European Semester. During the euro crisis, the introduction of the European Semester gave the Commission a stronger implementing role in the coordination of Member States’ economic, fiscal, and social policies. Subsequently, the Parliament gained the right to question the Commission on the Semester not only via letters but also in committee meetings known as ‘Economic Dialogues.’ During the period 2010-2019, Members of the European Parliament have shown diverse interests in the activities of the Commission in the European Semester – with few follow-up questions pushing on specific topics. Given the relationship between the two institutions in the EU political system, oversight focused on requests for the justification of decisions and demands to make concrete changes to policy priorities. For its part, the Commission engaged with most questions openly, albeit there was a clear tendency to defend its conduct and maintain previous courses of action – regardless of requests from the European Parliament.</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commission, across;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2020:</w:t>
      </w:r>
      <w:r>
        <w:t xml:space="preserve"> The European climate law: too much power for the Commission? — https://openalex.org/W3015455640</w:t>
      </w:r>
    </w:p>
    <w:p>
      <w:pPr/>
      <w:r>
        <w:rPr>
          <w:b/>
        </w:rPr>
        <w:t>Shared claim-specific concepts:</w:t>
      </w:r>
      <w:r>
        <w:t xml:space="preserve"> established, commission, assess, climate; EU scope visible. This is a provisional connection, not an outcome finding.</w:t>
      </w:r>
    </w:p>
    <w:p>
      <w:pPr>
        <w:pStyle w:val="SourceNote"/>
      </w:pPr>
      <w:r>
        <w:rPr>
          <w:b/>
        </w:rPr>
        <w:t>Available abstract (not full text):</w:t>
      </w:r>
      <w:r>
        <w:t xml:space="preserve"> On March 4 2020, the European Commission presented its proposal for a European Climate Law in which a framework for achieving the objective of climate neutrality by 2050 would be legally established. At a political level, this goal has already been endorsed by the European Parliament in its resolution of 14 March 2019 and by the European Council in its conclusions of 12 December 2019. The Commission had hardly tabled its proposal before it was bombarded with critique, including that the Climate Law would constitute a power grab by the Commission, in particular by giving it the power to decide on the appropriate 'trajectory' to 2050. In addition, the Commission intends to follow up on and assess the efforts of the Member States. The present contribution will address these two points in the light of EU primary law.</w:t>
      </w:r>
    </w:p>
    <w:p>
      <w:pPr/>
      <w:r>
        <w:rPr>
          <w:b/>
        </w:rPr>
        <w:t>POSSIBLE 2019:</w:t>
      </w:r>
      <w:r>
        <w:t xml:space="preserve"> Uses and perceptions of Machine Translation at the European Commission — https://doi.org/10.26034/cm.jostrans.2019.182</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Current research on translation technology seeks to integrate physical, cognitive and organisational ergonomics, and uses insights from the situated cognition paradigm to bring together social and technical perspectives on fast-evolving human-computer interactions. Even though these trends imply that a wider variety of professional contexts should be considered, studies of institutional translation are still scarce. This paper reports on a three-week research stay in the French language department of the European Commission (DGT-Fr2), aimed at understanding current uses and perceptions of machine translation (MT) and post-editing within Europe's biggest translation institution. Based on ethnographic data, we established a survey that we tested among French translators before translating it into English and submitting it to all DGT translators. Our quantitative data include 89 respondents from 15 language departments. We perform multiple linear regressions to assess technology acceptance, before focusing on the variance that the model leaves unexplained. Our findings show that perceptions of control, subjective norm and image, as well as insecurity (fear of MT) have an impact on professional MT acceptance.</w:t>
      </w:r>
    </w:p>
    <w:p>
      <w:pPr/>
      <w:r>
        <w:rPr>
          <w:b/>
        </w:rPr>
        <w:t>POSSIBLE 2016:</w:t>
      </w:r>
      <w:r>
        <w:t xml:space="preserve"> A STEP IN THE DEMOCRACY IN THE EUROPEAN UNION: ANEXAMINATION ON THE CHOICE OF COMMISSION PRESIDENCY — https://openalex.org/W4299311940</w:t>
      </w:r>
    </w:p>
    <w:p>
      <w:pPr/>
      <w:r>
        <w:rPr>
          <w:b/>
        </w:rPr>
        <w:t>Shared claim-specific concepts:</w:t>
      </w:r>
      <w:r>
        <w:t xml:space="preserve"> established, commission, energy, between; EU scope visible. This is a provisional connection, not an outcome finding.</w:t>
      </w:r>
    </w:p>
    <w:p>
      <w:pPr>
        <w:pStyle w:val="SourceNote"/>
      </w:pPr>
      <w:r>
        <w:rPr>
          <w:b/>
        </w:rPr>
        <w:t>Available abstract (not full text):</w:t>
      </w:r>
      <w:r>
        <w:t xml:space="preserve"> The European Commission, which was first established as a "High Authority" by the European Coal and Steel Community (ECSC), by the ECSC Treaty signed in Paris in 1951, has become the executive organ of the European Union today with its ever increasing powers. The status of the commission, which has a very important place in terms of its powers, stems from the model difference between the ECSC Treaty and the European Economic Community and the European Atomic Energy Community treaties. However, the most important point here is that the position of the presidency of the Commission, which is the leader of this is the driving force, has become a very important position. In this study, the change caused by the election of the commission president, elected in 2014 after the parliamentary elections, which was an assigned position previously, will be discussed. In this discussion, the change in methods of taking charge in the European Commission will be assessed in consideration of the Founding Treaties and other official documents/fundamental reports. Consequently, before and after the May 2014 Parliamentary Elections, this study attempts to shed a light on the present status of the election system for the European Commission Presidency, after the Lisbon Treaty</w:t>
      </w:r>
    </w:p>
    <w:p>
      <w:pPr>
        <w:pStyle w:val="Heading2"/>
      </w:pPr>
      <w:r>
        <w:t>867.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2017:</w:t>
      </w:r>
      <w:r>
        <w:t xml:space="preserve"> Summer drought predictability over Europe: empirical versus dynamical forecasts — https://doi.org/10.1088/1748-9326/aa7859</w:t>
      </w:r>
    </w:p>
    <w:p>
      <w:pPr/>
      <w:r>
        <w:rPr>
          <w:b/>
        </w:rPr>
        <w:t>Shared claim-specific concepts:</w:t>
      </w:r>
      <w:r>
        <w:t xml:space="preserve"> forecasts, important, system; EU scope visible. This is a provisional connection, not an outcome finding.</w:t>
      </w:r>
    </w:p>
    <w:p>
      <w:pPr>
        <w:pStyle w:val="SourceNote"/>
      </w:pPr>
      <w:r>
        <w:rPr>
          <w:b/>
        </w:rPr>
        <w:t>Available abstract (not full text):</w:t>
      </w:r>
      <w:r>
        <w:t xml:space="preserve"> Seasonal climate forecasts could be an important planning tool for farmers, government and insurance companies that can lead to better and timely management of seasonal climate risks. However, climate seasonal forecasts are often under-used, because potential users are not well aware of the capabilities and limitations of these products. This study aims at assessing the merits and caveats of a statistical empirical method, the ensemble streamflow prediction system (ESP, an ensemble based on reordering historical data) and an operational dynamical forecast system, the European Centre for Medium-Range Weather Forecasts—System 4 (S4) in predicting summer drought in Europe. Droughts are defined using the Standardized Precipitation Evapotranspiration Index for the month of August integrated over 6 months. Both systems show useful and mostly comparable deterministic skill. We argue that this source of predictability is mostly attributable to the observed initial conditions. S4 shows only higher skill in terms of ability to probabilistically identify drought occurrence. Thus, currently, both approaches provide useful information and ESP represents a computationally fast alternative to dynamical prediction applications for drought prediction.</w:t>
      </w:r>
    </w:p>
    <w:p>
      <w:pPr>
        <w:pStyle w:val="Heading2"/>
      </w:pPr>
      <w:r>
        <w:t>868.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2021:</w:t>
      </w:r>
      <w:r>
        <w:t xml:space="preserve"> New Strategic Foresight in EU — https://doi.org/10.15211/soveurope720215060</w:t>
      </w:r>
    </w:p>
    <w:p>
      <w:pPr/>
      <w:r>
        <w:rPr>
          <w:b/>
        </w:rPr>
        <w:t>Shared claim-specific concepts:</w:t>
      </w:r>
      <w:r>
        <w:t xml:space="preserve"> based, general, foresight, four; EU scope visible. This is a provisional connection, not an outcome finding.</w:t>
      </w:r>
    </w:p>
    <w:p>
      <w:pPr>
        <w:pStyle w:val="SourceNote"/>
      </w:pPr>
      <w:r>
        <w:rPr>
          <w:b/>
        </w:rPr>
        <w:t>Available abstract (not full text):</w:t>
      </w:r>
      <w:r>
        <w:t xml:space="preserve"> The article deals with the consideration of the concept and practice of the new strategic foresight being developed in the European Union. It summarizes the EU's experience in clarifying the conceptual framework, in the conceptual apparatus, methodology and expected practice of using strategic foresight for the development and implementation of policies to achieve the declared goals of long-term development. The main attention is paid to the analysis of four interrelated factors assessed by the European Commission as determining its target setting for sustainable development: socio-economic, geopolitical, green and digital, as well as issues of political decisions monitoring. Based on the results of the work, conclusions were made that are of fundamental importance for the formation of the prognostic component of domestic policy, with a focus on the general socio-economic and political conditions necessary to create a strategic forecasting system that is not yet available in Russia, adequate to the requirements of modern development.</w:t>
      </w:r>
    </w:p>
    <w:p>
      <w:pPr/>
      <w:r>
        <w:rPr>
          <w:b/>
        </w:rPr>
        <w:t>POSSIBLE 2019:</w:t>
      </w:r>
      <w:r>
        <w:t xml:space="preserve"> European electricity sector decarbonization under different levels of foresight — https://doi.org/10.1016/j.renene.2019.02.099</w:t>
      </w:r>
    </w:p>
    <w:p>
      <w:pPr/>
      <w:r>
        <w:rPr>
          <w:b/>
        </w:rPr>
        <w:t>Shared claim-specific concepts:</w:t>
      </w:r>
      <w:r>
        <w:t xml:space="preserve"> foresight, out, different; EU scope visible. This is a provisional connection, not an outcome finding.</w:t>
      </w:r>
    </w:p>
    <w:p>
      <w:pPr>
        <w:pStyle w:val="SourceNote"/>
      </w:pPr>
      <w:r>
        <w:rPr>
          <w:b/>
        </w:rPr>
        <w:t>Available abstract (not full text):</w:t>
      </w:r>
      <w:r>
        <w:t xml:space="preserve">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r>
        <w:rPr>
          <w:b/>
        </w:rPr>
        <w:t>POSSIBLE 2019:</w:t>
      </w:r>
      <w:r>
        <w:t xml:space="preserve"> Foresight workshop summary: The future of Europe depends on how it manages the risks of climate extremes : Foresight: December 2018 Workshop summary — https://openalex.org/W3082533459</w:t>
      </w:r>
    </w:p>
    <w:p>
      <w:pPr/>
      <w:r>
        <w:rPr>
          <w:b/>
        </w:rPr>
        <w:t>Shared claim-specific concepts:</w:t>
      </w:r>
      <w:r>
        <w:t xml:space="preserve"> based, foresight, out, working; EU scope visible. This is a provisional connection, not an outcome finding.</w:t>
      </w:r>
    </w:p>
    <w:p>
      <w:pPr>
        <w:pStyle w:val="SourceNote"/>
      </w:pPr>
      <w:r>
        <w:rPr>
          <w:b/>
        </w:rPr>
        <w:t>Available abstract (not full text):</w:t>
      </w:r>
      <w:r>
        <w:t xml:space="preserve"> This report is partly based on the The future of Europe and the future of climate action: reflections and scenarios for the EU27 by Jonathan Gaventa and Manon Dufour, E3G; Martin Nesbit and Kamila Paquel, IEEP and Radostina Primova, HBS EU and mostly on the PLACARD Foresight workshop: facing the future of Europe’s climate – EU governance and climate risks at a crossroads One of the working streams of PLACARD is to promote foresight. Foresight is a method to try out a set of forward-looking approaches that help decision-makers explore and anticipate what might happen. This allows decision-makers to prepare for a range of possible futures, and influence and shape those futures.</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different, horizon;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2018:</w:t>
      </w:r>
      <w:r>
        <w:t xml:space="preserve"> Accompanying technology development in the Human Brain Project: From foresight to ethics management — https://doi.org/10.1016/j.futures.2018.01.005</w:t>
      </w:r>
    </w:p>
    <w:p>
      <w:pPr/>
      <w:r>
        <w:rPr>
          <w:b/>
        </w:rPr>
        <w:t>Shared claim-specific concepts:</w:t>
      </w:r>
      <w:r>
        <w:t xml:space="preserve"> general, foresight, who; EU scope visible. This is a provisional connection, not an outcome finding.</w:t>
      </w:r>
    </w:p>
    <w:p>
      <w:pPr>
        <w:pStyle w:val="SourceNote"/>
      </w:pPr>
      <w:r>
        <w:rPr>
          <w:b/>
        </w:rPr>
        <w:t>Available abstract (not full text):</w:t>
      </w:r>
      <w:r>
        <w:t xml:space="preserve"> This paper addresses the question of managing the existential risk potential of general Artificial Intelligence (AI), as well as the more near-term yet hazardous and disruptive implications of specialised AI, from the perspective of a particular research project that could make a significant contribution to the development of Artificial Intelligence (AI): the Human Brain Project (HBP), a ten-year Future and Emerging Technologies Flagship of the European Commission. The HBP aims to create a digital research infrastructure for brain science, cognitive neuroscience, and brain-inspired computing. This paper builds on work undertaken in the HBP’s Ethics and Society subproject (SP12). Collaborators from two activities in SP12, Foresight and Researcher Awareness on the one hand, and Ethics Management on the other, use the case of machine intelligence to illustrate key aspects of the dynamic processes through which questions of ethics and society, including existential risks, are approached in the organisational context of the HBP. The overall aim of the paper is to provide practice-based evidence, enriched by self-reflexive assessment of the approach used and its limitations, for guiding policy makers and communities who are, and will be, engaging with such questions.</w:t>
      </w:r>
    </w:p>
    <w:p>
      <w:pPr/>
      <w:r>
        <w:rPr>
          <w:b/>
        </w:rPr>
        <w:t>POSSIBLE 2015:</w:t>
      </w:r>
      <w:r>
        <w:t xml:space="preserve"> Corporate foresight: An emerging field with a rich tradition — https://doi.org/10.1016/j.techfore.2015.11.002</w:t>
      </w:r>
    </w:p>
    <w:p>
      <w:pPr/>
      <w:r>
        <w:rPr>
          <w:b/>
        </w:rPr>
        <w:t>Shared claim-specific concepts:</w:t>
      </w:r>
      <w:r>
        <w:t xml:space="preserve"> based, general, foresight, four; EU scope not established. This is a provisional connection, not an outcome finding.</w:t>
      </w:r>
    </w:p>
    <w:p>
      <w:pPr>
        <w:pStyle w:val="SourceNote"/>
      </w:pPr>
      <w:r>
        <w:rPr>
          <w:b/>
        </w:rPr>
        <w:t>Available abstract (not full text):</w:t>
      </w:r>
      <w:r>
        <w:t xml:space="preserve"> The goal of this introductory article to the Special Issue on Corporate Foresight is to provide an overview of the state of the art, major challenges and to identify development trajectories. We define corporate foresight as a practice that permits an organization to lay the foundation for a future competitive advantage. Historically we distinguish and discuss four main phases: 1) birth of the field (1950s), 2) the age of scenarios (1960s–1970s), 3) professionalization (1980s–1990s), and 4) organizational integration (2000–). A systematic literature search revealed 102 articles on foresight, 29 of them on corporate foresight. Based on these articles and those in this Special Issue, we identify four main themes. Two more mature themes, namely ‘organizing corporate foresight’, and ‘individual and collective cognition’, and two emerging themes ‘corporate foresight in networked organizations’, and ‘quantifying value contributions’. In the conclusion we make a plea for establishing corporate foresight as a separate research stream that can adopt various theoretical foundations from a number of general management research traditions. To help the field move forward we identify three areas in which corporate foresight research can build on theoretical notions in general management, and can contribute to such on-going debates.</w:t>
      </w:r>
    </w:p>
    <w:p>
      <w:pPr>
        <w:pStyle w:val="Heading2"/>
      </w:pPr>
      <w:r>
        <w:t>869.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set, nitrogen, emissions, anthropogenic, all, two;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Reassessing changes in diurnal temperature range: Intercomparison and evaluation of existing global data set estimates — https://doi.org/10.1002/2015jd024584</w:t>
      </w:r>
    </w:p>
    <w:p>
      <w:pPr/>
      <w:r>
        <w:rPr>
          <w:b/>
        </w:rPr>
        <w:t>Shared claim-specific concepts:</w:t>
      </w:r>
      <w:r>
        <w:t xml:space="preserve"> set, all, two; EU scope visible. This is a provisional connection, not an outcome finding.</w:t>
      </w:r>
    </w:p>
    <w:p>
      <w:pPr>
        <w:pStyle w:val="SourceNote"/>
      </w:pPr>
      <w:r>
        <w:rPr>
          <w:b/>
        </w:rPr>
        <w:t>Available abstract (not full text):</w:t>
      </w:r>
      <w:r>
        <w:t xml:space="preserve"> Abstract Changes in diurnal temperature range (DTR) over global land areas are compared from a broad range of independent data sets. All data sets agree that global‐mean DTR has decreased significantly since 1950, with most of that decrease occurring over 1960–1980. The since‐1979 trends are not significant, with inter‐data set disagreement even over the sign of global changes. Inter‐data set spread becomes greater regionally and in particular at the grid box level. Despite this, there is general agreement that DTR decreased in North America, Europe, and Australia since 1951, with this decrease being partially reversed over Australia and Europe since the early 1980s. There is substantive disagreement between data sets prior to the middle of the twentieth century, particularly over Europe, which precludes making any meaningful conclusions about DTR changes prior to 1950, either globally or regionally. Several variants that undertake a broad range of approaches to postprocessing steps of gridding and interpolation were analyzed for two of the data sets. These choices have a substantial influence in data sparse regions or periods. The potential of further insights is therefore inextricably linked with the efficacy of data rescue and digitization for maximum and minimum temperature series prior to 1950 everywhere and in data sparse regions throughout the period of record. Over Nort</w:t>
      </w:r>
    </w:p>
    <w:p>
      <w:pPr/>
      <w:r>
        <w:rPr>
          <w:b/>
        </w:rPr>
        <w:t>POSSIBLE 2015:</w:t>
      </w:r>
      <w:r>
        <w:t xml:space="preserve"> Histopathological evaluation of thrombus in patients presenting with stent thrombosis. A multicenter European study: a report of the prevention of late stent thrombosis by an interdisciplinary global European effort consortium — https://doi.org/10.1093/eurheartj/ehv419</w:t>
      </w:r>
    </w:p>
    <w:p>
      <w:pPr/>
      <w:r>
        <w:rPr>
          <w:b/>
        </w:rPr>
        <w:t>Shared claim-specific concepts:</w:t>
      </w:r>
      <w:r>
        <w:t xml:space="preserve"> present, evaluate, all; EU scope visible. This is a provisional connection, not an outcome finding.</w:t>
      </w:r>
    </w:p>
    <w:p>
      <w:pPr>
        <w:pStyle w:val="SourceNote"/>
      </w:pPr>
      <w:r>
        <w:rPr>
          <w:b/>
        </w:rPr>
        <w:t>Available abstract (not full text):</w:t>
      </w:r>
      <w:r>
        <w:t xml:space="preserve"> BACKGROUND: Stent thrombosis (ST) is a rare but serious complication following percutaneous coronary intervention. Analysis of thrombus composition from patients undergoing catheter thrombectomy may provide important insights into the pathological processes leading to thrombus formation. We performed a large-scale multicentre study to evaluate thrombus specimens in patients with ST across Europe. METHODS: Patients presenting with ST and undergoing thrombus aspiration were eligible for inclusion. Thrombus collection was performed according to a standardized protocol and specimens were analysed histologically at a core laboratory. Serial tissue cross sections were stained with haematoxylin-eosin (H&amp;E), Carstairs and Luna. Immunohistochemistry was performed to identify leukocyte subsets, prothrombotic neutrophil extracellular traps (NETs), erythrocytes, platelets, and fibrinogen. RESULTS: Overall 253 thrombus specimens were analysed; 79 (31.2%) from patients presenting with early ST, 174 (68.8%) from late ST; 79 (31.2%) were from bare metal stents, 166 (65.6%) from drug-eluting stents, 8 (3.2%) were from stents of unknown type. Thrombus specimens displayed heterogeneous morphology with platelet-rich thrombus and fibrin/fibrinogen fragments most abundant; mean platelet coverage was 57% of thrombus area. Leukocyte infiltrations were hallmarks of both early and late ST (early: 2260 ±</w:t>
      </w:r>
    </w:p>
    <w:p>
      <w:pPr>
        <w:pStyle w:val="Heading2"/>
      </w:pPr>
      <w:r>
        <w:t>870.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2023:</w:t>
      </w:r>
      <w:r>
        <w:t xml:space="preserve"> Renewable energy deployment in Europe: Do politics matter? — https://doi.org/10.1007/s10668-023-03839-0</w:t>
      </w:r>
    </w:p>
    <w:p>
      <w:pPr/>
      <w:r>
        <w:rPr>
          <w:b/>
        </w:rPr>
        <w:t>Shared claim-specific concepts:</w:t>
      </w:r>
      <w:r>
        <w:t xml:space="preserve"> deployment, renewable, energy, analyzes; EU scope visible. This is a provisional connection, not an outcome finding.</w:t>
      </w:r>
    </w:p>
    <w:p>
      <w:pPr>
        <w:pStyle w:val="SourceNote"/>
      </w:pPr>
      <w:r>
        <w:rPr>
          <w:b/>
        </w:rPr>
        <w:t>Available abstract (not full text):</w:t>
      </w:r>
      <w:r>
        <w:t xml:space="preserve"> Abstract This study analyzes non-hydroelectric renewable capacity across 27 European countries from 2000 to 2020, using advanced econometric techniques like the Dumitrescu and Hurlin panel Granger non-causality method, Panel Autoregressive Distributed Lag and Panel Quantile Autoregressive Distributed Lag estimations. This investigation reveals complex relationships extending beyond immediate variables. These relationships, rooted in pairwise causalities and broader interactions, underpin observed phenomena. Causality tests show that achieving non-hydroelectric renewable capacity is a long-term endeavor, emphasizing persistent policy approaches for effective energy transition. Three key variables emerge as potent policy drivers: maintaining an environment conducive to economic freedom, fostering financial development, and driving non-hydroelectric renewable patents’ research and development. These variables play a pivotal role in capacity expansion. Additionally, the findings of this empirical investigation spotlight the role of political orientations. Leftist governments have lagged in prioritizing energy transition, prompting questions about neglecting environmental concerns and necessitating comprehensive policy reform. In essence, this study offers novel insights into non-hydroelectric renewable energy deployment. By unraveling complex relationships, emphasizing persistent p</w:t>
      </w:r>
    </w:p>
    <w:p>
      <w:pPr/>
      <w:r>
        <w:rPr>
          <w:b/>
        </w:rPr>
        <w:t>POSSIBLE 2023:</w:t>
      </w:r>
      <w:r>
        <w:t xml:space="preserve"> Comparison of the European Regulatory Framework for the deployment of Offshore Renewable Energy Project — https://doi.org/10.36688/ewtec-2023-335</w:t>
      </w:r>
    </w:p>
    <w:p>
      <w:pPr/>
      <w:r>
        <w:rPr>
          <w:b/>
        </w:rPr>
        <w:t>Shared claim-specific concepts:</w:t>
      </w:r>
      <w:r>
        <w:t xml:space="preserve"> deployment, renewable, energy, both, regions, generation; EU scope visible. This is a provisional connection, not an outcome finding.</w:t>
      </w:r>
    </w:p>
    <w:p>
      <w:pPr>
        <w:pStyle w:val="SourceNote"/>
      </w:pPr>
      <w:r>
        <w:rPr>
          <w:b/>
        </w:rPr>
        <w:t>Available abstract (not full text):</w:t>
      </w:r>
      <w:r>
        <w:t xml:space="preserve"> The REPower EU Plan has set a minimum of total renewable energy generation capacity of 1,236 GW by 2030. Achieving this target, and emission reductions by 2050, will require the extensive deployment of offshore energy facilities, especially offshore wind (OW) and wave energy converters (WECs). However, an incomplete and sometimes unfavourable regulatory framework still jeopardises the feasibility of both prototypes and large-scale installations. There are, for example, significant differences between the permitting procedures in different Member States and regions. Moreover, following the transposition of the Directive 2014/89/EU “establishing a framework for maritime spatial planning”, important differences pertain to the way environmental and heritage protection is dealt with. An overview of the offshore permitting schemes for offshore wind in ten European counties (Germany, Denmark, Scotland, Sweden, France, Spain, Portugal, Italy, Belgium, and Ireland) is provided, demonstrating a mismatch between the current members’ complex regulations and the future offshore wind targets. Using customised key performance indicators, we describe and assess the extent to which the regulatory frameworks are conducive to installing industrial devices in achieving the country’s 2030 target. Finally, we propose actions to facilitate the installation of OW while ensuring both environmental prot</w:t>
      </w:r>
    </w:p>
    <w:p>
      <w:pPr/>
      <w:r>
        <w:rPr>
          <w:b/>
        </w:rPr>
        <w:t>POSSIBLE 2023:</w:t>
      </w:r>
      <w:r>
        <w:t xml:space="preserve"> Towards a Decarbonized Energy System in Europe in 2050 : Impact of Vector Coupling and Renewable Deployment Limits — https://doi.org/10.70675/ae9a3f99z8ff2z4fdeza6cbz3825ee3e91f8</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Vers un système énergétique décarboné en Europe en 2050 : impact des couplages vectoriels et des limites au déploiement des renouvelables Pour lutter contre le changement climatique, l'Europe s'est engagée à ce que son système énergétique soit décarboné d'ici 2050.Le système électrique présente un important potentiel de décarbonation. Il peut ainsi contribuer à la décarbonation d'autres vecteurs (hydrogène par exemple), qui auront donc tendance à s'électrifier davantage. Cette thèse s'est donc concentrée d’une part sur la décarbonation du système électrique, et d’autre part sur l'interaction entre les différents vecteurs énergétiques. La décarbonation du vecteur électrique reposera sur l'utilisation des énergies renouvelables. Or, les études qui évaluent leur potentiel obtiennent des valeurs très différentes. Dans le premier chapitre, à travers une revue systématique de la littérature des études de potentiel éolien et photovoltaïque en Europe, la variabilité de ces valeurs a été examinée. Ce chapitre montre que les limites surfaciques des potentiels ne sont pas restrictives, et la variabilité des valeurs est due à l'ajout de critères socio-politiques dans les calculs de potentiel. In fine, la limite au développement des énergies renouvelables ne sera pas la faisabilité technique mais la volonté politique et sociétale et les contraintes du secteur industriel, y compris la dispon</w:t>
      </w:r>
    </w:p>
    <w:p>
      <w:pPr/>
      <w:r>
        <w:rPr>
          <w:b/>
        </w:rPr>
        <w:t>POSSIBLE 2022:</w:t>
      </w:r>
      <w:r>
        <w:t xml:space="preserve"> Do energy and environmental taxes stimulate or inhibit renewable energy deployment in the European Union? — https://doi.org/10.1016/j.renene.2022.11.107</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deployment, renewable, energy, both, electricity, high;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2021:</w:t>
      </w:r>
      <w:r>
        <w:t xml:space="preserve"> Climate proofing the renewable electricity deployment in Europe - Introducing climate variability in large energy systems models — https://doi.org/10.1016/j.esr.2021.100657</w:t>
      </w:r>
    </w:p>
    <w:p>
      <w:pPr/>
      <w:r>
        <w:rPr>
          <w:b/>
        </w:rPr>
        <w:t>Shared claim-specific concepts:</w:t>
      </w:r>
      <w:r>
        <w:t xml:space="preserve"> deployment, renewable, energy, large, electricity, generation; EU scope visible. This is a provisional connection, not an outcome finding.</w:t>
      </w:r>
    </w:p>
    <w:p>
      <w:pPr>
        <w:pStyle w:val="SourceNote"/>
      </w:pPr>
      <w:r>
        <w:rPr>
          <w:b/>
        </w:rPr>
        <w:t>Available abstract (not full text):</w:t>
      </w:r>
      <w:r>
        <w:t xml:space="preserve"> Climate and weather conditions influence energy demand. as well as electricity generation, especially due to the strong development of renewable energy. The changes of the European energy mix, together with ongoing climate change, raise a number of questions on impact on the electricity sector. In this paper we present results for the whole of the European power sector regarding on how considering current and future climate variability affects the results of a TIMES energy system model for the whole European power sector (eTIMES-EU) up to 2050. For each member-state we consider six climate projections to generate future capacity factors for wind, solar and hydro power generation. as well as temperature impact on electricity demand for heating and cooling. These are input into the eTIMES-EU model to assess how climate affects the optimal operation of the power system and if current EU-wide RES and emissions target deployment may be affected. Results show that although at EU-wide level there are no substantial changes, there are significant differences in countries RES deployment (especially wind and solar) and in electricity trade.</w:t>
      </w:r>
    </w:p>
    <w:p>
      <w:pPr>
        <w:pStyle w:val="Heading2"/>
      </w:pPr>
      <w:r>
        <w:t>871.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r>
        <w:rPr>
          <w:b/>
        </w:rPr>
        <w:t>POSSIBLE 2019:</w:t>
      </w:r>
      <w:r>
        <w:t xml:space="preserve"> An experimental sensitivity comparison of the schlieren and background-oriented schlieren techniques applied to hypersonic flow — https://doi.org/10.1088/1361-6501/ab1582</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An experimental study was performed to evaluate the spatial resolution, sensitivity and dynamic range of schlieren and background-oriented schlieren (BOS) applied to hypersonic flows with multiple density gradients. For a single Mach number, shock profile extracts for three values of freestream density are compared. Three processing metrics are proposed for BOS to optimise the sharpness of captured shocks and minimise processing blur are presented. The BOS results have a lower spatial resolution and sharpness than the schlieren images, but captured the model flow field features that were resolved by schlieren. A higher dynamic range was afforded for BOS due to the user-determined synthetic knife edge cut-off.</w:t>
      </w:r>
    </w:p>
    <w:p>
      <w:pPr/>
      <w:r>
        <w:rPr>
          <w:b/>
        </w:rPr>
        <w:t>POSSIBLE 2017:</w:t>
      </w:r>
      <w:r>
        <w:t xml:space="preserve"> Sensitivity or Bayesian model updating: a comparison of techniques using the DLR AIRMOD test data — https://doi.org/10.1007/s00419-017-1233-1</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Deterministic model updating is now a mature technology widely applied to large-scale industrial structures. It is concerned with the calibration of the parameters of a single model based on one set of test data. It is, of course, well known that different analysts produce different finite element models, make different physics-based assumptions, and parameterize their models differently. Also, tests carried out on the same structure, by different operatives, at different times, under different ambient conditions produce different results. There is no unique model and no unique data. Therefore, model updating needs to take account of modeling and test-data variability. Much emphasis is now placed on what has become known as stochastic model updating where data are available from multiple nominally identical test structures. In this paper two currently prominent stochastic model updating techniques (sensitivity-based updating and Bayesian model updating) are described and applied to the DLR AIRMOD structure.</w:t>
      </w:r>
    </w:p>
    <w:p>
      <w:pPr/>
      <w:r>
        <w:rPr>
          <w:b/>
        </w:rPr>
        <w:t>POSSIBLE 2015:</w:t>
      </w:r>
      <w:r>
        <w:t xml:space="preserve"> Assessment of ground-based monitoring techniques applied to landslide investigations — https://doi.org/10.1016/j.geomorph.2015.10.027</w:t>
      </w:r>
    </w:p>
    <w:p>
      <w:pPr/>
      <w:r>
        <w:rPr>
          <w:b/>
        </w:rPr>
        <w:t>Shared claim-specific concepts:</w:t>
      </w:r>
      <w:r>
        <w:t xml:space="preserve"> sensitivity, applied, techniques, shows, further; EU scope not established. This is a provisional connection, not an outcome finding.</w:t>
      </w:r>
    </w:p>
    <w:p>
      <w:pPr>
        <w:pStyle w:val="SourceNote"/>
      </w:pPr>
      <w:r>
        <w:rPr>
          <w:b/>
        </w:rPr>
        <w:t>Available abstract (not full text):</w:t>
      </w:r>
      <w:r>
        <w:t xml:space="preserve"> A landslide complex in the Whitby Mudstone Formation at Hollin Hill, North Yorkshire, UK is periodically re-activated in response to rainfall-induced pore-water pressure fluctuations. This paper compares long-term measurements (i.e., 2009–2014) obtained from a combination of monitoring techniques that have been employed together for the first time on an active landslide. The results highlight the relative performance of the different techniques, and can provide guidance for researchers and practitioners for selecting and installing appropriate monitoring techniques to assess unstable slopes. Particular attention is given to the spatial and temporal resolutions offered by the different approaches that include: Real Time Kinematic-GPS (RTK-GPS) monitoring of a ground surface marker array, conventional inclinometers, Shape Acceleration Arrays (SAA), tilt meters, active waveguides with Acoustic Emission (AE) monitoring, and piezometers. High spatial resolution information has allowed locating areas of stability and instability across a large slope. This has enabled identification of areas where further monitoring efforts should be focused. High temporal resolution information allowed the capture of ‘S’-shaped slope displacement-time behaviour (i.e. phases of slope acceleration, deceleration and stability) in response to elevations in pore-water pressures. This study shows that a we</w:t>
      </w:r>
    </w:p>
    <w:p>
      <w:pPr>
        <w:pStyle w:val="Heading2"/>
      </w:pPr>
      <w:r>
        <w:t>872.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r>
        <w:rPr>
          <w:b/>
        </w:rPr>
        <w:t>POSSIBLE 2019:</w:t>
      </w:r>
      <w:r>
        <w:t xml:space="preserve"> Including indigenous knowledge in species distribution modeling for increased ecological insights — https://doi.org/10.1111/cobi.13373</w:t>
      </w:r>
    </w:p>
    <w:p>
      <w:pPr/>
      <w:r>
        <w:rPr>
          <w:b/>
        </w:rPr>
        <w:t>Shared claim-specific concepts:</w:t>
      </w:r>
      <w:r>
        <w:t xml:space="preserve"> indigenous, systems; EU scope not established. This is a provisional connection, not an outcome finding.</w:t>
      </w:r>
    </w:p>
    <w:p>
      <w:pPr>
        <w:pStyle w:val="SourceNote"/>
      </w:pPr>
      <w:r>
        <w:rPr>
          <w:b/>
        </w:rPr>
        <w:t>Available abstract (not full text):</w:t>
      </w:r>
      <w:r>
        <w:t xml:space="preserve"> Indigenous knowledge systems hold detailed information on current and past environments that can inform ecological understanding as well as contemporary environmental management. Despite its applicability, there are limited examples of indigenous knowledge being incorporated in species distribution models, which are widely used in the ecological sciences. In a collaborative manner, we designed a structured elicitation process and statistical framework to combine indigenous knowledge with survey data to model the distribution of a threatened and culturally significant species (greater bilby or mankarr [Macrotis lagotis]). We used Martu (Aboriginal people of the Australian western deserts) occurrence knowledge and presence data from track-based surveys to create predictive species distribution models with the Maxent program. Predictions of species distribution based on Martu knowledge were broader than those created with survey data. Together the Martu and survey models showed potential local declines, which were supported by Martu observation. Both data types were influenced by sampling bias that appeared to affect model predictions and performance. Martu provided additional information on habitat associations and locations of decline and descriptions of the ecosystem dynamics and disturbance regimes that influence occupancy. We concluded that intercultural approaches that draw </w:t>
      </w:r>
    </w:p>
    <w:p>
      <w:pPr/>
      <w:r>
        <w:rPr>
          <w:b/>
        </w:rPr>
        <w:t>POSSIBLE 2017:</w:t>
      </w:r>
      <w:r>
        <w:t xml:space="preserve"> Indigenous Business Model &amp; Strategy Canvas — https://openalex.org/W2891907923</w:t>
      </w:r>
    </w:p>
    <w:p>
      <w:pPr/>
      <w:r>
        <w:rPr>
          <w:b/>
        </w:rPr>
        <w:t>Shared claim-specific concepts:</w:t>
      </w:r>
      <w:r>
        <w:t xml:space="preserve"> shows, indigenous, primary; EU scope not established. This is a provisional connection, not an outcome finding.</w:t>
      </w:r>
    </w:p>
    <w:p>
      <w:pPr>
        <w:pStyle w:val="SourceNote"/>
      </w:pPr>
      <w:r>
        <w:rPr>
          <w:b/>
        </w:rPr>
        <w:t>Available abstract (not full text):</w:t>
      </w:r>
      <w:r>
        <w:t xml:space="preserve"> The Indigenous Business Model &amp; Strategy Canvas represents the entirety of the Work Shop investigation into the practical model strategy for indigenous small scaootish business. It has been co co-created with half a dozen primary participants, with input from several dozen visiting businesses. </w:t>
        <w:br/>
        <w:br/>
        <w:br/>
        <w:br/>
        <w:t>It shows the flow of all element needed to create a sustainable business, with reference to the corresponding tools.</w:t>
      </w:r>
    </w:p>
    <w:p>
      <w:pPr/>
      <w:r>
        <w:rPr>
          <w:b/>
        </w:rPr>
        <w:t>POSSIBLE 2017:</w:t>
      </w:r>
      <w:r>
        <w:t xml:space="preserve"> Validation and recalibration of the Framingham cardiovascular disease risk models in an Australian Indigenous cohort — https://doi.org/10.1177/2047487317722913</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of 18.48). Conclusions The original Framingham models significantly underestimate the absolute cardiovascular disease risk for this Australian Indigenous population. The recalibrated 2008 Framingham model shows good performance on predicting five-year cardiovascular disease risk in this population and was used to calculate the first risk chart based on empirical validation using long-term follow-up data from a remote Australian Indigenous population.</w:t>
      </w:r>
    </w:p>
    <w:p>
      <w:pPr/>
      <w:r>
        <w:rPr>
          <w:b/>
        </w:rPr>
        <w:t>POSSIBLE 2017:</w:t>
      </w:r>
      <w:r>
        <w:t xml:space="preserve"> Indigenous leadership in universities: One Indigenous perspective — https://doi.org/10.3316/informit.149715942686089</w:t>
      </w:r>
    </w:p>
    <w:p>
      <w:pPr/>
      <w:r>
        <w:rPr>
          <w:b/>
        </w:rPr>
        <w:t>Shared claim-specific concepts:</w:t>
      </w:r>
      <w:r>
        <w:t xml:space="preserve"> shows, indigenous, provide; EU scope not established. This is a provisional connection, not an outcome finding.</w:t>
      </w:r>
    </w:p>
    <w:p>
      <w:pPr>
        <w:pStyle w:val="SourceNote"/>
      </w:pPr>
      <w:r>
        <w:rPr>
          <w:b/>
        </w:rPr>
        <w:t>Available abstract (not full text):</w:t>
      </w:r>
      <w:r>
        <w:t xml:space="preserve"> This paper will provide an Indigenous male perspective on Indigenous leadership in universities.The paper will not refer to western leadership models and theories as its purpose is to crystallise the notion of Indigenous leadership for Indigenous people in leadership positions and those aspiring to be in these positions.The term 'Indigenous leadership' is used so often today that many Indigenous people lack confidence in the term and do not know what it means.This is why a paper on Indigenous leadership from an Indigenous perspective is needed.This paper shows that the term is nothing to be intimidated by and shows that Indigenous people with a strong Indigenous identity, vision and focus are able to provide strong Indigenous leadership in universities.However, they must take more responsibility for being familiar with Indigenous issues and to develop strategies to address these issues rather than leave other staff to address these issues.The paper contends that those in Indigenous leadership positions in universities should remain focused on core university business with a hands-on approach.</w:t>
      </w:r>
    </w:p>
    <w:p>
      <w:pPr/>
      <w:r>
        <w:rPr>
          <w:b/>
        </w:rPr>
        <w:t>POSSIBLE 2016:</w:t>
      </w:r>
      <w:r>
        <w:t xml:space="preserve"> Indigenous environmental values as human values — https://doi.org/10.1080/23311886.2016.1185811</w:t>
      </w:r>
    </w:p>
    <w:p>
      <w:pPr/>
      <w:r>
        <w:rPr>
          <w:b/>
        </w:rPr>
        <w:t>Shared claim-specific concepts:</w:t>
      </w:r>
      <w:r>
        <w:t xml:space="preserve"> indigenous, show, provide, resource; EU scope not established. This is a provisional connection, not an outcome finding.</w:t>
      </w:r>
    </w:p>
    <w:p>
      <w:pPr>
        <w:pStyle w:val="SourceNote"/>
      </w:pPr>
      <w:r>
        <w:rPr>
          <w:b/>
        </w:rPr>
        <w:t>Available abstract (not full text):</w:t>
      </w:r>
      <w:r>
        <w:t xml:space="preserve"> The claim that in natural resource management (NRM) a change from anthropocentric values and ethics to eco-centric ones is necessary to achieve sustainability leads to the search for eco-centric models of relationship with the environment. Indigenous cultures can provide such models; hence, there is the need for multicultural societies to further include their values in NRM. In this article, we investigate the environmental values placed on a freshwater environment of the Wet Tropics by a community of indigenous Australians. We discuss their environmental values as human values, and so as beliefs that guide communities’ understanding of how the natural world should be viewed and treated by humans. This perspective represents a step forward in our understanding of indigenous environmental values, and a way to overcome the paradigm of indigenous values as valued biophysical attributes of the environment or processes happening in landscapes. Our results show that the participant community holds biospheric values. Restoring these values in the NRM of the Wet Tropics could contribute to sustainability and environmental justice in the area.</w:t>
      </w:r>
    </w:p>
    <w:p>
      <w:pPr>
        <w:pStyle w:val="Heading2"/>
      </w:pPr>
      <w:r>
        <w:t>873.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r>
        <w:rPr>
          <w:b/>
        </w:rPr>
        <w:t>POSSIBLE 2021:</w:t>
      </w:r>
      <w:r>
        <w:t xml:space="preserve"> Role of Knowledge Creation and Absorptive Capacity: A Panel Data Study of Innovation — https://doi.org/10.33215/sjom.v4i2.579</w:t>
      </w:r>
    </w:p>
    <w:p>
      <w:pPr/>
      <w:r>
        <w:rPr>
          <w:b/>
        </w:rPr>
        <w:t>Shared claim-specific concepts:</w:t>
      </w:r>
      <w:r>
        <w:t xml:space="preserve"> creation, panel, innovation; EU scope not established. This is a provisional connection, not an outcome finding.</w:t>
      </w:r>
    </w:p>
    <w:p>
      <w:pPr>
        <w:pStyle w:val="SourceNote"/>
      </w:pPr>
      <w:r>
        <w:rPr>
          <w:b/>
        </w:rPr>
        <w:t>Available abstract (not full text):</w:t>
      </w:r>
      <w:r>
        <w:t xml:space="preserve"> Purpose- Knowledge creation refers to the ability of firms to create new knowledge that starts from individuals to integrating the firms and then the overall economy. This study suggests that knowledge acquisition in a country has a significant relationship with innovative performance. Design/Methodology- Data from 48 highly HDI countries is taken from World Bank and World Economic Forum. Based on 480 country-year observations in a panel mediator model, it is revealed that the national efforts of boosting knowledge acquisition influence the firms’ innovative performance. Findings- Further, it is found that absorptive capacity in the employability of knowledgeable workers works as a mediator between knowledge acquisition and innovation. Whereby higher knowledge acquisition leads to higher absorptive capacity and higher innovation. Practical Implications- This study builds a quantitative model for the macroeconomic context of knowledge-based view.</w:t>
      </w:r>
    </w:p>
    <w:p>
      <w:pPr/>
      <w:r>
        <w:rPr>
          <w:b/>
        </w:rPr>
        <w:t>POSSIBLE 2019:</w:t>
      </w:r>
      <w:r>
        <w:t xml:space="preserve"> European Research Council: excellence and leadership over time from a gender perspective — https://doi.org/10.1093/reseval/rvz023</w:t>
      </w:r>
    </w:p>
    <w:p>
      <w:pPr/>
      <w:r>
        <w:rPr>
          <w:b/>
        </w:rPr>
        <w:t>Shared claim-specific concepts:</w:t>
      </w:r>
      <w:r>
        <w:t xml:space="preserve"> creation, scientific, panel, important, major; EU scope visible. This is a provisional connection, not an outcome finding.</w:t>
      </w:r>
    </w:p>
    <w:p>
      <w:pPr>
        <w:pStyle w:val="SourceNote"/>
      </w:pPr>
      <w:r>
        <w:rPr>
          <w:b/>
        </w:rPr>
        <w:t>Available abstract (not full text):</w:t>
      </w:r>
      <w:r>
        <w:t xml:space="preserve"> Abstract European Research Council Grants (ERC) have become the most important vehicle for funding scientific research in the EU. Since their creation in 2007, they have provided funding for around 7,000 of the nearly 70,000 proposals for research projects submitted. With a success rate of about 11%, these Grants are highly competitive. Despite major advancement of women’s participation in research activity, women overall remain the minority in Science, Technology, Engineering and Mathematics (STEM disciplines). Against that backdrop, this article analyses men’s and women’s presence in ERC Grants. The gender balance in the ERC Grant, have been examined in three dimensions: Excellence Awarded; Scientific Leadership Position; and Time Series Evolution. The results show that female presence is lower than men as submitted (26% vs 74%), granted (22% vs 78%), expert panel members (28% vs 72%), and as a panel chair (26% vs 74%). State-space prediction of the future pattern of these grants shows that time has no clearly beneficial effect on women’s participation as applicants, granted, expert panel members or panel chairs, particularly in the area of Physics and Engineering.</w:t>
      </w:r>
    </w:p>
    <w:p>
      <w:pPr/>
      <w:r>
        <w:rPr>
          <w:b/>
        </w:rPr>
        <w:t>POSSIBLE 2018:</w:t>
      </w:r>
      <w:r>
        <w:t xml:space="preserve"> Technology and employment: Mass unemployment or job creation? Empirical evidence from European patenting firms — https://doi.org/10.1016/j.respol.2018.06.008</w:t>
      </w:r>
    </w:p>
    <w:p>
      <w:pPr/>
      <w:r>
        <w:rPr>
          <w:b/>
        </w:rPr>
        <w:t>Shared claim-specific concepts:</w:t>
      </w:r>
      <w:r>
        <w:t xml:space="preserve"> creation, panel, innovation; EU scope visible. This is a provisional connection, not an outcome finding.</w:t>
      </w:r>
    </w:p>
    <w:p>
      <w:pPr>
        <w:pStyle w:val="SourceNote"/>
      </w:pPr>
      <w:r>
        <w:rPr>
          <w:b/>
        </w:rPr>
        <w:t>Available abstract (not full text):</w:t>
      </w:r>
      <w:r>
        <w:t xml:space="preserve"> This paper explores the possible job creation effect of innovation activity. We analyze a unique panel dataset covering almost 20,000 patenting firms from Europe over the period 2003–2012. The main outcome from the proposed GMM-SYS estimations is the labor-friendly nature of innovation, which we measure in terms of forward-citation weighted patents. However, this positive impact of innovation is statistically significant only for firms in the high-tech manufacturing sectors, while not significant in low-tech manufacturing and services.</w:t>
      </w:r>
    </w:p>
    <w:p>
      <w:pPr>
        <w:pStyle w:val="Heading2"/>
      </w:pPr>
      <w:r>
        <w:t>874.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r>
        <w:rPr>
          <w:b/>
        </w:rPr>
        <w:t>POSSIBLE 2020:</w:t>
      </w:r>
      <w:r>
        <w:t xml:space="preserve"> Effects of Renewable Energy on European Union’s Energy Import — https://openalex.org/W3127099198</w:t>
      </w:r>
    </w:p>
    <w:p>
      <w:pPr/>
      <w:r>
        <w:rPr>
          <w:b/>
        </w:rPr>
        <w:t>Shared claim-specific concepts:</w:t>
      </w:r>
      <w:r>
        <w:t xml:space="preserve"> finally, increase, energy, also, continue; EU scope visible. This is a provisional connection, not an outcome finding.</w:t>
      </w:r>
    </w:p>
    <w:p>
      <w:pPr>
        <w:pStyle w:val="SourceNote"/>
      </w:pPr>
      <w:r>
        <w:rPr>
          <w:b/>
        </w:rPr>
        <w:t>Available abstract (not full text):</w:t>
      </w:r>
      <w:r>
        <w:t xml:space="preserve"> Energy is used in all fields of the modern world and its usage has vital importance in all of our lives. Even a short interruption in energy supply will cause serious consequences in the supply chain since almost all sectors are energy-dependent. Therefore, all countries have started to take measures to ensure energy security and uninterrupted energy supply. The European Union countries have also taken various measures for this purpose and they continue to do so. One of these measures is that the European Union is trying to reduce energy dependency by reducing energy imports. This is possible by the EU investing in renewable energy and increasing the share of renewable energy in total energy produced. Therefore, In order to decrease the energy imports, the EU countries have started to increase their renewable energy production. The main goal of this study is to see if there is a relationship between renewable energy production of the European Union and the energy import of the European Union and if so, to find the degree of this relationship. In the first part, I gave information about what renewable energy is and the detailed definitions of main renewable energy resources. In the second part, I tried to show the current situation in the European Union regarding renewable energy. I gave information about the main renewable energy sources and energy shares of the European Union </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also, continue, any;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Energy Policy and European Union Politics — https://doi.org/10.1093/acrefore/9780190228637.013.1079</w:t>
      </w:r>
    </w:p>
    <w:p>
      <w:pPr/>
      <w:r>
        <w:rPr>
          <w:b/>
        </w:rPr>
        <w:t>Shared claim-specific concepts:</w:t>
      </w:r>
      <w:r>
        <w:t xml:space="preserve"> finally, increase, energy, also, but, commission;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IMPACT OF RENEWABLE ENERGY CONSUMPTION ON ECONOMIC GROWTH: EVIDENCE FROM EUROPEAN UNION COUNTRIES — https://doi.org/10.3846/tede.2018.1426</w:t>
      </w:r>
    </w:p>
    <w:p>
      <w:pPr/>
      <w:r>
        <w:rPr>
          <w:b/>
        </w:rPr>
        <w:t>Shared claim-specific concepts:</w:t>
      </w:r>
      <w:r>
        <w:t xml:space="preserve"> finally, energy, but; EU scope visible. This is a provisional connection, not an outcome finding.</w:t>
      </w:r>
    </w:p>
    <w:p>
      <w:pPr>
        <w:pStyle w:val="SourceNote"/>
      </w:pPr>
      <w:r>
        <w:rPr>
          <w:b/>
        </w:rPr>
        <w:t>Available abstract (not full text):</w:t>
      </w:r>
      <w:r>
        <w:t xml:space="preserve"> This study examines the causal relationship between economic growth and renewable energy consumption using data for 28 countries of European Union, taken from Eurostat database for years from 1995 to 2015. In addition, motivated by EU Directive 2009/28/EC, the tendency of the share of renewable energy consumption into the final energy consumption is analysed. Various panel data techniques implemented in EViews are used. The empirical results suggest a positive impact of renewable energy consumption on economic growth, and emphasize bidirectional or unidirectional Granger causalities between the two macroeconomic indicators, for each country in the panel. These results justify the political decisions of EU concerning the necessity of increasing the renewable energy consumption, and prove that this type of energy consumption has a strong positive impact on economic growth. Thus, the inclusion of such policies in future EU and national strategies is further motivated. Finally, by means of linear regression, an increasing trend was found for the ratio between renewable energy consumption and final energy consumption for all but one of the EU countries.</w:t>
      </w:r>
    </w:p>
    <w:p>
      <w:pPr/>
      <w:r>
        <w:rPr>
          <w:b/>
        </w:rPr>
        <w:t>POSSIBLE 2017:</w:t>
      </w:r>
      <w:r>
        <w:t xml:space="preserve"> Municipal solid waste management and waste-to-energy in the context of a circular economy and energy recycling in Europe — https://doi.org/10.1016/j.energy.2017.11.128</w:t>
      </w:r>
    </w:p>
    <w:p>
      <w:pPr/>
      <w:r>
        <w:rPr>
          <w:b/>
        </w:rPr>
        <w:t>Shared claim-specific concepts:</w:t>
      </w:r>
      <w:r>
        <w:t xml:space="preserve"> increase, energy, any, very; EU scope visible. This is a provisional connection, not an outcome finding.</w:t>
      </w:r>
    </w:p>
    <w:p>
      <w:pPr>
        <w:pStyle w:val="SourceNote"/>
      </w:pPr>
      <w:r>
        <w:rPr>
          <w:b/>
        </w:rPr>
        <w:t>Available abstract (not full text):</w:t>
      </w:r>
      <w:r>
        <w:t xml:space="preserve"> This paper proposes an overarching review of national municipal waste management systems and waste-to-energy as an important part of it in the context of circular economy in the selected countries in Europe. The growth of population and rising standards of living means that the consumption of goods and energy is increasing. On the one hand, consumption leads to an increase in the generation of waste. On the other hand, the correlation between increased wealth and increased energy consumption is very strong as well. Given that the average heating value of municipal solid waste (MSW) is approximately 10 MJ/kg, it seems logical to use waste as a source of energy. Traditionally, waste-to-energy (WtE) has been associated with incineration. Yet, the term is much broader, embracing various waste treatment processes generating energy (for instance, in the form of electricity and/or heat or producing a waste-derived fuel). Turning waste into energy can be one key to a circular economy enabling the value of products, materials, and resources to be maintained on the market for as long as possible, minimising waste and resource use. As the circular economy is at the top of the EU agenda, all Member States of the EU (including the EEA countries) should move away from the old-fashioned disposal of waste to a more intelligent waste treatment encompassing the circular economy approach in their</w:t>
      </w:r>
    </w:p>
    <w:p>
      <w:pPr/>
      <w:r>
        <w:rPr>
          <w:b/>
        </w:rPr>
        <w:t>POSSIBLE 2015:</w:t>
      </w:r>
      <w:r>
        <w:t xml:space="preserve"> The dynamic volatility spillover between European carbon trading market and fossil energy market — https://doi.org/10.1016/j.jclepro.2015.09.118</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pStyle w:val="Heading2"/>
      </w:pPr>
      <w:r>
        <w:t>875.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2019:</w:t>
      </w:r>
      <w:r>
        <w:t xml:space="preserve"> Plantation forests in Europe: challenges and opportunities — https://doi.org/10.36333/fs09</w:t>
      </w:r>
    </w:p>
    <w:p>
      <w:pPr/>
      <w:r>
        <w:rPr>
          <w:b/>
        </w:rPr>
        <w:t>Shared claim-specific concepts:</w:t>
      </w:r>
      <w:r>
        <w:t xml:space="preserve"> create, four, different, develop, innovative, strategies;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2018:</w:t>
      </w:r>
      <w:r>
        <w:t xml:space="preserve"> Deriving spatially explicit water uses from land use change modelling results in four river basins across Europe — https://doi.org/10.1016/j.scitotenv.2018.02.051</w:t>
      </w:r>
    </w:p>
    <w:p>
      <w:pPr/>
      <w:r>
        <w:rPr>
          <w:b/>
        </w:rPr>
        <w:t>Shared claim-specific concepts:</w:t>
      </w:r>
      <w:r>
        <w:t xml:space="preserve"> create, four, different; EU scope visible. This is a provisional connection, not an outcome finding.</w:t>
      </w:r>
    </w:p>
    <w:p>
      <w:pPr>
        <w:pStyle w:val="SourceNote"/>
      </w:pPr>
      <w:r>
        <w:rPr>
          <w:b/>
        </w:rPr>
        <w:t>Available abstract (not full text):</w:t>
      </w:r>
      <w:r>
        <w:t xml:space="preserve"> The objective of this study is to provide spatially distributed water use maps at a high spatial and thematic resolution as detailed input data for further modelling purposes. The maps were derived on the basis of official water statistics and land use maps to represent the current conditions in four European river basins affected by water scarcity (Adige, Ebro, Evrotas and Sava) and allow setting up reference scenarios. The present land use distribution was modelled based on CORINE data with the land use change model iCLUE. Modelling the land use allows to create dynamic land and water use maps adapted to the needs of eventual scenario analyses compared to using only observed land use maps. The availability of several CORINE datasets allowed calibrating and validating the results of the iCLUE model carrying out a three map comparison. Sectoral water uses were attributed to different land use classes and by this means located in space. Both the location and the magnitude of urban and agricultural water uses can be derived from the final maps. The created maps together with the corresponding land use data provide a coherent set of information crucial to most environmental modelling activities and often missing at this spatial and thematic resolution. This work also aims at visualizing and validating the water use statistics provided by official institutions such as the River Bas</w:t>
      </w:r>
    </w:p>
    <w:p>
      <w:pPr/>
      <w:r>
        <w:rPr>
          <w:b/>
        </w:rPr>
        <w:t>POSSIBLE 2017:</w:t>
      </w:r>
      <w:r>
        <w:t xml:space="preserve"> Use of complementary and alternative medicine in Europe: Health-related and sociodemographic determinants — https://doi.org/10.1177/1403494817733869</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AIMS: The aim of this research was to study health-related and sociodemographic determinants of the use of different complementary and alternative medicine (CAM) treatments in Europe and differences in CAM use in various European countries. METHODS: The study was based on a design-based logistic regression analysis of the European Social Survey (ESS), Round 7. We distinguished four CAM modalities: manual therapies, alternative medicinal systems, traditional Asian medical systems and mind-body therapies. RESULTS: In total, 25.9% of the general population had used CAM during the last 12 months. Typically, only one CAM treatment had been used, and it was used more often as complementary rather than alternative treatment. The use of CAM varied greatly by country, from 10% in Hungary to almost 40% in Germany. Compared to those in good health, the use of CAM was two to fourfold greater among those with health problems. The health profiles of users of different CAM modalities varied. For example, back or neck pain was associated with all types of CAM, whereas depression was associated only with the use of mind-body therapies. Individuals with difficult to diagnose health conditions were more inclined to utilize CAM, and CAM use was more common among women and those with a higher education. Lower income was associated with the use of mind-body therapies, whereas the other three CAM mod</w:t>
      </w:r>
    </w:p>
    <w:p>
      <w:pPr/>
      <w:r>
        <w:rPr>
          <w:b/>
        </w:rPr>
        <w:t>POSSIBLE 2016:</w:t>
      </w:r>
      <w:r>
        <w:t xml:space="preserve"> Four European Smart City Strategies — https://doi.org/10.11114/ijsss.v4i4.1364</w:t>
      </w:r>
    </w:p>
    <w:p>
      <w:pPr/>
      <w:r>
        <w:rPr>
          <w:b/>
        </w:rPr>
        <w:t>Shared claim-specific concepts:</w:t>
      </w:r>
      <w:r>
        <w:t xml:space="preserve"> four, strategies; EU scope visible. This is a provisional connection, not an outcome finding.</w:t>
      </w:r>
    </w:p>
    <w:p>
      <w:pPr>
        <w:pStyle w:val="SourceNote"/>
      </w:pPr>
      <w:r>
        <w:rPr>
          <w:b/>
        </w:rPr>
        <w:t>Available abstract (not full text):</w:t>
      </w:r>
      <w:r>
        <w:t xml:space="preserve"> This paper provides evidence-based policy recommendations about the development of smart cities. The core characteristics of smart cities, including the use of advanced technology, human and social capital development, the development of pro-business environments and networking, are ‘translated’ into individual domains that characterize smart city strategies. Four major European cities (Amsterdam, Barcelona, London and Stockholm) are examined in terms of how they have so far incorporated those domains in their ongoing smart city strategies. The data are analyzed comparatively, highlighting trends and contrasting differences among strategies. The paper closes with conclusions about those characteristics and their role in smart city policy making.</w:t>
      </w:r>
    </w:p>
    <w:p>
      <w:pPr/>
      <w:r>
        <w:rPr>
          <w:b/>
        </w:rPr>
        <w:t>POSSIBLE 2015:</w:t>
      </w:r>
      <w:r>
        <w:t xml:space="preserve"> Local and landscape‐level floral resources explain effects of wildflower strips on wild bees across four European countries — https://doi.org/10.1111/1365-2664.12479</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Summary Growing evidence for declines in wild bees calls for the development and implementation of effective mitigation measures. Enhancing floral resources is a widely accepted measure for promoting bees in agricultural landscapes, but effectiveness varies considerably between landscapes and regions. We hypothesize that this variation is mainly driven by a combination of the direct effects of measures on local floral resources and the availability of floral resources in the surrounding landscape. To test this, we established wildflower strips in four European countries, using the same seed mixture of forage plants specifically targeted at bees. We used a before–after control–impact approach to analyse the impacts of wildflower strips on bumblebees, solitary bees and Red List species and examined to what extent effects were affected by local and landscape‐wide floral resource availability, land‐use intensity and landscape complexity. Wildflower strips generally enhanced local bee abundance and richness, including Red‐listed species. Effectiveness of the wildflower strips increased with the local contrast in flower richness created by the strips and furthermore depended on the availability of floral resources in the surrounding landscape, with different patterns for solitary bees and bumblebees. Effects on solitary bees appeared to decrease with increasing amount of late‐season </w:t>
      </w:r>
    </w:p>
    <w:p>
      <w:pPr>
        <w:pStyle w:val="Heading2"/>
      </w:pPr>
      <w:r>
        <w:t>876.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Abstract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2022:</w:t>
      </w:r>
      <w:r>
        <w:t xml:space="preserve"> The European Union as a Community of Super Wicked Problems and Its Ambition–Authority Deficit — https://doi.org/10.1093/oso/9780192897541.003.0002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has an ambition–authority deficit. Its ambition is to deal with problems that are too difficult for member states in a way that requires them to grant considerable authority to foreigners. Its limited legitimacy restricts how it does this and wider acceptance of its solutions. This deficit’s unmanageability threatens the Union with collapse. The Union has therefore developed four strategies—legislative compacts, administrative coordination, resourced co-option, and discounting—to temper this mission’s demands. However, only one, legislative compacts, both plausibly manages this deficit and allows the Union to realize its mission. The challenge is therefore to generalize this strategy but address its central limitations, most centrally its legal formalism and collective action problems, in a way that does not harm its operational effectiveness. This will involve granting member states some autonomy, but paradoxically it protects the Union from its current slow-motion collapse rather than threatening that collapse.</w:t>
      </w:r>
    </w:p>
    <w:p>
      <w:pPr/>
      <w:r>
        <w:rPr>
          <w:b/>
        </w:rPr>
        <w:t>POSSIBLE 2021:</w:t>
      </w:r>
      <w:r>
        <w:t xml:space="preserve"> The European Union as a Global Power? — https://doi.org/10.1093/oso/9780192895820.003.0015</w:t>
      </w:r>
    </w:p>
    <w:p>
      <w:pPr/>
      <w:r>
        <w:rPr>
          <w:b/>
        </w:rPr>
        <w:t>Shared claim-specific concepts:</w:t>
      </w:r>
      <w:r>
        <w:t xml:space="preserve"> abstract, union, role; EU scope visible. This is a provisional connection, not an outcome finding.</w:t>
      </w:r>
    </w:p>
    <w:p>
      <w:pPr>
        <w:pStyle w:val="SourceNote"/>
      </w:pPr>
      <w:r>
        <w:rPr>
          <w:b/>
        </w:rPr>
        <w:t>Available abstract (not full text):</w:t>
      </w:r>
      <w:r>
        <w:t xml:space="preserve"> Abstract European integration started after the Second World War as an effort to bring peace in the Old Continent and to promote the unity of its peoples in a categorical rejection of nationalism. Hence, the very reason of making a united Europe was internal in its roots. Without denying the extraordinary achievements of the European project, today we can no longer give traditional answers to the fundamental question: ‘Why make Europe?’ If yesterday the underlying reason was clear to everyone—peace, in fact—today it is no longer the case. One of the ‘positive’ aspects of Brexit—and there are very few!—is having awakened Europe from a dangerous, deterministic, and almost dogmatic inertia of giving ‘Just because’ as the answer. So why should we continue to build a united Europe? Why do we need the European Union in the twenty-first century? In a nutshell the answer is that from the hegemon it was until the twentieth century, Europe must become a beacon for the world as a value-based global power. This is the essence of the new role that Europe is called to play in the world. In order to do this, we can no longer just look at internal causes for making Europe, but must also take into account the external context. In other words, we should adopt a mentality whereby European values coincide with European strategic interests. This shift is the key to making Europe live up to its glob</w:t>
      </w:r>
    </w:p>
    <w:p>
      <w:pPr/>
      <w:r>
        <w:rPr>
          <w:b/>
        </w:rPr>
        <w:t>POSSIBLE 2021:</w:t>
      </w:r>
      <w:r>
        <w:t xml:space="preserve"> DEFENCE INITIATIVES TO STRENGTHEN THE SECURITY OF THE EUROPEAN UNION — https://doi.org/10.33179/bsv.99.svi.11.cmc.23.2.3</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Povzetek Izhajajoč iz poslanstva Globalne strategije za zunanjo in varnostno politiko EU iz leta 2016 in s ciljem doseganja strateške obrambne avtonomije so države članice EU soglasno sprejele in implementirale različne pobude za krepitev razvoja zmogljivosti EU, kot so CARD, PESCO in EDF. Z doseganjem strateške obrambne avtonomije kot prednostne naloge bo EU postala ugledna svetovna sila in kot taka ne bo več tista, ki bo za doseganje svoje ravni ambicij odvisna le od velikih sil. Z izpolnjevanjem tega cilja bo EU tudi krepila svojo že tradicionalno mehko moč pri zaščiti strateških interesov. Kljub temu bo sodelovanje med EU in Natom še naprej nujno za evropsko in svetovno varnost. Ključne besede EUGS, obrambne pobude, CARD, PESCO, EDF, sodelovanje EU-NATO Abstract Following the mission of the European Union Global Strategy (EUGS), and with the aim of achieving strategic defence autonomy, the EU Member States unanimously adopted and implemented various initiatives to strengthen the development of the EU’s capabilities: CARD, PESCO and the EDF. By achieving strategic defence autonomy as a priority, the EU will become a respectable global power and, as such, it will no longer be one that depends solely on great powers to provide for its level of ambition. In this way, the EU will also harden its traditional soft power to protect its strategic interests. Nevertheless, cooperation</w:t>
      </w:r>
    </w:p>
    <w:p>
      <w:pPr/>
      <w:r>
        <w:rPr>
          <w:b/>
        </w:rPr>
        <w:t>POSSIBLE 2020:</w:t>
      </w:r>
      <w:r>
        <w:t xml:space="preserve"> Ukraine and the European Union — https://doi.org/10.1093/acrefore/9780190228637.013.1137</w:t>
      </w:r>
    </w:p>
    <w:p>
      <w:pPr/>
      <w:r>
        <w:rPr>
          <w:b/>
        </w:rPr>
        <w:t>Shared claim-specific concepts:</w:t>
      </w:r>
      <w:r>
        <w:t xml:space="preserve"> abstract, union, ambition, large, role; EU scope visible. This is a provisional connection, not an outcome finding.</w:t>
      </w:r>
    </w:p>
    <w:p>
      <w:pPr>
        <w:pStyle w:val="SourceNote"/>
      </w:pPr>
      <w:r>
        <w:rPr>
          <w:b/>
        </w:rPr>
        <w:t>Available abstract (not full text):</w:t>
      </w:r>
      <w:r>
        <w:t xml:space="preserve"> Abstract In early 2014, a series of dramatic crises in Ukraine generated headlines around the world. Most scholarly attention was placed on the tensions between the West and Russia, and the emergence of a new Cold War, especially following Russia’s annexation of the Crimean peninsula and its military incursion in eastern Ukraine. The relations between Ukraine and the European Union (EU) have often been reduced to debates on whether the EU was to blame for the conflict, having “sleepwalked” into the Ukraine crisis by focusing on technical trade issues and failing to recognize the delicate geopolitical context. Other analysts pointed to the EU’s pursuit of regional hegemony, which has failed to recognize Russia’s legitimate geopolitical and economic interests in Ukraine. In practice, Ukraine‒EU relations have been more complex and nuanced, certainly when considering that Ukraine already declared its ambition to “return to Europe” and to seek EU membership with its proclamation of independence, in 1991. Ukraine-EU relations are perhaps best understood along four levels of inquiry. The first is domestic dynamics in Ukraine. Since the end of the Cold War, all Ukrainian governments have underlined the “Europeanness” of Ukraine and have also by and large followed a pro-EU course in their foreign policies, including the government under pro-Russian president Viktor Yanukovych. However,</w:t>
      </w:r>
    </w:p>
    <w:p>
      <w:pPr/>
      <w:r>
        <w:rPr>
          <w:b/>
        </w:rPr>
        <w:t>POSSIBLE 2016:</w:t>
      </w:r>
      <w:r>
        <w:t xml:space="preserve"> Climate Change Policy in the European Union — https://doi.org/10.1093/acrefore/9780190228620.013.47</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(EU) has long claimed, with some justification, to be a leader in international climate policy. Its policy activities in this area, dating from the early 1990s, have had enormous influence within and beyond Europe. The period since ca. 2000 in particular has witnessed the repeated emergence of policies and targets that are increasingly distinct from national ones and sometimes globally innovative. They encompass a wide array of instruments (e.g., market-based, informational, voluntary, as well as regulatory). Policy development has been motivated by a mixture of concerns: to avoid national differences in policy causing distortions of the EU’s internal market; to enhance the domestic legitimacy of the wider project of European integration; to improve energy security; and to increase economic competitiveness through “ecological modernization.” Climate policy has also offered a means to enhance the standing of the EU as a global actor. The EU has, in general, been influential in international negotiations, for example, in its promotion of the 2°C warming limit and advocacy of emission reduction “targets and timetables.” In turn, its own policy has been shaped by developments at global level, as with the surprisingly enthusiastic adoption of the “flexible mechanism” of emissions trading. However, it is becoming increasingly apparent that acute challenges</w:t>
      </w:r>
    </w:p>
    <w:p>
      <w:pPr/>
      <w:r>
        <w:rPr>
          <w:b/>
        </w:rPr>
        <w:t>POSSIBLE 2015:</w:t>
      </w:r>
      <w:r>
        <w:t xml:space="preserve"> The Importance of Setting a Target: The EU Ambition of a High Level of Protection — https://doi.org/10.1017/s2047102514000284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(EU) aims to ensure a high level of environmental protection. This is a key message of primary EU law. This article explores the purpose and meaning of this explicit ambition. It deciphers its influence on case law and on judicial review of legislative and administrative discretion. It argues that the requirement goes beyond window dressing and that its added value lies both in supporting the legitimacy of bold decisions and in preventing a manifest dismissal of the requisites of environmental protection. Although primarily focused on EU law and on its technicalities, the article may offer helpful insights to other transnational or federal systems. It may help to build a better understanding of some of the challenges facing any environmental law regime confronted with the sensitive issue of ‘ambition’.</w:t>
      </w:r>
    </w:p>
    <w:p>
      <w:pPr>
        <w:pStyle w:val="Heading2"/>
      </w:pPr>
      <w:r>
        <w:t>877.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2019:</w:t>
      </w:r>
      <w:r>
        <w:t xml:space="preserve"> Social enterprises and their ecosystems in Europe — https://doi.org/10.2767/330252</w:t>
      </w:r>
    </w:p>
    <w:p>
      <w:pPr/>
      <w:r>
        <w:rPr>
          <w:b/>
        </w:rPr>
        <w:t>Shared claim-specific concepts:</w:t>
      </w:r>
      <w:r>
        <w:t xml:space="preserve"> they, present, since;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Industry Concentration in Europe and North America — https://doi.org/10.1787/2ff98246-en</w:t>
      </w:r>
    </w:p>
    <w:p>
      <w:pPr/>
      <w:r>
        <w:rPr>
          <w:b/>
        </w:rPr>
        <w:t>Shared claim-specific concepts:</w:t>
      </w:r>
      <w:r>
        <w:t xml:space="preserve"> observed, trends, two;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2015:</w:t>
      </w:r>
      <w:r>
        <w:t xml:space="preserve"> Carbapenemase-producing Enterobacteriaceae in Europe: assessment by national experts from 38 countries, May 2015 — https://doi.org/10.2807/1560-7917.es.2015.20.45.30062</w:t>
      </w:r>
    </w:p>
    <w:p>
      <w:pPr/>
      <w:r>
        <w:rPr>
          <w:b/>
        </w:rPr>
        <w:t>Shared claim-specific concepts:</w:t>
      </w:r>
      <w:r>
        <w:t xml:space="preserve"> they, build, two; EU scope visible. This is a provisional connection, not an outcome finding.</w:t>
      </w:r>
    </w:p>
    <w:p>
      <w:pPr>
        <w:pStyle w:val="SourceNote"/>
      </w:pPr>
      <w:r>
        <w:rPr>
          <w:b/>
        </w:rPr>
        <w:t>Available abstract (not full text):</w:t>
      </w:r>
      <w:r>
        <w:t xml:space="preserve"> In 2012, the European Centre for Disease Prevention and Control (ECDC) launched the 'European survey of carbapenemase-producing Enterobacteriaceae (EuSCAPE)' project to gain insights into the occurrence and epidemiology of carbapenemase-producing Enterobacteriaceae (CPE), to increase the awareness of the spread of CPE, and to build and enhance the laboratory capacity for diagnosis and surveillance of CPE in Europe. Data collected through a post-EuSCAPE feedback questionnaire in May 2015 documented improvement compared with 2013 in capacity and ability to detect CPE and identify the different carbapenemases genes in the 38 participating countries, thus contributing to their awareness of and knowledge about the spread of CPE. Over the last two years, the epidemiological situation of CPE worsened, in particular with the rapid spread of carbapenem-hydrolysing oxacillinase-48 (OXA-48)- and New Delhi metallo-beta-lactamase (NDM)-producing Enterobacteriaceae. In 2015, 13/38 countries reported inter-regional spread of or an endemic situation for CPE, compared with 6/38 in 2013. Only three countries replied that they had not identified one single case of CPE. The ongoing spread of CPE represents an increasing threat to patient safety in European hospitals, and a majority of countries reacted by establishing national CPE surveillances systems and issuing guidance on control measures for </w:t>
      </w:r>
    </w:p>
    <w:p>
      <w:pPr>
        <w:pStyle w:val="Heading2"/>
      </w:pPr>
      <w:r>
        <w:t>878.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2020:</w:t>
      </w:r>
      <w:r>
        <w:t xml:space="preserve"> The European Union in the World Economy: Competitiveness Issues — https://doi.org/10.20542/978-5-9535-0587-1</w:t>
      </w:r>
    </w:p>
    <w:p>
      <w:pPr/>
      <w:r>
        <w:rPr>
          <w:b/>
        </w:rPr>
        <w:t>Shared claim-specific concepts:</w:t>
      </w:r>
      <w:r>
        <w:t xml:space="preserve"> world, economy, international, challenges, issues; EU scope visible. This is a provisional connection, not an outcome finding.</w:t>
      </w:r>
    </w:p>
    <w:p>
      <w:pPr>
        <w:pStyle w:val="SourceNote"/>
      </w:pPr>
      <w:r>
        <w:rPr>
          <w:b/>
        </w:rPr>
        <w:t>Available abstract (not full text):</w:t>
      </w:r>
      <w:r>
        <w:t xml:space="preserve"> This study is prepared by the Center for European Studies of Primakov National Research Institute of World Economy and International Relations. It observes the problems of competitiveness and the challenges faced by European countries and the European Union as a whole in contemporary global economy. The first part of the book presents the general position of the EU in the world economy, examines industrial competitiveness and describes the role of State in its ensuring. The second part is dedicated to national competitiveness of European countries in the European Single Market. The publication is intended for Agencies developing Russia's economic policy, as well as for researchers, higher education professors, postgraduates, students, and anyone interested in the current trends in the world economy and international relations.</w:t>
      </w:r>
    </w:p>
    <w:p>
      <w:pPr/>
      <w:r>
        <w:rPr>
          <w:b/>
        </w:rPr>
        <w:t>POSSIBLE 2019:</w:t>
      </w:r>
      <w:r>
        <w:t xml:space="preserve"> The Soviet Union and the World Economy in the 1980S: A Review of the Alternatives — https://doi.org/10.4324/9780429311130-3</w:t>
      </w:r>
    </w:p>
    <w:p>
      <w:pPr/>
      <w:r>
        <w:rPr>
          <w:b/>
        </w:rPr>
        <w:t>Shared claim-specific concepts:</w:t>
      </w:r>
      <w:r>
        <w:t xml:space="preserve"> four, world, economy, presented, aims, trade; EU scope visible. This is a provisional connection, not an outcome finding.</w:t>
      </w:r>
    </w:p>
    <w:p>
      <w:pPr>
        <w:pStyle w:val="SourceNote"/>
      </w:pPr>
      <w:r>
        <w:rPr>
          <w:b/>
        </w:rPr>
        <w:t>Available abstract (not full text):</w:t>
      </w:r>
      <w:r>
        <w:t xml:space="preserve"> This chapter aims to sketch the likely development of Soviet economic relations with the World Economy over the decade 1976–1985, the period of the Tenth and Eleventh Five-Year plans. Trade between the Soviet Union and Eastern Europe has been disaggregated into four commodity groups: machinery, raw materials, food, other consumer goods. In the past, Soviet exports of fuel and materials to the Council of Mutual Economic Assistance (CMEA) were a function of net material product in Eastern Europe and also determined a smaller flow of material imports from the CMEA. During the construction of the Soviet Econometric Model a new methodology was developed for evaluating the quantitative impact of imported machinery on Soviet industrial production; to a certain extent, this technique provides a measure of the gains from technology transfer. The projections presented were computed using a 1977 version of SOVMOD III, the third generation SRI-WEFA Soviet Econometric Model.</w:t>
      </w:r>
    </w:p>
    <w:p>
      <w:pPr/>
      <w:r>
        <w:rPr>
          <w:b/>
        </w:rPr>
        <w:t>POSSIBLE 2017:</w:t>
      </w:r>
      <w:r>
        <w:t xml:space="preserve"> The Global MRIO Lab – charting the world economy — https://doi.org/10.1080/09535314.2017.1301887</w:t>
      </w:r>
    </w:p>
    <w:p>
      <w:pPr/>
      <w:r>
        <w:rPr>
          <w:b/>
        </w:rPr>
        <w:t>Shared claim-specific concepts:</w:t>
      </w:r>
      <w:r>
        <w:t xml:space="preserve"> world, economy, main, trade; EU scope not established. This is a provisional connection, not an outcome finding.</w:t>
      </w:r>
    </w:p>
    <w:p>
      <w:pPr>
        <w:pStyle w:val="SourceNote"/>
      </w:pPr>
      <w:r>
        <w:rPr>
          <w:b/>
        </w:rPr>
        <w:t>Available abstract (not full text):</w:t>
      </w:r>
      <w:r>
        <w:t xml:space="preserve"> We describe the creation of the Global Multi-Region Input–Output (MRIO) Lab, which is a cloud-computing platform offering a collaborative research environment through which participants can use each other’s resources to assemble their own individual MRIO versions. The Global MRIO Lab’s main purpose is to harness and focus previously disparate resources aimed at compiling large-scale MRIO databases that provide comprehensive representations of interregional trade, economic structure, industrial interdependence, as well as environmental and social impact. Based on the operational Australian Industrial Ecology Lab, a particularly important feature of this cloud environment is a highly detailed regional and sectoral taxonomy called the ‘root classification’. The purpose of this root is to serve as a feedstock from which researchers can choose any combination of regions and economic sectors to form a model of the economy that is suitable to address their particular research questions. Thus, the Global MRIO Lab concept enables enhanced flexibility in MRIO database construction whilst at the same time saving resources and avoiding duplication, by sharing time- and labour-intensive tasks amongst multiple research teams. We explain the concept, architecture, development and preliminary results of the Global MRIO Lab, and discuss its ability to continuously deliver some of the most promi</w:t>
      </w:r>
    </w:p>
    <w:p>
      <w:pPr/>
      <w:r>
        <w:rPr>
          <w:b/>
        </w:rPr>
        <w:t>POSSIBLE 2016:</w:t>
      </w:r>
      <w:r>
        <w:t xml:space="preserve"> The Finance Curse: Britain and the World Economy — https://doi.org/10.1177/1369148115612793</w:t>
      </w:r>
    </w:p>
    <w:p>
      <w:pPr/>
      <w:r>
        <w:rPr>
          <w:b/>
        </w:rPr>
        <w:t>Shared claim-specific concepts:</w:t>
      </w:r>
      <w:r>
        <w:t xml:space="preserve"> world, economy, analyse; EU scope not established. This is a provisional connection, not an outcome finding.</w:t>
      </w:r>
    </w:p>
    <w:p>
      <w:pPr>
        <w:pStyle w:val="SourceNote"/>
      </w:pPr>
      <w:r>
        <w:rPr>
          <w:b/>
        </w:rPr>
        <w:t>Available abstract (not full text):</w:t>
      </w:r>
      <w:r>
        <w:t xml:space="preserve"> Outlines harms caused to countries hosting an oversized financial sector Argues Britain is subject to a Finance Curse, which carries many similarities with the Resource Curse, afflicting mineral-exporting countries Provides a narrative and framework to analyse the political economy of finance and financialisation The Global Financial Crisis placed the utility of financial services in question. The crash, great recession, wealth transfers from public to private, austerity and growing inequality cast doubt on the idea that finance is a boon to the host economy. This article systematizes these doubts to highlight the perils of an oversized financial sector. States failing to harness natural resources for development led to the concept of the Resource Curse. In many countries, resource dependence generated slower growth, crowding out, reduced economic diversity, lost entrepreneurialism, unemployment, economic instability, inequality, conflict, rent-seeking and corruption. The Finance Curse produces similar effects, often for similar reasons. Beyond a point, a growing financial sector can do more harm than good. Unlike the Resource Curse, these harms transcend borders. The concept of a Finance Curse starkly illuminates the condition of Britain’s political economy and the character of its relations with the rest of the world.</w:t>
      </w:r>
    </w:p>
    <w:p>
      <w:pPr>
        <w:pStyle w:val="Heading2"/>
      </w:pPr>
      <w:r>
        <w:t>879.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findings, union;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article, different, reveal;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Governing displaced migration in Europe: housing and the role of the “local” — https://doi.org/10.1186/s40878-020-00209-x</w:t>
      </w:r>
    </w:p>
    <w:p>
      <w:pPr/>
      <w:r>
        <w:rPr>
          <w:b/>
        </w:rPr>
        <w:t>Shared claim-specific concepts:</w:t>
      </w:r>
      <w:r>
        <w:t xml:space="preserve"> article, different, about,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r>
        <w:rPr>
          <w:b/>
        </w:rPr>
        <w:t>POSSIBLE 2021:</w:t>
      </w:r>
      <w:r>
        <w:t xml:space="preserve"> What is Europe? The Meaning of Europe in Different Social Contexts in Switzerland* — https://doi.org/10.1111/spsr.12460</w:t>
      </w:r>
    </w:p>
    <w:p>
      <w:pPr/>
      <w:r>
        <w:rPr>
          <w:b/>
        </w:rPr>
        <w:t>Shared claim-specific concepts:</w:t>
      </w:r>
      <w:r>
        <w:t xml:space="preserve"> article, explores, different, respondents, they; EU scope visible. This is a provisional connection, not an outcome finding.</w:t>
      </w:r>
    </w:p>
    <w:p>
      <w:pPr>
        <w:pStyle w:val="SourceNote"/>
      </w:pPr>
      <w:r>
        <w:rPr>
          <w:b/>
        </w:rPr>
        <w:t>Available abstract (not full text):</w:t>
      </w:r>
      <w:r>
        <w:t xml:space="preserve"> Abstract Previous literature on European identification has often taken for granted what respondents understand by this term. The present article addresses this issue, and on the basis of a recent study in Switzerland seeks to identify the meanings that individuals associate with the concept of Europe. Furthermore, it examines how these meanings relate to their identification with Europe. It also explores the potential covariates of these various conceptions of Europe – particularly transnational experiences and networks. Our analyses identify six dimensions of the meaning of Europe, each of which is differently related to identification with Europe. Although EU citizens and non‐EU citizens in different types of (bi‐national) relationships assigned similar meanings to Europe overall, they differed with respect to the importance they accorded each of these meanings. Individuals who tend to benefit from the EU, i.e. EU citizens and persons with a higher level of education, attribute more positive meanings to Europe.</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trade, not, about;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2018:</w:t>
      </w:r>
      <w:r>
        <w:t xml:space="preserve"> Evidence of different models of socially responsible HRM in Europe — https://doi.org/10.1111/beer.12203</w:t>
      </w:r>
    </w:p>
    <w:p>
      <w:pPr/>
      <w:r>
        <w:rPr>
          <w:b/>
        </w:rPr>
        <w:t>Shared claim-specific concepts:</w:t>
      </w:r>
      <w:r>
        <w:t xml:space="preserve"> article, explores, different, findings, managers, not; EU scope visible. This is a provisional connection, not an outcome finding.</w:t>
      </w:r>
    </w:p>
    <w:p>
      <w:pPr>
        <w:pStyle w:val="SourceNote"/>
      </w:pPr>
      <w:r>
        <w:rPr>
          <w:b/>
        </w:rPr>
        <w:t>Available abstract (not full text):</w:t>
      </w:r>
      <w:r>
        <w:t xml:space="preserve"> Socially responsible human resource management (SR‐HRM) is becoming increasingly important for academics and managers. The interface between HRM and corporate social responsibility (CSR) is the subject of analysis in this article. It adopts a contextual perspective to analyze whether the institutional context influences the implementation of socially responsible HRM (SR‐HRM). Considering the differences in the national institutional contexts across Europe, this study explores the different models of SR‐HRM in that region. The research is focused on a sample of 153 companies headquartered in Germany, Spain, Sweden, and the United Kingdom. The findings evidence the influence exerted by the national institutional context on the implementation of SR‐HRM. Differences among country clusters suggest the existence of different models of SR‐HRM in Europe. However, these models do not correspond to the blocks on HRM or on CSR identified by the literature but instead provide a novel categorization.</w:t>
      </w:r>
    </w:p>
    <w:p>
      <w:pPr/>
      <w:r>
        <w:rPr>
          <w:b/>
        </w:rPr>
        <w:t>POSSIBLE 2018:</w:t>
      </w:r>
      <w:r>
        <w:t xml:space="preserve"> Geographies of e-Government in Europe — https://doi.org/10.4018/ijepr.2018100104</w:t>
      </w:r>
    </w:p>
    <w:p>
      <w:pPr/>
      <w:r>
        <w:rPr>
          <w:b/>
        </w:rPr>
        <w:t>Shared claim-specific concepts:</w:t>
      </w:r>
      <w:r>
        <w:t xml:space="preserve"> article, explores, different, government; EU scope visible. This is a provisional connection, not an outcome finding.</w:t>
      </w:r>
    </w:p>
    <w:p>
      <w:pPr>
        <w:pStyle w:val="SourceNote"/>
      </w:pPr>
      <w:r>
        <w:rPr>
          <w:b/>
        </w:rPr>
        <w:t>Available abstract (not full text):</w:t>
      </w:r>
      <w:r>
        <w:t xml:space="preserve"> Government use of the internet – e-government – varies considerably in its degrees of sophistication. This article explores the spatiality of e-government in Europe. It first situates the topic within wider theorizations of geographies of cyberspace. Second, it reviews e-government and its implications. Third, it turns to the digital divide in Europe. Fourth, it maps national e-government readiness and e-participation scores and correlates them with socio-economic measures. Fifth, it provides several overviews of successful West European e-government programs. It concludes by emphasizing that e-government must be approached geographically in a manner tailored to different national contexts.</w:t>
      </w:r>
    </w:p>
    <w:p>
      <w:pPr/>
      <w:r>
        <w:rPr>
          <w:b/>
        </w:rPr>
        <w:t>POSSIBLE 2017:</w:t>
      </w:r>
      <w:r>
        <w:t xml:space="preserve"> Plurilingualism in Europe: Exploring Attitudes Toward English and Other European Languages Among Adolescents in Bulgaria, Germany, the Netherlands, and Spain — https://doi.org/10.1111/modl.12415</w:t>
      </w:r>
    </w:p>
    <w:p>
      <w:pPr/>
      <w:r>
        <w:rPr>
          <w:b/>
        </w:rPr>
        <w:t>Shared claim-specific concepts:</w:t>
      </w:r>
      <w:r>
        <w:t xml:space="preserve"> article, explores, different, reveal, they; EU scope visible. This is a provisional connection, not an outcome finding.</w:t>
      </w:r>
    </w:p>
    <w:p>
      <w:pPr>
        <w:pStyle w:val="SourceNote"/>
      </w:pPr>
      <w:r>
        <w:rPr>
          <w:b/>
        </w:rPr>
        <w:t>Available abstract (not full text):</w:t>
      </w:r>
      <w:r>
        <w:t xml:space="preserve"> This article explores adolescent students’ attitudes toward learning English and other European languages studied at secondary school. The study is based on 2255 qualitative responses to a survey conducted in Bulgaria, Germany, the Netherlands, and Spain. The data reveal that, although differences between countries shape the experience of foreign language learning in different ways, students in all four countries are highly aware of the global status of English. This can be a positive stimulus for students’ attitudes toward English but it can also negatively affect their attitudes toward learning other languages, as these can be perceived as less valuable. While perceived societal importance can differ from personal relevance and while identity issues, ability beliefs, contextual factors on the school and classroom level, as well as social‐relational contexts (especially the relationship to the teacher) also play a role in shaping students’ attitudes, the data demonstrate that macro‐contextual factors exert considerable influence. They also suggest that more attention must be paid to stimulating positive attitudes toward language diversity and to fostering plurilingual aspirations in young Europeans.</w:t>
      </w:r>
    </w:p>
    <w:p>
      <w:pPr/>
      <w:r>
        <w:rPr>
          <w:b/>
        </w:rPr>
        <w:t>POSSIBLE 2017:</w:t>
      </w:r>
      <w:r>
        <w:t xml:space="preserve"> Leading sustainable neighbourhoods in Europe: Exploring the key principles and processes — https://doi.org/10.5379/urbani-izziv-en-2017-28-01-003</w:t>
      </w:r>
    </w:p>
    <w:p>
      <w:pPr/>
      <w:r>
        <w:rPr>
          <w:b/>
        </w:rPr>
        <w:t>Shared claim-specific concepts:</w:t>
      </w:r>
      <w:r>
        <w:t xml:space="preserve"> article, different, many; EU scope visible. This is a provisional connection, not an outcome finding.</w:t>
      </w:r>
    </w:p>
    <w:p>
      <w:pPr>
        <w:pStyle w:val="SourceNote"/>
      </w:pPr>
      <w:r>
        <w:rPr>
          <w:b/>
        </w:rPr>
        <w:t>Available abstract (not full text):</w:t>
      </w:r>
      <w:r>
        <w:t xml:space="preserve"> Leading sustainable neighbourhoods in Europe: Exploring the key principles and processesLocal projects involving sustainable urban transformation are increasingly prominent in cities and towns, and are often referred to as sustainable neighbourhoods.These initiatives have been described as experiments in urban sustainability and could provide concrete answers to many challenges facing cities and society.This article investigates the design and development of two leading examples of sustainable neighbourhoods that used different implementation strategies: a top-down development in Western Harbour (Swed.Västra Hamnen, Malmö) and a bottom-up (participatory) approach in Vauban (Frei-burg).The article investigates how the initial implementation approach in sustainable urban redevelopment influenced and conditioned the urban design, social sustainability and local governance of the neighbourhoods.The research also focuses on how Vauban and Western Harbour have influenced and disseminated sustainable urban solutions to other urban contexts.</w:t>
      </w:r>
    </w:p>
    <w:p>
      <w:pPr/>
      <w:r>
        <w:rPr>
          <w:b/>
        </w:rPr>
        <w:t>POSSIBLE 2016:</w:t>
      </w:r>
      <w:r>
        <w:t xml:space="preserve"> Research ethics in practice: lessons from studies exploring interpersonal violence in different contexts — https://doi.org/10.1332/204674316x14673790283737</w:t>
      </w:r>
    </w:p>
    <w:p>
      <w:pPr/>
      <w:r>
        <w:rPr>
          <w:b/>
        </w:rPr>
        <w:t>Shared claim-specific concepts:</w:t>
      </w:r>
      <w:r>
        <w:t xml:space="preserve"> article, different, they; EU scope visible. This is a provisional connection, not an outcome finding.</w:t>
      </w:r>
    </w:p>
    <w:p>
      <w:pPr>
        <w:pStyle w:val="SourceNote"/>
      </w:pPr>
      <w:r>
        <w:rPr>
          <w:b/>
        </w:rPr>
        <w:t>Available abstract (not full text):</w:t>
      </w:r>
      <w:r>
        <w:t xml:space="preserve"> Studies researching interpersonal violence (IPV) are associated with a range of ethical challenges. In this article, lessons are drawn from three case studies exploring the experiences of different groups of survivors and perpetrators of IPV in diverse contexts: refugees in the Thailand-Burma border area; partner-violent adult men and female survivors in Ireland; and school children in five European countries. The ethical – and associated methodological – challenges faced, and the ways in which they were overcome, are presented. Drawing on the case studies presented, the article concludes that three key areas require special attention when conducting research in this field: accessing and recruiting participants, researcher skills and experience, and appropriate use of data.</w:t>
      </w:r>
    </w:p>
    <w:p>
      <w:pPr>
        <w:pStyle w:val="Heading2"/>
      </w:pPr>
      <w:r>
        <w:t>880.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Compare the Black-Scholes Model, Monte Carlo Model, One Step Binomial Tree Model through the European options of Apple — https://doi.org/10.61173/2xbr7x94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2023:</w:t>
      </w:r>
      <w:r>
        <w:t xml:space="preserve"> A Model-Based Parameter Space in Monte Carlo Simulations for European Short-Term Adequacy Assessments — https://doi.org/10.1109/ei259745.2023.10513254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The Short-Term Adequacy (STA) assessment is crucial for raising risk awareness among stakeholders and aiding European system operations in quickly identifying potential risks. To calculate cross-border exchange capacities in European STA assessments, the flow-based (FB) approach is used to define the parameter space in Monte Carlo simulations. However, Transmission System Operators (TSOs) currently rely on data-driven methods to define the FB domain. These methods necessitate extensive historical data on import-export capacities, which may not always align with Monte Carlo samples. Issues related to Energy Not Served (ENS) can arise even when Monte Carlo samples are aligned with the FB domain. To address these challenges, this paper introduces an analytical model based on parametric programming. This model maps the decision variables to zonal total loads, ensuring a more accurate parameter space in Monte Carlo simulations, and is free from ENS issues. Additionally, the model proactively adjusts the ENS index to reflect the parameter space under specific ENS conditions, thereby enhancing the generation of accurate Monte Carlo scenarios for subsequent STA assessments.</w:t>
      </w:r>
    </w:p>
    <w:p>
      <w:pPr/>
      <w:r>
        <w:rPr>
          <w:b/>
        </w:rPr>
        <w:t>POSSIBLE 2023:</w:t>
      </w:r>
      <w:r>
        <w:t xml:space="preserve"> A Multi-Level Monte Carlo Lagrange-Galerkin Method for Solving a XVA Hybrid Model in European Options — https://doi.org/10.2139/ssrn.4353116</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Comparative Analysis of the Application of Monte Carlo Model and BSM Model in European Option Pricing — https://doi.org/10.54691/bcpbm.v32i.2856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At present, the expansion of China's domestic options market brings positive factors and risks, and in order to avoid risks, it is crucial to choose a suitable model for option pricing. This article provides an example of an option for the underlying asset of the SSE 50 ETF. Using the BSM model and the Monte Carlo model for the selected option pricing, and comparing the actual option price. It is found that the pricing efficiency of the Monte Carlo model is higher than that of the BSM model when the number of simulations reaches 30,000 times in the call option, and there is little difference between the two in the put option pricing. It is recommended to prefer the Monte Carlo model when pricing call options and the more convenient BSM model when pricing put options.</w:t>
      </w:r>
    </w:p>
    <w:p>
      <w:pPr/>
      <w:r>
        <w:rPr>
          <w:b/>
        </w:rPr>
        <w:t>POSSIBLE 2020:</w:t>
      </w:r>
      <w:r>
        <w:t xml:space="preserve"> Monte Carlo methods and market models for European swaptions pricing — https://openalex.org/W3204112699</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Affine models for term structure modelling. Exotic options and European swaptions. Structural affine models. Flat and forward volatilities. Probability measures. Forward neutral models. Volatility structures. Monte Carlo Methods in finance. An introduction to Monte Carlo. Monte Carlo integration. The efficiency of the estimator. Generation of random numbers. Variance reduction techniques. Monte Carlo simulation to price swaptions. Swaptions pricing. European swaptions and their use. The choice of the model. Derivation of the specific stochastic process used in Monte Carlo simulation. Modern pricing techniques in the global markets’ landscape. Suggestions for future researches: bermudian swaptions, Longstaff-Schwartz algorithm and least squares Monte Carlo.</w:t>
      </w:r>
    </w:p>
    <w:p>
      <w:pPr/>
      <w:r>
        <w:rPr>
          <w:b/>
        </w:rPr>
        <w:t>POSSIBLE 2020:</w:t>
      </w:r>
      <w:r>
        <w:t xml:space="preserve"> Advanced Monte Carlo Pricing of European Options in a Market Model with Two Stochastic Volatilities — https://doi.org/10.1007/978-3-030-41850-2_36</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pStyle w:val="Heading2"/>
      </w:pPr>
      <w:r>
        <w:t>881.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pStyle w:val="Heading2"/>
      </w:pPr>
      <w:r>
        <w:t>882.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2021:</w:t>
      </w:r>
      <w:r>
        <w:t xml:space="preserve"> REINTEGRATION OF CROP-LIVESTOCK SYSTEMS IN EUROPE: AN OVERVIEW — https://doi.org/10.15302/j-fase-2020373</w:t>
      </w:r>
    </w:p>
    <w:p>
      <w:pPr/>
      <w:r>
        <w:rPr>
          <w:b/>
        </w:rPr>
        <w:t>Shared claim-specific concepts:</w:t>
      </w:r>
      <w:r>
        <w:t xml:space="preserve"> overview, provide, needed; EU scope visible. This is a provisional connection, not an outcome finding.</w:t>
      </w:r>
    </w:p>
    <w:p>
      <w:pPr>
        <w:pStyle w:val="SourceNote"/>
      </w:pPr>
      <w:r>
        <w:rPr>
          <w:b/>
        </w:rPr>
        <w:t>Available abstract (not full text):</w:t>
      </w:r>
      <w:r>
        <w:t xml:space="preserve"> • ICLS combines the benefits of specialization with increased resilience of the system. • Clear opportunities but also barriers for ICLS were observed. • ICLS need to be embedded within future environmental legislation. • ICLS systems with a range of intensities are needed to support a biodiverse landscape. Ongoing specialization of crop and livestock systems provides socioeconomic benefits to the farmer but has led to greater externalization of environmental costs when compared to mixed farming systems. Better integration of crop and livestock systems offers great potential to rebalance the economic and environmental trade-offs in both systems. The aims of this study were to analyze changes in farm structure and review and evaluate the potential for reintegrating specialized intensive crop and livestock systems, with specific emphasis on identifying the co-benefits and barriers to reintegration. Historically, animals were essential to recycle nutrients in the farming system but this became less important with the availability of synthetic fertilisers. Although mixed farm systems can be economically attractive, benefits of scale combined with socio-economic factors have resulted in on-farm and regional specialization with negative environmental impacts. Reintegration is therefore needed to reduce nutrient surpluses at farm, regional and national levels, and to improve soil qual</w:t>
      </w:r>
    </w:p>
    <w:p>
      <w:pPr/>
      <w:r>
        <w:rPr>
          <w:b/>
        </w:rPr>
        <w:t>POSSIBLE 2020:</w:t>
      </w:r>
      <w:r>
        <w:t xml:space="preserve"> Comparative study of customer relationship management research from East Asia, North America and Europe: A bibliometric overview — https://doi.org/10.1007/s12525-020-00395-7</w:t>
      </w:r>
    </w:p>
    <w:p>
      <w:pPr/>
      <w:r>
        <w:rPr>
          <w:b/>
        </w:rPr>
        <w:t>Shared claim-specific concepts:</w:t>
      </w:r>
      <w:r>
        <w:t xml:space="preserve"> comparative, overview, north, america;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Comparative studies in education in Southern Europe — https://doi.org/10.1080/03050068.2018.1528774</w:t>
      </w:r>
    </w:p>
    <w:p>
      <w:pPr/>
      <w:r>
        <w:rPr>
          <w:b/>
        </w:rPr>
        <w:t>Shared claim-specific concepts:</w:t>
      </w:r>
      <w:r>
        <w:t xml:space="preserve"> critical, comparative, overview, different; EU scope visible. This is a provisional connection, not an outcome finding.</w:t>
      </w:r>
    </w:p>
    <w:p>
      <w:pPr>
        <w:pStyle w:val="SourceNote"/>
      </w:pPr>
      <w:r>
        <w:rPr>
          <w:b/>
        </w:rPr>
        <w:t>Available abstract (not full text):</w:t>
      </w:r>
      <w:r>
        <w:t xml:space="preserve"> This special issue offers a critical overview of the Southern Europe construction of comparative education and the different sets of philosophical and historical framings, including university cult...</w:t>
      </w:r>
    </w:p>
    <w:p>
      <w:pPr/>
      <w:r>
        <w:rPr>
          <w:b/>
        </w:rPr>
        <w:t>POSSIBLE 2018:</w:t>
      </w:r>
      <w:r>
        <w:t xml:space="preserve"> Direct healthcare cost of schizophrenia – European overview — https://doi.org/10.1016/j.eurpsy.2017.10.008</w:t>
      </w:r>
    </w:p>
    <w:p>
      <w:pPr/>
      <w:r>
        <w:rPr>
          <w:b/>
        </w:rPr>
        <w:t>Shared claim-specific concepts:</w:t>
      </w:r>
      <w:r>
        <w:t xml:space="preserve"> overview, methods, provide; EU scope visible. This is a provisional connection, not an outcome finding.</w:t>
      </w:r>
    </w:p>
    <w:p>
      <w:pPr>
        <w:pStyle w:val="SourceNote"/>
      </w:pPr>
      <w:r>
        <w:rPr>
          <w:b/>
        </w:rPr>
        <w:t>Available abstract (not full text):</w:t>
      </w:r>
      <w:r>
        <w:t xml:space="preserve"> PURPOSE: To provide an overview on the magnitude of the impact of schizophrenia on the healthcare system in Europe and to gain a better understanding on the most important factors influencing the variation of costs. METHODS: Studies reporting costs and healthcare utilization among patients with schizophrenia were searched in MEDLINE (via Scopus), EMBASE (via Scopus) and Cochrane Database of Systematic Reviews on 19th January 2017. RESULTS: Twenty-three studies, from the 1075 references initially identified, were included in this review. The annual cost per patient ranged from €533 in Ukraine to €13,704 in the Netherlands. Notably drug costs contributed to less than 25% of the direct healthcare cost per patient in every country, which might be explained by similar pharmaceutical prices among countries due to the reference pricing system applied in Europe. Inpatient costs were the largest component of health service costs in the majority of the countries. Despite methodological heterogeneity across studies, four major themes could be identified (age, severity of symptoms, continuation of treatment/persistence, hospitalization) that have substantial impact on the costs of schizophrenia. CONCLUSIONS: Schizophrenia represents a substantial cost for the healthcare system in Europe driven by the high cost per patient. Substantial savings could potentially be achieved by increasing inv</w:t>
      </w:r>
    </w:p>
    <w:p>
      <w:pPr/>
      <w:r>
        <w:rPr>
          <w:b/>
        </w:rPr>
        <w:t>POSSIBLE 2018:</w:t>
      </w:r>
      <w:r>
        <w:t xml:space="preserve"> A Critical Overview of Targeted Therapies for Glioblastoma — https://doi.org/10.3389/fonc.2018.00419</w:t>
      </w:r>
    </w:p>
    <w:p>
      <w:pPr/>
      <w:r>
        <w:rPr>
          <w:b/>
        </w:rPr>
        <w:t>Shared claim-specific concepts:</w:t>
      </w:r>
      <w:r>
        <w:t xml:space="preserve"> critical, overview, methods, used, many; EU scope not established. This is a provisional connection, not an outcome finding.</w:t>
      </w:r>
    </w:p>
    <w:p>
      <w:pPr>
        <w:pStyle w:val="SourceNote"/>
      </w:pPr>
      <w:r>
        <w:rPr>
          <w:b/>
        </w:rPr>
        <w:t>Available abstract (not full text):</w:t>
      </w:r>
      <w:r>
        <w:t xml:space="preserve"> Over the past century, treatment of malignant tumors of the brain has remained a challenge. Refinements in neurosurgical techniques, discovery of powerful chemotherapeutic agents, advances in radiotherapy, applications of biotechnology, and improvements in methods of targeted delivery have led to some extension of length of survival of glioblastoma patients. Refinements in surgery are mentioned because most of the patients with glioblastoma undergo surgery and many of the other innovative therapies are combined with surgery. However, cure of glioblastoma has remained elusive because it requires complete destruction of the tumor. Radical surgical ablation is not possible in the brain and even a small residual tumor leads to rapid recurrence that eventually kills the patient. Blood-brain barrier (BBB) comprising brain endothelial cells lining the cerebral microvasculature, limits delivery of drugs to the brain. Even though opening of the BBB in tumor core occurs locally, BBB limits systemic chemotherapy especially at the tumor periphery, where tumor cells invade normal brain structure comprising intact BBB. Comprehensive approaches are necessary to gain maximally from promising targeted therapies. Common methods used for critical evaluation of targeted therapies for glioblastoma include: (1) novel methods for targeted delivery of chemotherapy; (2) strategies for delivery through </w:t>
      </w:r>
    </w:p>
    <w:p>
      <w:pPr/>
      <w:r>
        <w:rPr>
          <w:b/>
        </w:rPr>
        <w:t>POSSIBLE 2017:</w:t>
      </w:r>
      <w:r>
        <w:t xml:space="preserve"> Policies for biosimilar uptake in Europe: An overview — https://doi.org/10.1371/journal.pone.0190147</w:t>
      </w:r>
    </w:p>
    <w:p>
      <w:pPr/>
      <w:r>
        <w:rPr>
          <w:b/>
        </w:rPr>
        <w:t>Shared claim-specific concepts:</w:t>
      </w:r>
      <w:r>
        <w:t xml:space="preserve"> overview, methods, they, used, different, provide; EU scope visible. This is a provisional connection, not an outcome finding.</w:t>
      </w:r>
    </w:p>
    <w:p>
      <w:pPr>
        <w:pStyle w:val="SourceNote"/>
      </w:pPr>
      <w:r>
        <w:rPr>
          <w:b/>
        </w:rPr>
        <w:t>Available abstract (not full text):</w:t>
      </w:r>
      <w:r>
        <w:t xml:space="preserve"> BACKGROUND: Across European countries, differences exist in biosimilar policies, leading to variations in uptake of biosimilars and divergences in savings all over Europe. OBJECTIVES: The aim of this article is to provide an overview of different initiatives and policies that may influence the uptake of biosimilars in different European countries. Recommendations will be formulated on how to create sustainable uptake. METHODS: An overview of policies on biosimilars was obtained via a questionnaire, supplemented with relevant articles. Topics were organized in five themes: availability, pricing, reimbursement, demand-side policies, and recommendations to enhance uptake. RESULTS: In all countries studied, biological medicines are available. Restrictions are mainly dependent on local organization of the healthcare system. Countries are willing to include biosimilars for reimbursement, but for commercial reasons they are not always marketed. In two thirds of countries, originator and biosimilar products may be subjected to internal reference pricing systems. Few countries have implemented specific incentives targeting physicians. Several countries are implementing pharmacist substitution; however, the scope and rules governing such substitution tend to vary between these countries. Reported educational policies tend to target primarily physicians, whereas fewer initiatives were rep</w:t>
      </w:r>
    </w:p>
    <w:p>
      <w:pPr/>
      <w:r>
        <w:rPr>
          <w:b/>
        </w:rPr>
        <w:t>POSSIBLE 2017:</w:t>
      </w:r>
      <w:r>
        <w:t xml:space="preserve"> Early Detection and Intervention of ASD: A European Overview — https://doi.org/10.3390/brainsci7120159</w:t>
      </w:r>
    </w:p>
    <w:p>
      <w:pPr/>
      <w:r>
        <w:rPr>
          <w:b/>
        </w:rPr>
        <w:t>Shared claim-specific concepts:</w:t>
      </w:r>
      <w:r>
        <w:t xml:space="preserve"> overview, different, provide, tools, needed, makers; EU scope visible. This is a provisional connection, not an outcome finding.</w:t>
      </w:r>
    </w:p>
    <w:p>
      <w:pPr>
        <w:pStyle w:val="SourceNote"/>
      </w:pPr>
      <w:r>
        <w:rPr>
          <w:b/>
        </w:rPr>
        <w:t>Available abstract (not full text):</w:t>
      </w:r>
      <w:r>
        <w:t xml:space="preserve"> Over the last several years there has been an increasing focus on early detection of Autism Spectrum Disorder (ASD), not only from the scientific field but also from professional associations and public health systems all across Europe. Not surprisingly, in order to offer better services and quality of life for both children with ASD and their families, different screening procedures and tools have been developed for early assessment and intervention. However, current evidence is needed for healthcare providers and policy makers to be able to implement specific measures and increase autism awareness in European communities. The general aim of this review is to address the latest and most relevant issues related to early detection and treatments. The specific objectives are (1) analyse the impact, describing advantages and drawbacks, of screening procedures based on standardized tests, surveillance programmes, or other observational measures; and (2) provide a European framework of early intervention programmes and practices and what has been learnt from implementing them in public or private settings. This analysis is then discussed and best practices are suggested to help professionals, health systems and policy makers to improve their local procedures or to develop new proposals for early detection and intervention programmes.</w:t>
      </w:r>
    </w:p>
    <w:p>
      <w:pPr/>
      <w:r>
        <w:rPr>
          <w:b/>
        </w:rPr>
        <w:t>POSSIBLE 2016:</w:t>
      </w:r>
      <w:r>
        <w:t xml:space="preserve"> Medicine and management in European hospitals: a comparative overview — https://doi.org/10.1186/s12913-016-1388-4</w:t>
      </w:r>
    </w:p>
    <w:p>
      <w:pPr/>
      <w:r>
        <w:rPr>
          <w:b/>
        </w:rPr>
        <w:t>Shared claim-specific concepts:</w:t>
      </w:r>
      <w:r>
        <w:t xml:space="preserve"> comparative, overview, they, text; EU scope visible. This is a provisional connection, not an outcome finding.</w:t>
      </w:r>
    </w:p>
    <w:p>
      <w:pPr>
        <w:pStyle w:val="SourceNote"/>
      </w:pPr>
      <w:r>
        <w:rPr>
          <w:b/>
        </w:rPr>
        <w:t>Available abstract (not full text):</w:t>
      </w:r>
      <w:r>
        <w:t xml:space="preserve"> BACKGROUND: Since the early 1980s all European countries have given priority to reforming the management of health services. A distinctive feature of these reforms has also been the drive to co-opt professionals themselves into the management of services, taking on full time or part time (hybrid) management or leadership roles. However, although these trends are well documented in the literature, our understanding of the nature and impact of reforms and how they are re-shaping the relationship between medicine and management remains limited. Most studies have tended to be nationally specific, located within a single discipline and focused primarily on describing new management practices. This article serves as an Introduction to a special issue of BMC Health Services Research which seeks to address these concerns. It builds on the work of a European Union funded COST Action (ISO903) which ran between 2009 and 2013, focusing specifically on the changing relationship between medicine and management in a European context. MAIN TEXT: Prior to describing the contributions to the special issue, this Introduction sets the scene by exploring four main questions which have characterised much of the recent literature on medicine and management. First is the question of what we understand by the changing relationship between medicine and management and in particular which this means for t</w:t>
      </w:r>
    </w:p>
    <w:p>
      <w:pPr/>
      <w:r>
        <w:rPr>
          <w:b/>
        </w:rPr>
        <w:t>POSSIBLE 2016:</w:t>
      </w:r>
      <w:r>
        <w:t xml:space="preserve"> Sixth European Working Conditions Survey – Overview Report — https://openalex.org/W2626195662</w:t>
      </w:r>
    </w:p>
    <w:p>
      <w:pPr/>
      <w:r>
        <w:rPr>
          <w:b/>
        </w:rPr>
        <w:t>Shared claim-specific concepts:</w:t>
      </w:r>
      <w:r>
        <w:t xml:space="preserve"> overview, different; EU scope visible. This is a provisional connection, not an outcome finding.</w:t>
      </w:r>
    </w:p>
    <w:p>
      <w:pPr>
        <w:pStyle w:val="SourceNote"/>
      </w:pPr>
      <w:r>
        <w:rPr>
          <w:b/>
        </w:rPr>
        <w:t>Available abstract (not full text):</w:t>
      </w:r>
      <w:r>
        <w:t xml:space="preserve"> [Excerpt] Since 1991, Eurofound has been monitoring working conditions in Europe through its European Working Conditions Survey (EWCS). The survey aims to measure working conditions across European countries, analyse the relationships between different aspects of these, identify groups at risk, highlight issues of concern and areas of progress and, ultimately, contribute to developing EU policy aimed at improving job quality. In 2015, the sixth EWCS interviewed almost 44,000 workers (both employees and self-employed people) in 35 European countries: the 28 EU Member States, the five EU candidate countries, and Norway and Switzerland. Workers were asked a range of questions concerning employment status, work organisation, learning and training, working time duration and organisation, physical and psychosocial risk factors, health and safety, work–life balance, worker participation, earnings and financial security, as well as work and health.</w:t>
      </w:r>
    </w:p>
    <w:p>
      <w:pPr>
        <w:pStyle w:val="Heading2"/>
      </w:pPr>
      <w:r>
        <w:t>883.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discuss, energy, technology, carbon, focus, security;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Achieving sustainability transitions in residential energy use across Europe: The importance of problem framings — https://doi.org/10.1016/j.enpol.2019.110927</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pPr/>
      <w:r>
        <w:rPr>
          <w:b/>
        </w:rPr>
        <w:t>POSSIBLE 2019:</w:t>
      </w:r>
      <w:r>
        <w:t xml:space="preserve"> A PESTLE Analysis of Biofuels Energy Industry in Europe — https://doi.org/10.3390/su11215981</w:t>
      </w:r>
    </w:p>
    <w:p>
      <w:pPr/>
      <w:r>
        <w:rPr>
          <w:b/>
        </w:rPr>
        <w:t>Shared claim-specific concepts:</w:t>
      </w:r>
      <w:r>
        <w:t xml:space="preserve"> discuss, energy, despite, carbon, technological; EU scope visible. This is a provisional connection, not an outcome finding.</w:t>
      </w:r>
    </w:p>
    <w:p>
      <w:pPr>
        <w:pStyle w:val="SourceNote"/>
      </w:pPr>
      <w:r>
        <w:rPr>
          <w:b/>
        </w:rPr>
        <w:t>Available abstract (not full text):</w:t>
      </w:r>
      <w:r>
        <w:t xml:space="preserve">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pPr/>
      <w:r>
        <w:rPr>
          <w:b/>
        </w:rPr>
        <w:t>POSSIBLE 2019:</w:t>
      </w:r>
      <w:r>
        <w:t xml:space="preserve"> Performance of markets for European renewable energy certificates — https://doi.org/10.1016/j.enpol.2019.01.051</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pPr/>
      <w:r>
        <w:rPr>
          <w:b/>
        </w:rPr>
        <w:t>POSSIBLE 2019:</w:t>
      </w:r>
      <w:r>
        <w:t xml:space="preserve"> Effects of renewable energy on landscape in Europe: Comparison of hydro, wind, solar, bio-, geothermal and infrastructure energy landscapes — https://doi.org/10.15201/hungeobull.68.4.1</w:t>
      </w:r>
    </w:p>
    <w:p>
      <w:pPr/>
      <w:r>
        <w:rPr>
          <w:b/>
        </w:rPr>
        <w:t>Shared claim-specific concepts:</w:t>
      </w:r>
      <w:r>
        <w:t xml:space="preserve"> energy, technological; EU scope visible. This is a provisional connection, not an outcome finding.</w:t>
      </w:r>
    </w:p>
    <w:p>
      <w:pPr>
        <w:pStyle w:val="SourceNote"/>
      </w:pPr>
      <w:r>
        <w:rPr>
          <w:b/>
        </w:rPr>
        <w:t>Available abstract (not full text):</w:t>
      </w:r>
      <w:r>
        <w:t xml:space="preserve">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884.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r>
        <w:rPr>
          <w:b/>
        </w:rPr>
        <w:t>POSSIBLE 2021:</w:t>
      </w:r>
      <w:r>
        <w:t xml:space="preserve"> Negative-emissions technology portfolios to meet the 1.5 °C target — https://doi.org/10.1016/j.gloenvcha.2021.102238</w:t>
      </w:r>
    </w:p>
    <w:p>
      <w:pPr/>
      <w:r>
        <w:rPr>
          <w:b/>
        </w:rPr>
        <w:t>Shared claim-specific concepts:</w:t>
      </w:r>
      <w:r>
        <w:t xml:space="preserve"> meet, target, carbon, present; EU scope not established. This is a provisional connection, not an outcome finding.</w:t>
      </w:r>
    </w:p>
    <w:p>
      <w:pPr>
        <w:pStyle w:val="SourceNote"/>
      </w:pPr>
      <w:r>
        <w:rPr>
          <w:b/>
        </w:rPr>
        <w:t>Available abstract (not full text):</w:t>
      </w:r>
      <w:r>
        <w:t xml:space="preserve"> Our carbon-intensive economy has led to an average temperature rise of 1 °C since pre-industrial times. As a consequence, the world has seen increasing droughts, significant shrinking of the polar ice caps, and steady sea-level rise. To stall these issues’ worsening further, we must limit global warming to 1.5 °C. In addition to the economy’s decarbonization, this endeavour requires the use of negative-emissions technologies (NETs) that remove the main greenhouse gas, carbon dioxide, from the atmosphere. While techno-economic feasibility alone has driven the definition of negative-emissions solutions, NETs’ diverse, far-reaching implications demand a more holistic assessment. Here, we present a comprehensive framework, integrating NETs’ critical performance aspects of feasibility, effectiveness, and side impacts, to define the optimal technology mix within realistic outlooks. The resulting technology portfolios provide a useful new benchmark to compare carbon avoidance and removal measures and deliberately choose the best path to solve the climate emergency.</w:t>
      </w:r>
    </w:p>
    <w:p>
      <w:pPr/>
      <w:r>
        <w:rPr>
          <w:b/>
        </w:rPr>
        <w:t>POSSIBLE 2021:</w:t>
      </w:r>
      <w:r>
        <w:t xml:space="preserve"> Direct air capture of CO2: A response to meet the global climate targets — https://doi.org/10.1557/s43581-021-00005-9</w:t>
      </w:r>
    </w:p>
    <w:p>
      <w:pPr/>
      <w:r>
        <w:rPr>
          <w:b/>
        </w:rPr>
        <w:t>Shared claim-specific concepts:</w:t>
      </w:r>
      <w:r>
        <w:t xml:space="preserve"> meet, target, carbon, emissions, energy, high; EU scope not established. This is a provisional connection, not an outcome finding.</w:t>
      </w:r>
    </w:p>
    <w:p>
      <w:pPr>
        <w:pStyle w:val="SourceNote"/>
      </w:pPr>
      <w:r>
        <w:rPr>
          <w:b/>
        </w:rPr>
        <w:t>Available abstract (not full text):</w:t>
      </w:r>
      <w:r>
        <w:t xml:space="preserve"> Highlights DAC can help deal with difficult to avoid emissions. Large-scale deployment of DAC requires serious government, private, and corporate support and investment particularly to offset the capital cost as well as operational costs. Further optimizations to the costs can be found in choice of energy source as well as advances in CO 2 capture technology such as high capacity and selectivity materials, faster reaction kinetics, and ease of reusability. Abstract Direct air capture (DAC) technologies are receiving increasing attention from the scientific community, commercial enterprises, policymakers and governments. While deep decarbonization of all sectors is required to meet the Paris Agreement target, DAC can help deal with difficult to avoid emissions (aviation, ocean-shipping, iron-steel, cement, mining, plastics, fertilizers, pulp and paper). While large-scale deployment of DAC discussions continues, a closer look to the capital and operational costs, different capture technologies, the choice of energy source, land and water requirements, and other environmental impacts of DAC are reviewed and examined. Cost per ton of CO 2 captured discussions of leading industrial DAC developers with their carbon capture technologies are presented, and their detailed cost comparisons are evaluated based on the choice of energy operation together with process energy requirements. Va</w:t>
      </w:r>
    </w:p>
    <w:p>
      <w:pPr/>
      <w:r>
        <w:rPr>
          <w:b/>
        </w:rPr>
        <w:t>POSSIBLE 2019:</w:t>
      </w:r>
      <w:r>
        <w:t xml:space="preserve"> IFRS Reconciliation Adjustment and Subsequent Meet or Beat Target Earnings — https://doi.org/10.13106/jafeb.2019.vol6.no1.33</w:t>
      </w:r>
    </w:p>
    <w:p>
      <w:pPr/>
      <w:r>
        <w:rPr>
          <w:b/>
        </w:rPr>
        <w:t>Shared claim-specific concepts:</w:t>
      </w:r>
      <w:r>
        <w:t xml:space="preserve"> order, meet, target; EU scope not established. This is a provisional connection, not an outcome finding.</w:t>
      </w:r>
    </w:p>
    <w:p>
      <w:pPr>
        <w:pStyle w:val="SourceNote"/>
      </w:pPr>
      <w:r>
        <w:rPr>
          <w:b/>
        </w:rPr>
        <w:t>Available abstract (not full text):</w:t>
      </w:r>
      <w:r>
        <w:t xml:space="preserve"> This study analyzed the association between IFRS adjustments, measured with the IFRS reconciliations, and the subsequent meeting of target earnings. IFRS adjustments include the amounts to be adjusted intentionally, as well as the differences in accounting standards. This study estimated intentional IFRS adjustments and analyzed their association with meeting target earnings. As the results of our analysis, meeting target earnings was associated positively with intentional IFRS adjustments for the total assets, was negatively associated with them for current assets, and was positively associated with them for non-current assets. Since understatement of current assets can be realized into earnings in a short period of time, it seems that current assets were underestimated intentionally in order to meet target earnings subsequently. In contrast, it is considered that non-current assets were overestimated to make them more likely to meet target earnings either by increasing the firm size or by improving financial solvency. The results of this study imply that IFRS adjustments are useful to manage earnings for meeting target earnings. Since accounting standards may be established and revised constantly, which adjustments for them may occur, the results on IFRS adjustments are expected to have implications for investors, policy-makers, and standards establishment entities.</w:t>
      </w:r>
    </w:p>
    <w:p>
      <w:pPr/>
      <w:r>
        <w:rPr>
          <w:b/>
        </w:rPr>
        <w:t>POSSIBLE 2018:</w:t>
      </w:r>
      <w:r>
        <w:t xml:space="preserve"> Uneven conservation efforts compromise Brazil to meet the Target 11 of Convention on Biological Diversity — https://doi.org/10.1016/j.pecon.2017.12.001</w:t>
      </w:r>
    </w:p>
    <w:p>
      <w:pPr/>
      <w:r>
        <w:rPr>
          <w:b/>
        </w:rPr>
        <w:t>Shared claim-specific concepts:</w:t>
      </w:r>
      <w:r>
        <w:t xml:space="preserve"> order, meet, target, system, high; EU scope not established. This is a provisional connection, not an outcome finding.</w:t>
      </w:r>
    </w:p>
    <w:p>
      <w:pPr>
        <w:pStyle w:val="SourceNote"/>
      </w:pPr>
      <w:r>
        <w:rPr>
          <w:b/>
        </w:rPr>
        <w:t>Available abstract (not full text):</w:t>
      </w:r>
      <w:r>
        <w:t xml:space="preserve"> • Aichis Target 11 has not been adequately met. • Quality of the management of Conservation Units was poor for all indicators. • The only biome properly covered by Conservation Units in Brazil is the Amazon. • Areas of Environmental Protection offer poor protection and predominate in the system. • The funds for management should be at least 3.4 times bigger than current budget. Brazil is the most biodiverse country in the world. It performed an expansion of its Protected Areas system in order to better preserve nature and to accomplish international agreements, such as the Target 11 of the Convention on Biological Diversity, which establishes a minimum percentage of territorial coverage and adequate management of Protected Areas (PAs). We evaluated the achievement of those objectives by analyzing the distribution of Conservation Units (CUs), Indigenous Territories and other classes of PAs on Brazilian biomes, as well as their current management situation. The country is unlikely to meet the target due to the lack of PAs outside the Amazon biome and to poor CUs management conditions, whose main causes are the fragile financial situation of environmental agencies and the high costs of land tenure regularization. In addition to other environmental policies setbacks, the Brazilian environmental leadership is seriously threatened.</w:t>
      </w:r>
    </w:p>
    <w:p>
      <w:pPr/>
      <w:r>
        <w:rPr>
          <w:b/>
        </w:rPr>
        <w:t>POSSIBLE 2018:</w:t>
      </w:r>
      <w:r>
        <w:t xml:space="preserve"> Brazilian Flora 2020: Innovation and collaboration to meet Target 1 of the Global Strategy for Plant Conservation (GSPC) — https://doi.org/10.1590/2175-7860201869402</w:t>
      </w:r>
    </w:p>
    <w:p>
      <w:pPr/>
      <w:r>
        <w:rPr>
          <w:b/>
        </w:rPr>
        <w:t>Shared claim-specific concepts:</w:t>
      </w:r>
      <w:r>
        <w:t xml:space="preserve"> meet, target, systems, present; EU scope not established. This is a provisional connection, not an outcome finding.</w:t>
      </w:r>
    </w:p>
    <w:p>
      <w:pPr>
        <w:pStyle w:val="SourceNote"/>
      </w:pPr>
      <w:r>
        <w:rPr>
          <w:b/>
        </w:rPr>
        <w:t>Available abstract (not full text):</w:t>
      </w:r>
      <w:r>
        <w:t xml:space="preserve"> Abstract The Global Strategy for Plant Conservation (GSPC) was established by the Conference of Parties in 2002 to decrease the loss of plant diversity, reduce poverty and contribute to sustainable development. To achieve this overarching goal, the GSPC has established a series of targets, one of which is to ensure that plant diversity is well understood, so that it can be effectively conserved and used in a sustainable manner. Brazil hosts more than 46,000 species of plants, algae and fungi, representing one of the most biodiverse countries on Earth, and playing a key role in the GSPC. To meet the GSPC goals of Target 1 and facilitate access to plant diversity, Brazil committed to preparing the List of Species of the Brazilian Flora (2008-2015) and the Brazilian Flora 2020 (2016-present). Managing all the information associated with such great biodiversity has proven to be an extremely challenging task. Here, we synthesize the history of these projects, focusing on the multidisciplinary and collaborative approach adopted to develop and manage the inclusion of all the knowledge generated though digital information systems. We further describe the methods used, challenges faced, and strategies adopted, as well as summarize advances to date and prospects for completing the Brazilian flora in 2020.</w:t>
      </w:r>
    </w:p>
    <w:p>
      <w:pPr/>
      <w:r>
        <w:rPr>
          <w:b/>
        </w:rPr>
        <w:t>POSSIBLE 2017:</w:t>
      </w:r>
      <w:r>
        <w:t xml:space="preserve"> Tianqi could ramp up mine output to meet lithium target — https://openalex.org/W2898820048</w:t>
      </w:r>
    </w:p>
    <w:p>
      <w:pPr/>
      <w:r>
        <w:rPr>
          <w:b/>
        </w:rPr>
        <w:t>Shared claim-specific concepts:</w:t>
      </w:r>
      <w:r>
        <w:t xml:space="preserve"> order, meet, target; EU scope not established. This is a provisional connection, not an outcome finding.</w:t>
      </w:r>
    </w:p>
    <w:p>
      <w:pPr>
        <w:pStyle w:val="SourceNote"/>
      </w:pPr>
      <w:r>
        <w:rPr>
          <w:b/>
        </w:rPr>
        <w:t>Available abstract (not full text):</w:t>
      </w:r>
      <w:r>
        <w:t xml:space="preserve"> In order to ensure sufficient raw material supply to meet its 100,000tpa lithium chemical production target, Chinese producer Tianqi could further increase spodumene output at its joint-venture Australian mine or speed up production at its new Sichuan project.</w:t>
        <w:br/>
        <w:br/>
        <w:br/>
        <w:br/>
        <w:t>Chinese producer Tianqi Lithium Corp could ramp up spodumene production at joint-venture Talison Lithium Ltd and speed up progress of its Sichuan project in order to meet internal raw material demand.</w:t>
        <w:br/>
        <w:br/>
        <w:br/>
        <w:br/>
        <w:t>During a question and answer session in mid August, investors questioned Tianqi on the supply gap as the lithium concentrate output at Talison mine in Australia as still insufficient to meet Tianqi's demand.</w:t>
        <w:br/>
        <w:br/>
        <w:br/>
        <w:br/>
        <w:t>Talison - a JV between Albermarle Corp and Tianqi - has been expanding its lithium concentrate production at its Greenbushes spodumene mine in Australia. The 1.34m tpa spodumene ramp-up at Talison was scheduled to be completed in Q2 2019.</w:t>
      </w:r>
    </w:p>
    <w:p>
      <w:pPr/>
      <w:r>
        <w:rPr>
          <w:b/>
        </w:rPr>
        <w:t>POSSIBLE 2016:</w:t>
      </w:r>
      <w:r>
        <w:t xml:space="preserve"> Reducing emissions from agriculture to meet the 2 °C target — https://doi.org/10.1111/gcb.13340</w:t>
      </w:r>
    </w:p>
    <w:p>
      <w:pPr/>
      <w:r>
        <w:rPr>
          <w:b/>
        </w:rPr>
        <w:t>Shared claim-specific concepts:</w:t>
      </w:r>
      <w:r>
        <w:t xml:space="preserve"> meet, target, carbon, emissions; EU scope not established. This is a provisional connection, not an outcome finding.</w:t>
      </w:r>
    </w:p>
    <w:p>
      <w:pPr>
        <w:pStyle w:val="SourceNote"/>
      </w:pPr>
      <w:r>
        <w:rPr>
          <w:b/>
        </w:rPr>
        <w:t>Available abstract (not full text):</w:t>
      </w:r>
      <w:r>
        <w:t xml:space="preserve"> Abstract More than 100 countries pledged to reduce agricultural greenhouse gas (GHG) emissions in the 2015 Paris Agreement of the United Nations Framework Convention on Climate Change. Yet technical information about how much mitigation is needed in the sector vs. how much is feasible remains poor. We identify a preliminary global target for reducing emissions from agriculture of ~1 GtCO2e yr−1by 2030 to limit warming in 2100 to 2 °C above pre‐industrial levels. Yet plausible agricultural development pathways with mitigation cobenefits deliver only 21–40% of needed mitigation. The target indicates that more transformative technical and policy options will be needed, such as methane inhibitors and finance for new practices. A more comprehensive target for the 2 °C limit should be developed to include soil carbon and agriculture‐related mitigation options. Excluding agricultural emissions from mitigation targets and plans will increase the cost of mitigation in other sectors or reduce the feasibility of meeting the 2 °C limit.</w:t>
      </w:r>
    </w:p>
    <w:p>
      <w:pPr/>
      <w:r>
        <w:rPr>
          <w:b/>
        </w:rPr>
        <w:t>POSSIBLE 2016:</w:t>
      </w:r>
      <w:r>
        <w:t xml:space="preserve"> Work stealing for interactive services to meet target latency — https://doi.org/10.1145/2851141.2851151</w:t>
      </w:r>
    </w:p>
    <w:p>
      <w:pPr/>
      <w:r>
        <w:rPr>
          <w:b/>
        </w:rPr>
        <w:t>Shared claim-specific concepts:</w:t>
      </w:r>
      <w:r>
        <w:t xml:space="preserve"> meet, target, systems; EU scope not established. This is a provisional connection, not an outcome finding.</w:t>
      </w:r>
    </w:p>
    <w:p>
      <w:pPr>
        <w:pStyle w:val="SourceNote"/>
      </w:pPr>
      <w:r>
        <w:rPr>
          <w:b/>
        </w:rPr>
        <w:t>Available abstract (not full text):</w:t>
      </w:r>
      <w:r>
        <w:t xml:space="preserve"> Interactive web services increasingly drive critical business workloads such as search, advertising, games, shopping, and finance. Whereas optimizing parallel programs and distributed server systems have historically focused on average latency and throughput, the primary metric for interactive applications is instead consistent responsiveness, i.e., minimizing the number of requests that miss a target latency. This paper is the first to show how to generalize work-stealing, which is traditionally used to minimize the makespan of a single parallel job, to optimize for a target latency in interactive services with multiple parallel requests.</w:t>
      </w:r>
    </w:p>
    <w:p>
      <w:pPr/>
      <w:r>
        <w:rPr>
          <w:b/>
        </w:rPr>
        <w:t>POSSIBLE 2015:</w:t>
      </w:r>
      <w:r>
        <w:t xml:space="preserve"> Nominal GDP Targeting: A Policy Recommendation to Meet the Fed’s Dual Mandate — https://openalex.org/W851463466</w:t>
      </w:r>
    </w:p>
    <w:p>
      <w:pPr/>
      <w:r>
        <w:rPr>
          <w:b/>
        </w:rPr>
        <w:t>Shared claim-specific concepts:</w:t>
      </w:r>
      <w:r>
        <w:t xml:space="preserve"> order, meet, challenge; EU scope not established. This is a provisional connection, not an outcome finding.</w:t>
      </w:r>
    </w:p>
    <w:p>
      <w:pPr>
        <w:pStyle w:val="SourceNote"/>
      </w:pPr>
      <w:r>
        <w:rPr>
          <w:b/>
        </w:rPr>
        <w:t>Available abstract (not full text):</w:t>
      </w:r>
      <w:r>
        <w:t xml:space="preserve"> This paper was written in early December 2014 in response to the Federal Reserve Challenge Team’s argument for a regime change in the Federal Reserve to nominal GDP targeting as the appropriate policy to return the U.S. economy to long-term sustainable economic growth. After the 2007 recession, the FOMC took extraordinary measures to minimize the collateral damage caused by bank balance sheets weighed down with mortgage-backed securities and other below-investment grade assets. The periodic “stress tests” and use of emergency lending facilities were historically unprecedented, however, the economy six years later was still growing slowly in part due to market uncertainty with FOMC forward guidance policy. This paper argues that the Fed is justified in using a policy that risks short-term rapid inflation in order to meet the “dual mandate” of full employment and price stability, and to prevent cyclical unemployment in the economy from deteriorating into structural unemployment.</w:t>
      </w:r>
    </w:p>
    <w:p>
      <w:pPr>
        <w:pStyle w:val="Heading2"/>
      </w:pPr>
      <w:r>
        <w:t>885.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r>
        <w:rPr>
          <w:b/>
        </w:rPr>
        <w:t>POSSIBLE 2021:</w:t>
      </w:r>
      <w:r>
        <w:t xml:space="preserve"> European Resuscitation Council Guidelines 2021: Ethics of resuscitation and end of life decisions — https://doi.org/10.1016/j.resuscitation.2021.02.017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pPr/>
      <w:r>
        <w:rPr>
          <w:b/>
        </w:rPr>
        <w:t>POSSIBLE 2021:</w:t>
      </w:r>
      <w:r>
        <w:t xml:space="preserve"> Vaccination as a Matter of Security and Security Management in European Union — https://doi.org/10.35808/ersj/2729</w:t>
      </w:r>
    </w:p>
    <w:p>
      <w:pPr/>
      <w:r>
        <w:rPr>
          <w:b/>
        </w:rPr>
        <w:t>Shared claim-specific concepts:</w:t>
      </w:r>
      <w:r>
        <w:t xml:space="preserve"> making, including, security, process, possible; EU scope visible. This is a provisional connection, not an outcome finding.</w:t>
      </w:r>
    </w:p>
    <w:p>
      <w:pPr>
        <w:pStyle w:val="SourceNote"/>
      </w:pPr>
      <w:r>
        <w:rPr>
          <w:b/>
        </w:rPr>
        <w:t>Available abstract (not full text):</w:t>
      </w:r>
      <w:r>
        <w:t xml:space="preserve">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pPr/>
      <w:r>
        <w:rPr>
          <w:b/>
        </w:rPr>
        <w:t>POSSIBLE 2021:</w:t>
      </w:r>
      <w:r>
        <w:t xml:space="preserve"> A Security-by-Design Decision-Making Model for Risk Management in Autonomous Vehicles — https://doi.org/10.1109/access.2021.3098675</w:t>
      </w:r>
    </w:p>
    <w:p>
      <w:pPr/>
      <w:r>
        <w:rPr>
          <w:b/>
        </w:rPr>
        <w:t>Shared claim-specific concepts:</w:t>
      </w:r>
      <w:r>
        <w:t xml:space="preserve"> security, process, methods, used; EU scope not established. This is a provisional connection, not an outcome finding.</w:t>
      </w:r>
    </w:p>
    <w:p>
      <w:pPr>
        <w:pStyle w:val="SourceNote"/>
      </w:pPr>
      <w:r>
        <w:rPr>
          <w:b/>
        </w:rPr>
        <w:t>Available abstract (not full text):</w:t>
      </w:r>
      <w:r>
        <w:t xml:space="preserve">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pPr/>
      <w:r>
        <w:rPr>
          <w:b/>
        </w:rPr>
        <w:t>POSSIBLE 2020:</w:t>
      </w:r>
      <w:r>
        <w:t xml:space="preserve"> Storylines for decision-making: climate and food security in Namibia — https://doi.org/10.1080/17565529.2020.1808438</w:t>
      </w:r>
    </w:p>
    <w:p>
      <w:pPr/>
      <w:r>
        <w:rPr>
          <w:b/>
        </w:rPr>
        <w:t>Shared claim-specific concepts:</w:t>
      </w:r>
      <w:r>
        <w:t xml:space="preserve"> security, used, possible; EU scope not established. This is a provisional connection, not an outcome finding.</w:t>
      </w:r>
    </w:p>
    <w:p>
      <w:pPr>
        <w:pStyle w:val="SourceNote"/>
      </w:pPr>
      <w:r>
        <w:rPr>
          <w:b/>
        </w:rPr>
        <w:t>Available abstract (not full text):</w:t>
      </w:r>
      <w:r>
        <w:t xml:space="preserve">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pPr/>
      <w:r>
        <w:rPr>
          <w:b/>
        </w:rPr>
        <w:t>POSSIBLE 2019:</w:t>
      </w:r>
      <w:r>
        <w:t xml:space="preserve"> The European guideline on management of major bleeding and coagulopathy following trauma: fifth edition — https://doi.org/10.1186/s13054-019-2347-3</w:t>
      </w:r>
    </w:p>
    <w:p>
      <w:pPr/>
      <w:r>
        <w:rPr>
          <w:b/>
        </w:rPr>
        <w:t>Shared claim-specific concepts:</w:t>
      </w:r>
      <w:r>
        <w:t xml:space="preserve"> major, including, process, methods; EU scope visible. This is a provisional connection, not an outcome finding.</w:t>
      </w:r>
    </w:p>
    <w:p>
      <w:pPr>
        <w:pStyle w:val="SourceNote"/>
      </w:pPr>
      <w:r>
        <w:rPr>
          <w:b/>
        </w:rPr>
        <w:t>Available abstract (not full text):</w:t>
      </w:r>
      <w:r>
        <w:t xml:space="preserve">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886.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r>
        <w:rPr>
          <w:b/>
        </w:rPr>
        <w:t>POSSIBLE 2022:</w:t>
      </w:r>
      <w:r>
        <w:t xml:space="preserve"> Direct and indirect effect of European Uniondirectives in the context of European UnionCourt of Justice decisions — https://doi.org/10.46925//rdluz.38.06</w:t>
      </w:r>
    </w:p>
    <w:p>
      <w:pPr/>
      <w:r>
        <w:rPr>
          <w:b/>
        </w:rPr>
        <w:t>Shared claim-specific concepts:</w:t>
      </w:r>
      <w:r>
        <w:t xml:space="preserve"> direct, indirect, particular; EU scope visible. This is a provisional connection, not an outcome finding.</w:t>
      </w:r>
    </w:p>
    <w:p>
      <w:pPr>
        <w:pStyle w:val="SourceNote"/>
      </w:pPr>
      <w:r>
        <w:rPr>
          <w:b/>
        </w:rPr>
        <w:t>Available abstract (not full text):</w:t>
      </w:r>
      <w:r>
        <w:t xml:space="preserve">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pPr/>
      <w:r>
        <w:rPr>
          <w:b/>
        </w:rPr>
        <w:t>POSSIBLE 2022:</w:t>
      </w:r>
      <w:r>
        <w:t xml:space="preserve"> Investigating the Effects of Climate Change on Structural Actions — https://doi.org/10.1080/10168664.2022.2098894</w:t>
      </w:r>
    </w:p>
    <w:p>
      <w:pPr/>
      <w:r>
        <w:rPr>
          <w:b/>
        </w:rPr>
        <w:t>Shared claim-specific concepts:</w:t>
      </w:r>
      <w:r>
        <w:t xml:space="preserve"> investigate, direct, indirect, climate, likely, consequences; EU scope visible. This is a provisional connection, not an outcome finding.</w:t>
      </w:r>
    </w:p>
    <w:p>
      <w:pPr>
        <w:pStyle w:val="SourceNote"/>
      </w:pPr>
      <w:r>
        <w:rPr>
          <w:b/>
        </w:rPr>
        <w:t>Available abstract (not full text):</w:t>
      </w:r>
      <w:r>
        <w:t xml:space="preserve">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pPr/>
      <w:r>
        <w:rPr>
          <w:b/>
        </w:rPr>
        <w:t>POSSIBLE 2021:</w:t>
      </w:r>
      <w:r>
        <w:t xml:space="preserve"> Investigating direct and indirect globalization-based acculturation — https://doi.org/10.1016/j.ijintrel.2021.07.012</w:t>
      </w:r>
    </w:p>
    <w:p>
      <w:pPr/>
      <w:r>
        <w:rPr>
          <w:b/>
        </w:rPr>
        <w:t>Shared claim-specific concepts:</w:t>
      </w:r>
      <w:r>
        <w:t xml:space="preserve"> direct, indirect, associated; EU scope not established. This is a provisional connection, not an outcome finding.</w:t>
      </w:r>
    </w:p>
    <w:p>
      <w:pPr>
        <w:pStyle w:val="SourceNote"/>
      </w:pPr>
      <w:r>
        <w:rPr>
          <w:b/>
        </w:rPr>
        <w:t>Available abstract (not full text):</w:t>
      </w:r>
      <w:r>
        <w:t xml:space="preserve">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Climate Change and Glacier Reaction in the European Alps — https://doi.org/10.1093/acrefore/9780190228620.013.763</w:t>
      </w:r>
    </w:p>
    <w:p>
      <w:pPr/>
      <w:r>
        <w:rPr>
          <w:b/>
        </w:rPr>
        <w:t>Shared claim-specific concepts:</w:t>
      </w:r>
      <w:r>
        <w:t xml:space="preserve"> direct, climate, important, particular; EU scope visible. This is a provisional connection, not an outcome finding.</w:t>
      </w:r>
    </w:p>
    <w:p>
      <w:pPr>
        <w:pStyle w:val="SourceNote"/>
      </w:pPr>
      <w:r>
        <w:rPr>
          <w:b/>
        </w:rPr>
        <w:t>Available abstract (not full text):</w:t>
      </w:r>
      <w:r>
        <w:t xml:space="preserve">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pPr/>
      <w:r>
        <w:rPr>
          <w:b/>
        </w:rPr>
        <w:t>POSSIBLE 2020:</w:t>
      </w:r>
      <w:r>
        <w:t xml:space="preserve"> Investigating the direct and indirect effects of forest fragmentation on plant functional diversity — https://doi.org/10.1371/journal.pone.0235210</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887.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r>
        <w:rPr>
          <w:b/>
        </w:rPr>
        <w:t>POSSIBLE 2022:</w:t>
      </w:r>
      <w:r>
        <w:t xml:space="preserve"> Healthcare resource utilisation and medical costs for children with interstitial lung diseases (chILD) in Europe — https://doi.org/10.1136/thoraxjnl-2021-217751</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BACKGROUND: No data on healthcare utilisation and associated costs for the many rare entities of children's interstitial lung diseases (chILD) exist. This paper portrays healthcare utilisation structures among individuals with chILD, provides a pan-European estimate of a 3-month interval per-capita costs and delineates crucial cost drivers. METHODS: Based on longitudinal healthcare resource utilisation pattern of 445 children included in the Kids Lung Register diagnosed with chILD across 10 European countries, we delineated direct medical and non-medical costs of care per 3-month interval. Country-specific utilisation patterns were assessed with a children-tailored modification of the validated FIMA questionnaire and valued by German unit costs. Costs of care and their drivers were subsequently identified via gamma-distributed generalised linear regression models. RESULTS: During the 3 months prior to inclusion into the registry (baseline), the rate of hospital admissions and inpatient days was high. Unadjusted direct medical per capita costs (€19 818) exceeded indirect (€1 907) and direct non-medical costs (€1 125) by far. Country-specific total costs ranged from €8 713 in Italy to €28 788 in Poland. Highest expenses were caused by the disease categories 'diffuse parenchymal lung disease (DPLD)-diffuse developmental disorders' (€45 536) and 'DPLD-unclear in the non-neonate' (€</w:t>
      </w:r>
    </w:p>
    <w:p>
      <w:pPr/>
      <w:r>
        <w:rPr>
          <w:b/>
        </w:rPr>
        <w:t>POSSIBLE 2022:</w:t>
      </w:r>
      <w:r>
        <w:t xml:space="preserve"> Direct healthcare costs of Rome IV or Rome III ‐defined irritable bowel syndrome in the United Kingdom — https://doi.org/10.1111/apt.16939</w:t>
      </w:r>
    </w:p>
    <w:p>
      <w:pPr/>
      <w:r>
        <w:rPr>
          <w:b/>
        </w:rPr>
        <w:t>Shared claim-specific concepts:</w:t>
      </w:r>
      <w:r>
        <w:t xml:space="preserve"> direct, healthcare, billion; EU scope not established. This is a provisional connection, not an outcome finding.</w:t>
      </w:r>
    </w:p>
    <w:p>
      <w:pPr>
        <w:pStyle w:val="SourceNote"/>
      </w:pPr>
      <w:r>
        <w:rPr>
          <w:b/>
        </w:rPr>
        <w:t>Available abstract (not full text):</w:t>
      </w:r>
      <w:r>
        <w:t xml:space="preserve"> BACKGROUND: Previous studies have demonstrated a substantial economic impact of irritable bowel syndrome (IBS). AIMS: To provide contemporaneous estimates of direct healthcare costs of IBS in the United Kingdom. METHODS: We collected demographic, gastrointestinal and psychological symptoms, quality of life and healthcare usage data from adults with Rome IV or Rome III IBS in the United Kingdom. We calculated the mean annual direct healthcare costs of IBS per person and used contemporaneous IBS prevalence data, together with census data, to estimate annual direct costs of IBS. We also examined predictors of higher costs. RESULTS: The mean annual direct cost of IBS per person among 752 individuals with Rome IV IBS was £556.65 (SD £1023.92) and £474.16 (SD £897.86) for 995 individuals with Rome III IBS. We estimate the annual direct healthcare cost of IBS in the United Kingdom is £1.27 billion if the Rome IV criteria are used to define IBS, and £2.07 billion using Rome III. Among individuals with Rome IV IBS, mean annual costs were higher in those with opiate use (£907.90 vs £470.58, p &lt; 0.001), more severe symptoms (p &lt; 0.001 for trend), a shorter duration of IBS (1 year, £1227.14 vs &gt;5 years £501.60, p = 0.002), lower quality of life (p &lt; 0.001 for trend), and higher depression, somatisation and gastrointestinal symptom-specific anxiety scores (P &lt; 0.001 for trend for all). CONC</w:t>
      </w:r>
    </w:p>
    <w:p>
      <w:pPr/>
      <w:r>
        <w:rPr>
          <w:b/>
        </w:rPr>
        <w:t>POSSIBLE 2021:</w:t>
      </w:r>
      <w:r>
        <w:t xml:space="preserve"> Direct healthcare costs of lip, oral cavity and oropharyngeal cancer in Brazil — https://doi.org/10.1371/journal.pone.0246475</w:t>
      </w:r>
    </w:p>
    <w:p>
      <w:pPr/>
      <w:r>
        <w:rPr>
          <w:b/>
        </w:rPr>
        <w:t>Shared claim-specific concepts:</w:t>
      </w:r>
      <w:r>
        <w:t xml:space="preserve"> direct, healthcare, associated, million, spent, over; EU scope not established. This is a provisional connection, not an outcome finding.</w:t>
      </w:r>
    </w:p>
    <w:p>
      <w:pPr>
        <w:pStyle w:val="SourceNote"/>
      </w:pPr>
      <w:r>
        <w:rPr>
          <w:b/>
        </w:rPr>
        <w:t>Available abstract (not full text):</w:t>
      </w:r>
      <w:r>
        <w:t xml:space="preserve"> The efficiency of public policies includes the measurement of the health resources used and their associated costs. There is a lack of studies evaluating the economic impact of oral cancer (OC). This study aims to estimate the healthcare costs of OC in Brazil from 2008 to 2016. This is a partial economic evaluation using the gross costing top-down method, considering the direct healthcare costs related to outpatients, inpatients, intensive care units, and the number of procedures, from the perspective of the public health sector. The data were extracted from the Outpatient and Inpatient Information System of the National Health System, by diagnosis according to the 10th Revision of the International Classification of Diseases, according to sites of interest: C00 to C06, C09 and C10. The values were adjusted for annual accumulated inflation and expressed in 2018 I$ (1 I$ = R$2,044). Expenditure on OC healthcare in Brazil was I$495.6 million, which was composed of 50.8% (I$251.6 million) outpatient and 49.2% (I$244.0 million) inpatient healthcare. About 177,317 admissions and 6,224,236 outpatient procedures were registered. Chemotherapy and radiotherapy comprised the largest number of procedures (88.8%) and costs (94.9%). Most of the costs were spent on people over 50 years old (72.9%) and on males (75.6%). Direct healthcare costs in Brazil for OC are substantial. Outpatient proc</w:t>
      </w:r>
    </w:p>
    <w:p>
      <w:pPr/>
      <w:r>
        <w:rPr>
          <w:b/>
        </w:rPr>
        <w:t>POSSIBLE 2020:</w:t>
      </w:r>
      <w:r>
        <w:t xml:space="preserve"> Real‐world data for direct stage‐specific costs of melanoma healthcare — https://doi.org/10.1111/bjd.18896</w:t>
      </w:r>
    </w:p>
    <w:p>
      <w:pPr/>
      <w:r>
        <w:rPr>
          <w:b/>
        </w:rPr>
        <w:t>Shared claim-specific concepts:</w:t>
      </w:r>
      <w:r>
        <w:t xml:space="preserve"> direct, healthcare, population; EU scope visible. This is a provisional connection, not an outcome finding.</w:t>
      </w:r>
    </w:p>
    <w:p>
      <w:pPr>
        <w:pStyle w:val="SourceNote"/>
      </w:pPr>
      <w:r>
        <w:rPr>
          <w:b/>
        </w:rPr>
        <w:t>Available abstract (not full text):</w:t>
      </w:r>
      <w:r>
        <w:t xml:space="preserve"> Dear Editor, In Europe, melanoma is the fourth most common cancer diagnosed in young adults (20–45 years old).1 It also has one of the fastest‐growing incidence rates globally, and this trend is expected to continue in all European countries.2 Thus, and also due to the costly new treatment options available, the economic burden of this illness is expected to keep increasing as well.3 In times of limited resources, evidence of the cost of a disease should be among the main pillars supporting policymakers. Thus, we aimed to provide a detailed estimate of the real‐world, stage‐specific, direct healthcare costs of melanoma from the perspective of the Italian National Healthcare Service, to enable policymakers to draw comparisons and make decisions regarding the allocation of public resources in this era of promising, but expensive, novel pharmacological strategies. We considered 599 cases of melanoma diagnosed in 2015 in four provinces of the Veneto region. Melanomas of unknown thickness at diagnosis (39 patients) were disregarded. We considered the costs of delivering care to patients from the first suspicion of pathology until the end of the second year after the diagnosis, stratified by cost item and tumour–nodes–metastasis (TNM) stage of melanoma at diagnosis, in two ways. We calculated firstly, overall costs (including all the health expenditures of a given patient) and second</w:t>
      </w:r>
    </w:p>
    <w:p>
      <w:pPr/>
      <w:r>
        <w:rPr>
          <w:b/>
        </w:rPr>
        <w:t>POSSIBLE 2020:</w:t>
      </w:r>
      <w:r>
        <w:t xml:space="preserve"> Estimate of Burden and Direct Healthcare Cost of Infectious Waterborne Disease in the United States — https://doi.org/10.3201/eid2701.190676</w:t>
      </w:r>
    </w:p>
    <w:p>
      <w:pPr/>
      <w:r>
        <w:rPr>
          <w:b/>
        </w:rPr>
        <w:t>Shared claim-specific concepts:</w:t>
      </w:r>
      <w:r>
        <w:t xml:space="preserve"> direct, healthcare, billion, million; EU scope not established. This is a provisional connection, not an outcome finding.</w:t>
      </w:r>
    </w:p>
    <w:p>
      <w:pPr>
        <w:pStyle w:val="SourceNote"/>
      </w:pPr>
      <w:r>
        <w:rPr>
          <w:b/>
        </w:rPr>
        <w:t>Available abstract (not full text):</w:t>
      </w:r>
      <w:r>
        <w:t xml:space="preserve"> Provision of safe drinking water in the United States is a great public health achievement. However, new waterborne disease challenges have emerged (e.g., aging infrastructure, chlorine-tolerant and biofilm-related pathogens, increased recreational water use). Comprehensive estimates of the health burden for all water exposure routes (ingestion, contact, inhalation) and sources (drinking, recreational, environmental) are needed. We estimated total illnesses, emergency department (ED) visits, hospitalizations, deaths, and direct healthcare costs for 17 waterborne infectious diseases. About 7.15 million waterborne illnesses occur annually (95% credible interval [CrI] 3.88 million-12.0 million), results in 601,000 ED visits (95% CrI 364,000-866,000), 118,000 hospitalizations (95% CrI 86,800-150,000), and 6,630 deaths (95% CrI 4,520-8,870) and incurring US $3.33 billion (95% CrI 1.37 billion-8.77 billion) in direct healthcare costs. Otitis externa and norovirus infection were the most common illnesses. Most hospitalizations and deaths were caused by biofilm-associated pathogens (nontuberculous mycobacteria, Pseudomonas, Legionella), costing US $2.39 billion annually.</w:t>
      </w:r>
    </w:p>
    <w:p>
      <w:pPr/>
      <w:r>
        <w:rPr>
          <w:b/>
        </w:rPr>
        <w:t>POSSIBLE 2019:</w:t>
      </w:r>
      <w:r>
        <w:t xml:space="preserve"> Costs of irritable bowel syndrome in European countries with universal healthcare coverage: a meta-analysis. — https://doi.org/10.26355/eurrev_201904_17580</w:t>
      </w:r>
    </w:p>
    <w:p>
      <w:pPr/>
      <w:r>
        <w:rPr>
          <w:b/>
        </w:rPr>
        <w:t>Shared claim-specific concepts:</w:t>
      </w:r>
      <w:r>
        <w:t xml:space="preserve"> direct, healthcare, billion, population; EU scope visible. This is a provisional connection, not an outcome finding.</w:t>
      </w:r>
    </w:p>
    <w:p>
      <w:pPr>
        <w:pStyle w:val="SourceNote"/>
      </w:pPr>
      <w:r>
        <w:rPr>
          <w:b/>
        </w:rPr>
        <w:t>Available abstract (not full text):</w:t>
      </w:r>
      <w:r>
        <w:t xml:space="preserve"> OBJECTIVE: To provide an overall estimate of the direct, indirect and total costs of irritable bowel syndrome (IBS) for the adult population of the European countries with universal healthcare coverage. MATERIALS AND METHODS: We searched MedLine and Scopus databases (up to September 2018) to identify the European studies that evaluated the economic impact of IBS. Mean annual direct, indirect and total per-capita IBS costs were estimated using random-effect single-group meta-analyses of continuous data. All analyses were stratified by payer category (governments, insurance, societal), and the results were expressed as summary mean and 95% CI. RESULTS: A total of 24 studies were included in the meta-analyses. Only two studies evaluated IBS costs in Italy. The pooled summary of direct IBS per-capita cost, obtained from 23 European datasets (n=15,157), was €1837/year (95% CI: 1480-2195), with large differences across payers (from €1183 to €3358, in countries with publicly-funded and insurance-based health systems, respectively). The mean indirect cost, extracted from 13 datasets (n=3978), was €2314/year (95% CI: 1811-2817), again with wide differences across payers. Finally, the meta-analysis estimating the total annual cost, based upon 11 European datasets (n=2757), yielded a summary estimate of €2889/year (95% CI: 2318-3460) per patient, ranging from €1602 (insurance-based health</w:t>
      </w:r>
    </w:p>
    <w:p>
      <w:pPr/>
      <w:r>
        <w:rPr>
          <w:b/>
        </w:rPr>
        <w:t>POSSIBLE 2019:</w:t>
      </w:r>
      <w:r>
        <w:t xml:space="preserve"> Direct healthcare costs of spinal disorders in Brazil — https://doi.org/10.1007/s00038-019-01211-6</w:t>
      </w:r>
    </w:p>
    <w:p>
      <w:pPr/>
      <w:r>
        <w:rPr>
          <w:b/>
        </w:rPr>
        <w:t>Shared claim-specific concepts:</w:t>
      </w:r>
      <w:r>
        <w:t xml:space="preserve"> direct, healthcare; EU scope not established. This is a provisional connection, not an outcome finding.</w:t>
      </w:r>
    </w:p>
    <w:p>
      <w:pPr>
        <w:pStyle w:val="SourceNote"/>
      </w:pPr>
      <w:r>
        <w:rPr>
          <w:b/>
        </w:rPr>
        <w:t>Available abstract (not full text):</w:t>
      </w:r>
      <w:r>
        <w:t xml:space="preserve"> Unavailable</w:t>
      </w:r>
    </w:p>
    <w:p>
      <w:pPr/>
      <w:r>
        <w:rPr>
          <w:b/>
        </w:rPr>
        <w:t>POSSIBLE 2019:</w:t>
      </w:r>
      <w:r>
        <w:t xml:space="preserve"> Direct healthcare costs of sedentary behaviour in the UK — https://doi.org/10.1136/jech-2018-211758</w:t>
      </w:r>
    </w:p>
    <w:p>
      <w:pPr/>
      <w:r>
        <w:rPr>
          <w:b/>
        </w:rPr>
        <w:t>Shared claim-specific concepts:</w:t>
      </w:r>
      <w:r>
        <w:t xml:space="preserve"> direct, healthcare, associated, increases, billion, population; EU scope not established. This is a provisional connection, not an outcome finding.</w:t>
      </w:r>
    </w:p>
    <w:p>
      <w:pPr>
        <w:pStyle w:val="SourceNote"/>
      </w:pPr>
      <w:r>
        <w:rPr>
          <w:b/>
        </w:rPr>
        <w:t>Available abstract (not full text):</w:t>
      </w:r>
      <w:r>
        <w:t xml:space="preserve"> BACKGROUND: Growing evidence indicates that prolonged sedentary behaviour increases the risk of several chronic health conditions and all-cause mortality. Sedentary behaviour is prevalent among adults in the UK. Quantifying the costs associated with sedentary behaviour is an important step in the development of public health policy. METHODS: National Health Service (NHS) costs associated with prolonged sedentary behaviour (≥6 hours/day) were estimated over a 1-year period in 2016-2017 costs. We calculated a population attributable fraction (PAF) for five health outcomes (type 2 diabetes, cardiovascular disease [CVD], colon cancer, endometrial cancer and lung cancer). Adjustments were made for potential double-counting due to comorbidities. We also calculated the avoidable deaths due to prolonged sedentary behaviour using the PAF for all-cause mortality. RESULTS: The total NHS costs attributable to prolonged sedentary behaviour in the UK in 2016-2017 were £0.8 billion, which included expenditure on CVD (£424 million), type 2 diabetes (£281 million), colon cancer (£30 million), lung cancer (£19 million) and endometrial cancer (£7 million). After adjustment for potential double-counting, the estimated total was £0.7 billion. If prolonged sedentary behaviour was eliminated, 69 276 UK deaths might have been avoided in 2016. CONCLUSIONS: In this conservative estimate of direct health</w:t>
      </w:r>
    </w:p>
    <w:p>
      <w:pPr/>
      <w:r>
        <w:rPr>
          <w:b/>
        </w:rPr>
        <w:t>POSSIBLE 2018:</w:t>
      </w:r>
      <w:r>
        <w:t xml:space="preserve"> Direct healthcare cost of schizophrenia – European overview — https://doi.org/10.1016/j.eurpsy.2017.10.008</w:t>
      </w:r>
    </w:p>
    <w:p>
      <w:pPr/>
      <w:r>
        <w:rPr>
          <w:b/>
        </w:rPr>
        <w:t>Shared claim-specific concepts:</w:t>
      </w:r>
      <w:r>
        <w:t xml:space="preserve"> direct, healthcare, less; EU scope visible. This is a provisional connection, not an outcome finding.</w:t>
      </w:r>
    </w:p>
    <w:p>
      <w:pPr>
        <w:pStyle w:val="SourceNote"/>
      </w:pPr>
      <w:r>
        <w:rPr>
          <w:b/>
        </w:rPr>
        <w:t>Available abstract (not full text):</w:t>
      </w:r>
      <w:r>
        <w:t xml:space="preserve"> PURPOSE: To provide an overview on the magnitude of the impact of schizophrenia on the healthcare system in Europe and to gain a better understanding on the most important factors influencing the variation of costs. METHODS: Studies reporting costs and healthcare utilization among patients with schizophrenia were searched in MEDLINE (via Scopus), EMBASE (via Scopus) and Cochrane Database of Systematic Reviews on 19th January 2017. RESULTS: Twenty-three studies, from the 1075 references initially identified, were included in this review. The annual cost per patient ranged from €533 in Ukraine to €13,704 in the Netherlands. Notably drug costs contributed to less than 25% of the direct healthcare cost per patient in every country, which might be explained by similar pharmaceutical prices among countries due to the reference pricing system applied in Europe. Inpatient costs were the largest component of health service costs in the majority of the countries. Despite methodological heterogeneity across studies, four major themes could be identified (age, severity of symptoms, continuation of treatment/persistence, hospitalization) that have substantial impact on the costs of schizophrenia. CONCLUSIONS: Schizophrenia represents a substantial cost for the healthcare system in Europe driven by the high cost per patient. Substantial savings could potentially be achieved by increasing inv</w:t>
      </w:r>
    </w:p>
    <w:p>
      <w:pPr>
        <w:pStyle w:val="Heading2"/>
      </w:pPr>
      <w:r>
        <w:t>888.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due, climate, show;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2023:</w:t>
      </w:r>
      <w:r>
        <w:t xml:space="preserve"> Advanced mycotoxin control and decontamination techniques in view of an increased aflatoxin risk in Europe due to climate change — https://doi.org/10.3389/fmicb.2022.1085891</w:t>
      </w:r>
    </w:p>
    <w:p>
      <w:pPr/>
      <w:r>
        <w:rPr>
          <w:b/>
        </w:rPr>
        <w:t>Shared claim-specific concepts:</w:t>
      </w:r>
      <w:r>
        <w:t xml:space="preserve"> due, climate, factors, health, both; EU scope visible. This is a provisional connection, not an outcome finding.</w:t>
      </w:r>
    </w:p>
    <w:p>
      <w:pPr>
        <w:pStyle w:val="SourceNote"/>
      </w:pPr>
      <w:r>
        <w:rPr>
          <w:b/>
        </w:rPr>
        <w:t>Available abstract (not full text):</w:t>
      </w:r>
      <w:r>
        <w:t xml:space="preserve">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pPr/>
      <w:r>
        <w:rPr>
          <w:b/>
        </w:rPr>
        <w:t>POSSIBLE 2022:</w:t>
      </w:r>
      <w:r>
        <w:t xml:space="preserve"> Assessing the Projected Changes in European Air Stagnation due to Climate Change — https://doi.org/10.1175/jcli-d-22-0180.1</w:t>
      </w:r>
    </w:p>
    <w:p>
      <w:pPr/>
      <w:r>
        <w:rPr>
          <w:b/>
        </w:rPr>
        <w:t>Shared claim-specific concepts:</w:t>
      </w:r>
      <w:r>
        <w:t xml:space="preserve"> due, climate, air, pollution, health, weather; EU scope visible. This is a provisional connection, not an outcome finding.</w:t>
      </w:r>
    </w:p>
    <w:p>
      <w:pPr>
        <w:pStyle w:val="SourceNote"/>
      </w:pPr>
      <w:r>
        <w:rPr>
          <w:b/>
        </w:rPr>
        <w:t>Available abstract (not full text):</w:t>
      </w:r>
      <w:r>
        <w:t xml:space="preserve">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pPr/>
      <w:r>
        <w:rPr>
          <w:b/>
        </w:rPr>
        <w:t>POSSIBLE 2022:</w:t>
      </w:r>
      <w:r>
        <w:t xml:space="preserve"> The State of Dark Coniferous Forests on the East European Plain Due to Climate Change — https://doi.org/10.3390/life12111874</w:t>
      </w:r>
    </w:p>
    <w:p>
      <w:pPr/>
      <w:r>
        <w:rPr>
          <w:b/>
        </w:rPr>
        <w:t>Shared claim-specific concepts:</w:t>
      </w:r>
      <w:r>
        <w:t xml:space="preserve"> due, climate, factors, changing, significant; EU scope visible. This is a provisional connection, not an outcome finding.</w:t>
      </w:r>
    </w:p>
    <w:p>
      <w:pPr>
        <w:pStyle w:val="SourceNote"/>
      </w:pPr>
      <w:r>
        <w:rPr>
          <w:b/>
        </w:rPr>
        <w:t>Available abstract (not full text):</w:t>
      </w:r>
      <w:r>
        <w:t xml:space="preserve">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due, climate, other, air, pollution;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2021:</w:t>
      </w:r>
      <w:r>
        <w:t xml:space="preserve"> Predicted Aflatoxin B1 Increase in Europe Due to Climate Change: Actions and Reactions at Global Level — https://doi.org/10.3390/toxins13040292</w:t>
      </w:r>
    </w:p>
    <w:p>
      <w:pPr/>
      <w:r>
        <w:rPr>
          <w:b/>
        </w:rPr>
        <w:t>Shared claim-specific concepts:</w:t>
      </w:r>
      <w:r>
        <w:t xml:space="preserve"> due, climate, areas, health, both; EU scope visible. This is a provisional connection, not an outcome finding.</w:t>
      </w:r>
    </w:p>
    <w:p>
      <w:pPr>
        <w:pStyle w:val="SourceNote"/>
      </w:pPr>
      <w:r>
        <w:rPr>
          <w:b/>
        </w:rPr>
        <w:t>Available abstract (not full text):</w:t>
      </w:r>
      <w:r>
        <w:t xml:space="preserve">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pPr/>
      <w:r>
        <w:rPr>
          <w:b/>
        </w:rPr>
        <w:t>POSSIBLE 2020:</w:t>
      </w:r>
      <w:r>
        <w:t xml:space="preserve"> Campylobacter infections expected to increase due to climate change in Northern Europe — https://doi.org/10.1038/s41598-020-70593-y</w:t>
      </w:r>
    </w:p>
    <w:p>
      <w:pPr/>
      <w:r>
        <w:rPr>
          <w:b/>
        </w:rPr>
        <w:t>Shared claim-specific concepts:</w:t>
      </w:r>
      <w:r>
        <w:t xml:space="preserve"> due, climate, patterns, world, health, show; EU scope visible. This is a provisional connection, not an outcome finding.</w:t>
      </w:r>
    </w:p>
    <w:p>
      <w:pPr>
        <w:pStyle w:val="SourceNote"/>
      </w:pPr>
      <w:r>
        <w:rPr>
          <w:b/>
        </w:rPr>
        <w:t>Available abstract (not full text):</w:t>
      </w:r>
      <w:r>
        <w:t xml:space="preserve">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pPr/>
      <w:r>
        <w:rPr>
          <w:b/>
        </w:rPr>
        <w:t>POSSIBLE 2020:</w:t>
      </w:r>
      <w:r>
        <w:t xml:space="preserve"> Climate and air quality impacts due to mitigation of non-methane near-term climate forcers — https://doi.org/10.5194/acp-20-9641-2020</w:t>
      </w:r>
    </w:p>
    <w:p>
      <w:pPr/>
      <w:r>
        <w:rPr>
          <w:b/>
        </w:rPr>
        <w:t>Shared claim-specific concepts:</w:t>
      </w:r>
      <w:r>
        <w:t xml:space="preserve"> due, climate, other, air, significant, effect; EU scope not established. This is a provisional connection, not an outcome finding.</w:t>
      </w:r>
    </w:p>
    <w:p>
      <w:pPr>
        <w:pStyle w:val="SourceNote"/>
      </w:pPr>
      <w:r>
        <w:rPr>
          <w:b/>
        </w:rPr>
        <w:t>Available abstract (not full text):</w:t>
      </w:r>
      <w:r>
        <w:t xml:space="preserve">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pPr/>
      <w:r>
        <w:rPr>
          <w:b/>
        </w:rPr>
        <w:t>POSSIBLE 2019:</w:t>
      </w:r>
      <w:r>
        <w:t xml:space="preserve"> Changes to Land Area Used for Grain Maize Production in Central Europe due to Predicted Climate Change — https://doi.org/10.1155/2019/9168285</w:t>
      </w:r>
    </w:p>
    <w:p>
      <w:pPr/>
      <w:r>
        <w:rPr>
          <w:b/>
        </w:rPr>
        <w:t>Shared claim-specific concepts:</w:t>
      </w:r>
      <w:r>
        <w:t xml:space="preserve"> due, climate, other, conditions; EU scope visible. This is a provisional connection, not an outcome finding.</w:t>
      </w:r>
    </w:p>
    <w:p>
      <w:pPr>
        <w:pStyle w:val="SourceNote"/>
      </w:pPr>
      <w:r>
        <w:rPr>
          <w:b/>
        </w:rPr>
        <w:t>Available abstract (not full text):</w:t>
      </w:r>
      <w:r>
        <w:t xml:space="preserve">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889.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r>
        <w:rPr>
          <w:b/>
        </w:rPr>
        <w:t>POSSIBLE 2020:</w:t>
      </w:r>
      <w:r>
        <w:t xml:space="preserve"> Smart Flexible Electronics‐Integrated Wound Dressing for Real‐Time Monitoring and On‐Demand Treatment of Infected Wounds — https://doi.org/10.1002/advs.201902673</w:t>
      </w:r>
    </w:p>
    <w:p>
      <w:pPr/>
      <w:r>
        <w:rPr>
          <w:b/>
        </w:rPr>
        <w:t>Shared claim-specific concepts:</w:t>
      </w:r>
      <w:r>
        <w:t xml:space="preserve"> here, developing; EU scope not established. This is a provisional connection, not an outcome finding.</w:t>
      </w:r>
    </w:p>
    <w:p>
      <w:pPr>
        <w:pStyle w:val="SourceNote"/>
      </w:pPr>
      <w:r>
        <w:rPr>
          <w:b/>
        </w:rPr>
        <w:t>Available abstract (not full text):</w:t>
      </w:r>
      <w:r>
        <w:t xml:space="preserve">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pPr/>
      <w:r>
        <w:rPr>
          <w:b/>
        </w:rPr>
        <w:t>POSSIBLE 2019:</w:t>
      </w:r>
      <w:r>
        <w:t xml:space="preserve"> Travel demand modeling for developing countries — https://doi.org/10.25669/e9jn-xt5w</w:t>
      </w:r>
    </w:p>
    <w:p>
      <w:pPr/>
      <w:r>
        <w:rPr>
          <w:b/>
        </w:rPr>
        <w:t>Shared claim-specific concepts:</w:t>
      </w:r>
      <w:r>
        <w:t xml:space="preserve"> significant, developing, primarily; EU scope not established. This is a provisional connection, not an outcome finding.</w:t>
      </w:r>
    </w:p>
    <w:p>
      <w:pPr>
        <w:pStyle w:val="SourceNote"/>
      </w:pPr>
      <w:r>
        <w:rPr>
          <w:b/>
        </w:rPr>
        <w:t>Available abstract (not full text):</w:t>
      </w:r>
      <w:r>
        <w:t xml:space="preserve">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pPr/>
      <w:r>
        <w:rPr>
          <w:b/>
        </w:rPr>
        <w:t>POSSIBLE 2019:</w:t>
      </w:r>
      <w:r>
        <w:t xml:space="preserve"> Meat Supply and Demand in Developing Countries: Past Trends and Projections to 2000 — https://doi.org/10.1201/9780429307225-2</w:t>
      </w:r>
    </w:p>
    <w:p>
      <w:pPr/>
      <w:r>
        <w:rPr>
          <w:b/>
        </w:rPr>
        <w:t>Shared claim-specific concepts:</w:t>
      </w:r>
      <w:r>
        <w:t xml:space="preserve"> here, significant, developing, rise, consumption; EU scope not established. This is a provisional connection, not an outcome finding.</w:t>
      </w:r>
    </w:p>
    <w:p>
      <w:pPr>
        <w:pStyle w:val="SourceNote"/>
      </w:pPr>
      <w:r>
        <w:rPr>
          <w:b/>
        </w:rPr>
        <w:t>Available abstract (not full text):</w:t>
      </w:r>
      <w:r>
        <w:t xml:space="preserve">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890.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2022:</w:t>
      </w:r>
      <w:r>
        <w:t xml:space="preserve"> Spatiotemporal Variation in Emotional Responses to 2017 Terrorist Attacks in London Using Twitter Data — https://doi.org/10.57709/12007502</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pPr/>
      <w:r>
        <w:rPr>
          <w:b/>
        </w:rPr>
        <w:t>POSSIBLE 2022:</w:t>
      </w:r>
      <w:r>
        <w:t xml:space="preserve"> Psychosocial care responses to terrorist attacks: a country case study of Norway, France and Belgium — https://doi.org/10.1186/s12913-022-07691-2</w:t>
      </w:r>
    </w:p>
    <w:p>
      <w:pPr/>
      <w:r>
        <w:rPr>
          <w:b/>
        </w:rPr>
        <w:t>Shared claim-specific concepts:</w:t>
      </w:r>
      <w:r>
        <w:t xml:space="preserve"> terrorist, attacks, throughout, approach, long-term; EU scope visible. This is a provisional connection, not an outcome finding.</w:t>
      </w:r>
    </w:p>
    <w:p>
      <w:pPr>
        <w:pStyle w:val="SourceNote"/>
      </w:pPr>
      <w:r>
        <w:rPr>
          <w:b/>
        </w:rPr>
        <w:t>Available abstract (not full text):</w:t>
      </w:r>
      <w:r>
        <w:t xml:space="preserve">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pPr/>
      <w:r>
        <w:rPr>
          <w:b/>
        </w:rPr>
        <w:t>POSSIBLE 2021:</w:t>
      </w:r>
      <w:r>
        <w:t xml:space="preserve"> Media coverage of terrorist attacks in London in 2017: Comparison of news portals Aktuálně.cz and The Guardian — https://openalex.org/W7135787987</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pPr/>
      <w:r>
        <w:rPr>
          <w:b/>
        </w:rPr>
        <w:t>POSSIBLE 2021:</w:t>
      </w:r>
      <w:r>
        <w:t xml:space="preserve"> Analyzing Canadian PM Justin Trudeau’s Speech about Terrorist Attack on a Muslim Family in Ontario’s London: A Critical Perspective — https://doi.org/10.32996/ijls.2021.1.2.2</w:t>
      </w:r>
    </w:p>
    <w:p>
      <w:pPr/>
      <w:r>
        <w:rPr>
          <w:b/>
        </w:rPr>
        <w:t>Shared claim-specific concepts:</w:t>
      </w:r>
      <w:r>
        <w:t xml:space="preserve"> terrorist, london, approach, practice, levels, about; EU scope not established. This is a provisional connection, not an outcome finding.</w:t>
      </w:r>
    </w:p>
    <w:p>
      <w:pPr>
        <w:pStyle w:val="SourceNote"/>
      </w:pPr>
      <w:r>
        <w:rPr>
          <w:b/>
        </w:rPr>
        <w:t>Available abstract (not full text):</w:t>
      </w:r>
      <w:r>
        <w:t xml:space="preserve">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pPr/>
      <w:r>
        <w:rPr>
          <w:b/>
        </w:rPr>
        <w:t>POSSIBLE 2021:</w:t>
      </w:r>
      <w:r>
        <w:t xml:space="preserve"> Getting under the Skin: The Impact of Terrorist Attacks on Native and Immigrant Sentiment — https://doi.org/10.1093/sf/soab135</w:t>
      </w:r>
    </w:p>
    <w:p>
      <w:pPr/>
      <w:r>
        <w:rPr>
          <w:b/>
        </w:rPr>
        <w:t>Shared claim-specific concepts:</w:t>
      </w:r>
      <w:r>
        <w:t xml:space="preserve"> terrorist, attacks, understanding, little; EU scope visible. This is a provisional connection, not an outcome finding.</w:t>
      </w:r>
    </w:p>
    <w:p>
      <w:pPr>
        <w:pStyle w:val="SourceNote"/>
      </w:pPr>
      <w:r>
        <w:rPr>
          <w:b/>
        </w:rPr>
        <w:t>Available abstract (not full text):</w:t>
      </w:r>
      <w:r>
        <w:t xml:space="preserve">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pPr/>
      <w:r>
        <w:rPr>
          <w:b/>
        </w:rPr>
        <w:t>POSSIBLE 2020:</w:t>
      </w:r>
      <w:r>
        <w:t xml:space="preserve"> Space-Time Surveillance of Negative Emotions after Consecutive Terrorist Attacks in London — https://doi.org/10.3390/ijerph17114000</w:t>
      </w:r>
    </w:p>
    <w:p>
      <w:pPr/>
      <w:r>
        <w:rPr>
          <w:b/>
        </w:rPr>
        <w:t>Shared claim-specific concepts:</w:t>
      </w:r>
      <w:r>
        <w:t xml:space="preserve"> terrorist, attacks, london, levels, about, attention; EU scope not established. This is a provisional connection, not an outcome finding.</w:t>
      </w:r>
    </w:p>
    <w:p>
      <w:pPr>
        <w:pStyle w:val="SourceNote"/>
      </w:pPr>
      <w:r>
        <w:rPr>
          <w:b/>
        </w:rPr>
        <w:t>Available abstract (not full text):</w:t>
      </w:r>
      <w:r>
        <w:t xml:space="preserve">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891.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2021:</w:t>
      </w:r>
      <w:r>
        <w:t xml:space="preserve"> Global Impact of COVID-19 Restrictions on the Surface Concentrations of Nitrogen Dioxide and Ozone — https://openalex.org/W3087582936</w:t>
      </w:r>
    </w:p>
    <w:p>
      <w:pPr/>
      <w:r>
        <w:rPr>
          <w:b/>
        </w:rPr>
        <w:t>Shared claim-specific concepts:</w:t>
      </w:r>
      <w:r>
        <w:t xml:space="preserve"> total, nitrogen, decrease, due, reduced; EU scope visible. This is a provisional connection, not an outcome finding.</w:t>
      </w:r>
    </w:p>
    <w:p>
      <w:pPr>
        <w:pStyle w:val="SourceNote"/>
      </w:pPr>
      <w:r>
        <w:rPr>
          <w:b/>
        </w:rPr>
        <w:t>Available abstract (not full text):</w:t>
      </w:r>
      <w:r>
        <w:t xml:space="preserve"> Social distancing to combat the COVID-19 pandemic has led to widespread reductions in air pollutant emissions. Quantifying these changes requires a business-as-usual counterfactual that accounts for the synoptic and seasonal variability of air pollutants. We use a machine learning algorithm driven by information from the NASA GEOS-CF model to assess changes in nitrogen dioxide (NO2) and ozone (O3) at 5756 observation sites in 46 countries from January through June 2020. Reductions in NO2 coincide with the timing and intensity of COVID-19 restrictions, ranging from 60 % in severely affected cities (e.g., Wuhan, Milan) to little change (e.g., Rio de Janeiro, Taipei). On average, NO2 concentrations were 18 (13-23) % lower than business as usual from February 2020 onward. China experienced the earliest and steepest decline, but concentrations since April have mostly recovered and remained within 5 % of the business-as-usual estimate. NO2 reductions in Europe and the US have been more gradual, with a halting recovery starting in late March. We estimate that the global NOx (NO + NO2) emission reduction during the first 6 months of 2020 amounted to 3.1 (2.6-3.6) TgN, equivalent to 5.5 (4.7-6.4) % of the annual anthropogenic total. The response of surface O3 is complicated by competing influences of nonlinear atmospheric chemistry. While surface O3 increased by up to 50 % in some locat</w:t>
      </w:r>
    </w:p>
    <w:p>
      <w:pPr/>
      <w:r>
        <w:rPr>
          <w:b/>
        </w:rPr>
        <w:t>POSSIBLE 2021:</w:t>
      </w:r>
      <w:r>
        <w:t xml:space="preserve"> Response of chlorophyll a to total nitrogen and total phosphorus concentrations in lotic ecosystems: a systematic review — https://doi.org/10.1186/s13750-021-00238-8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Abstract Background Eutrophication of freshwater ecosystems resulting from nitrogen and phosphorus pollution is a major environmental stressor across the globe. In this systematic review, we compiled and synthesized literature on sestonic and benthic chlorophyll a (chl-a) responses to total nitrogen (TN) and total phosphorus (TP) concentrations in the water column in streams and rivers to provide a state-of-the-science summary of nutrient impacts on these endpoints. This review was motivated by the need for comprehensive information on stressor-response relationships for the most common nutrient and biotic response measures used by state-level environmental managers in the United States to assess eutrophication of lotic ecosystems and support environmental decision making. Methods Searches for peer-reviewed and non-peer-reviewed articles were conducted using bibliographic databases, specialist websites, and search engines. These returns were supplemented with citation mapping and requests for material from experts. Articles were screened for relevance using pre-determined eligibility criteria, and risk of bias was evaluated for each included article based on study type-specific criteria. Narrative summaries and meta-analysis were used to evaluate four primary stressor-response relationships: TN-benthic chl-a, TP-benthic chl-a, TN-sestonic chl-a, and TP-sestonic chl-a. Potential</w:t>
      </w:r>
    </w:p>
    <w:p>
      <w:pPr/>
      <w:r>
        <w:rPr>
          <w:b/>
        </w:rPr>
        <w:t>POSSIBLE 2020:</w:t>
      </w:r>
      <w:r>
        <w:t xml:space="preserve"> Nitrogen Dioxide (NO2) Pollution Monitoring with Sentinel-5P Satellite Imagery over Europe during the Coronavirus Pandemic Outbreak — https://doi.org/10.3390/rs12213575</w:t>
      </w:r>
    </w:p>
    <w:p>
      <w:pPr/>
      <w:r>
        <w:rPr>
          <w:b/>
        </w:rPr>
        <w:t>Shared claim-specific concepts:</w:t>
      </w:r>
      <w:r>
        <w:t xml:space="preserve"> nitrogen, decrease, based; EU scope visible. This is a provisional connection, not an outcome finding.</w:t>
      </w:r>
    </w:p>
    <w:p>
      <w:pPr>
        <w:pStyle w:val="SourceNote"/>
      </w:pPr>
      <w:r>
        <w:rPr>
          <w:b/>
        </w:rPr>
        <w:t>Available abstract (not full text):</w:t>
      </w:r>
      <w:r>
        <w:t xml:space="preserve"> Nitrogen dioxide (NO2) is one of the main air quality pollutants of concern in many urban and industrial areas worldwide, and particularly in the European region, where in 2017 almost 20 countries exceeded the NO2 annual limit values imposed by the European Commission Directive 2008/50/EC (EEA, 2019). NO2 pollution monitoring and regulation is a necessary task to help decision makers to search for a sustainable solution for environmental quality and population health status improvement. In this study, we propose a comparative analysis of the tropospheric NO2 column spatial configuration over Europe between similar periods in 2019 and 2020, based on the ESA Copernicus Sentinel-5P products. The results highlight the NO2 pollution dynamics over the abrupt transition from a normal condition situation to the COVID-19 outbreak context, characterized by a short-time decrease of traffic intensities and industrial activities, revealing remarkable tropospheric NO2 column number density decreases even of 85% in some of the European big cities. The validation approach of the satellite-derived data, based on a cross-correlation analysis with independent data from ground-based observations, provided encouraging values of the correlation coefficients (R2), ranging between 0.5 and 0.75 in different locations. The remarkable decrease of NO2 pollution over Europe during the COVID-19 lockdown is </w:t>
      </w:r>
    </w:p>
    <w:p>
      <w:pPr/>
      <w:r>
        <w:rPr>
          <w:b/>
        </w:rPr>
        <w:t>POSSIBLE 2020:</w:t>
      </w:r>
      <w:r>
        <w:t xml:space="preserve"> Nitrogen Surplus—A Unified Indicator for Water Pollution in Europe? — https://doi.org/10.3390/w12041197</w:t>
      </w:r>
    </w:p>
    <w:p>
      <w:pPr/>
      <w:r>
        <w:rPr>
          <w:b/>
        </w:rPr>
        <w:t>Shared claim-specific concepts:</w:t>
      </w:r>
      <w:r>
        <w:t xml:space="preserve"> nitrogen, well, management; EU scope visible. This is a provisional connection, not an outcome finding.</w:t>
      </w:r>
    </w:p>
    <w:p>
      <w:pPr>
        <w:pStyle w:val="SourceNote"/>
      </w:pPr>
      <w:r>
        <w:rPr>
          <w:b/>
        </w:rPr>
        <w:t>Available abstract (not full text):</w:t>
      </w:r>
      <w:r>
        <w:t xml:space="preserve">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pPr/>
      <w:r>
        <w:rPr>
          <w:b/>
        </w:rPr>
        <w:t>POSSIBLE 2019:</w:t>
      </w:r>
      <w:r>
        <w:t xml:space="preserve"> Effects of anthropogenic nitrogen discharge on dissolved inorganic nitrogen transport in global rivers — https://doi.org/10.1111/gcb.14570</w:t>
      </w:r>
    </w:p>
    <w:p>
      <w:pPr/>
      <w:r>
        <w:rPr>
          <w:b/>
        </w:rPr>
        <w:t>Shared claim-specific concepts:</w:t>
      </w:r>
      <w:r>
        <w:t xml:space="preserve"> total, nitrogen, based; EU scope visible. This is a provisional connection, not an outcome finding.</w:t>
      </w:r>
    </w:p>
    <w:p>
      <w:pPr>
        <w:pStyle w:val="SourceNote"/>
      </w:pPr>
      <w:r>
        <w:rPr>
          <w:b/>
        </w:rPr>
        <w:t>Available abstract (not full text):</w:t>
      </w:r>
      <w:r>
        <w:t xml:space="preserve"> Excess nutrients from fertilizer application, pollution discharge, and water regulations outflow through rivers from lands to oceans, seriously impacting coastal ecosystems. A reasonable representation of these processes in land surface models and River Transport Models (RTMs) is very important for understanding human-environment interactions. In this study, the schemes of riverine dissolved inorganic nitrogen (DIN) transport and human activities including nitrogen discharge and water regulation, were synchronously incorporated into a land surface model coupled with a RTM. The effects of anthropogenic nitrogen discharge on the DIN transport in rivers were studied based on simulations of the period 1991-2010 throughout the entire world, conducted using the developed model, which had a spatial resolution of about 1° for land processes and 0.5° for river transport, and data on fertilizer application, point source pollution, and water use. Our results showed that rivers in western Europe and eastern China were seriously polluted, on average, at a rate of 5,000-15,000 tons per year. In the Yangtze River Basin, the amount of point source pollution in 2010 was about four times more than that in 1991, while the amount of fertilizer used in 2010 doubled, which resulted in the increased riverine DIN levels. Further comparisons suggested that the riverine DIN in the USA was affected prima</w:t>
      </w:r>
    </w:p>
    <w:p>
      <w:pPr/>
      <w:r>
        <w:rPr>
          <w:b/>
        </w:rPr>
        <w:t>POSSIBLE 2017:</w:t>
      </w:r>
      <w:r>
        <w:t xml:space="preserve"> Response of chlorophyll a to total nitrogen and total phosphorus concentrations in lotic ecosystems: a systematic review protocol — https://doi.org/10.1186/s13750-017-0097-8</w:t>
      </w:r>
    </w:p>
    <w:p>
      <w:pPr/>
      <w:r>
        <w:rPr>
          <w:b/>
        </w:rPr>
        <w:t>Shared claim-specific concepts:</w:t>
      </w:r>
      <w:r>
        <w:t xml:space="preserve"> total, nitrogen, well, management; EU scope not established. This is a provisional connection, not an outcome finding.</w:t>
      </w:r>
    </w:p>
    <w:p>
      <w:pPr>
        <w:pStyle w:val="SourceNote"/>
      </w:pPr>
      <w:r>
        <w:rPr>
          <w:b/>
        </w:rPr>
        <w:t>Available abstract (not full text):</w:t>
      </w:r>
      <w:r>
        <w:t xml:space="preserve"> Abstract Background Eutrophication of freshwater ecosystems resulting from nitrogen and phosphorus pollution is a major stressor across the globe. Despite recognition by scientists and stakeholders of the problems of nutrient pollution, rigorous synthesis of scientific evidence is still needed to inform nutrient-related management decisions, especially in streams and rivers. Nutrient stressor-response relationships are complicated by multiple interacting environmental factors, complex and indirect causal pathways involving diverse biotic assemblages and food web compartments, legacy (historic) nutrient sources such as agricultural sediments, and the naturally high spatiotemporal variability of lotic ecosystems. Determining nutrient levels at which ecosystems are affected is a critical first step for identifying, managing, and restoring aquatic resources impaired by eutrophication and maintaining currently unimpaired resources. The systematic review outlined in this protocol will compile and synthesize literature on the response of chlorophyll a to nutrients in streams, providing a state-of-the-science body of evidence to assess nutrient impacts to one of the most widely-used measures of eutrophication. This review will address two questions: “What is the response of chlorophyll a to total nitrogen and total phosphorus concentrations in lotic ecosystems?” and “How are these rela</w:t>
      </w:r>
    </w:p>
    <w:p>
      <w:pPr/>
      <w:r>
        <w:rPr>
          <w:b/>
        </w:rPr>
        <w:t>POSSIBLE 2017:</w:t>
      </w:r>
      <w:r>
        <w:t xml:space="preserve"> Global deposition of total reactive nitrogen oxides from 1996 to 2014 constrained with satellite observations of NO 2 columns — https://doi.org/10.5194/acp-17-10071-2017</w:t>
      </w:r>
    </w:p>
    <w:p>
      <w:pPr/>
      <w:r>
        <w:rPr>
          <w:b/>
        </w:rPr>
        <w:t>Shared claim-specific concepts:</w:t>
      </w:r>
      <w:r>
        <w:t xml:space="preserve"> total, nitrogen, parts; EU scope visible. This is a provisional connection, not an outcome finding.</w:t>
      </w:r>
    </w:p>
    <w:p>
      <w:pPr>
        <w:pStyle w:val="SourceNote"/>
      </w:pPr>
      <w:r>
        <w:rPr>
          <w:b/>
        </w:rPr>
        <w:t>Available abstract (not full text):</w:t>
      </w:r>
      <w:r>
        <w:t xml:space="preserve"> Abstract. Reactive nitrogen oxides (NOy) are a major constituent of the nitrogen deposited from the atmosphere, but observational constraints on their deposition are limited by poor or nonexistent measurement coverage in many parts of the world. Here we apply NO2 observations from multiple satellite instruments (GOME, SCIAMACHY, and GOME-2) to constrain the global deposition of NOy over the last 2 decades. We accomplish this by producing top-down estimates of NOx emissions from inverse modeling of satellite NO2 columns over 1996–2014, and including these emissions in the GEOS-Chem chemical transport model to simulate chemistry, transport, and deposition of NOy. Our estimates of long-term mean wet nitrate (NO3−) deposition are highly consistent with available measurements in North America, Europe, and East Asia combined (r = 0.83, normalized mean bias = −7 %, N = 136). Likewise, our calculated trends in wet NO3− deposition are largely consistent with the measurements, with 129 of the 136 gridded model–data pairs sharing overlapping 95 % confidence intervals. We find that global mean NOy deposition over 1996–2014 is 56.0 Tg N yr−1, with a minimum in 2006 of 50.5 Tg N and a maximum in 2012 of 60.8 Tg N. Regional trends are large, with opposing signs in different parts of the world. Over 1996 to 2014, NOy deposition decreased by up to 60 % in eastern North America, doubled in regio</w:t>
      </w:r>
    </w:p>
    <w:p>
      <w:pPr/>
      <w:r>
        <w:rPr>
          <w:b/>
        </w:rPr>
        <w:t>POSSIBLE 2016:</w:t>
      </w:r>
      <w:r>
        <w:t xml:space="preserve"> Effect of climate data on simulated carbon and nitrogen balances for Europe — https://doi.org/10.1002/2015jg003216</w:t>
      </w:r>
    </w:p>
    <w:p>
      <w:pPr/>
      <w:r>
        <w:rPr>
          <w:b/>
        </w:rPr>
        <w:t>Shared claim-specific concepts:</w:t>
      </w:r>
      <w:r>
        <w:t xml:space="preserve"> total, nitrogen, based, higher; EU scope visible. This is a provisional connection, not an outcome finding.</w:t>
      </w:r>
    </w:p>
    <w:p>
      <w:pPr>
        <w:pStyle w:val="SourceNote"/>
      </w:pPr>
      <w:r>
        <w:rPr>
          <w:b/>
        </w:rPr>
        <w:t>Available abstract (not full text):</w:t>
      </w:r>
      <w:r>
        <w:t xml:space="preserve"> Abstract In this study, we systematically assess the spatial variability in carbon and nitrogen balance simulations related to the choice of global circulation models (GCMs), representative concentration pathways (RCPs), spatial resolutions, and the downscaling methods used as calculated with LPJ‐GUESS. We employed a complete factorial design and performed 24 simulations for Europe with different climate input data sets and different combinations of these four factors. Our results reveal that the variability in simulated output in Europe is moderate with 35.6%–93.5% of the total variability being common among all combinations of factors. The spatial resolution is the most important factor among the examined factors, explaining 1.5%–10.7% of the total variability followed by GCMs (0.3%–7.6%), RCPs (0%–6.3%), and downscaling methods (0.1%–4.6%). The higher‐order interactions effect that captures nonlinear relations between the factors and random effects is pronounced and accounts for 1.6%–45.8% to the total variability. The most distinct hot spots of variability include the mountain ranges in North Scandinavia and the Alps, and the Iberian Peninsula. Based on our findings, we advise to conduct the application of models such as LPJ‐GUESS at a reasonably high spatial resolution which is supported by the model structure. There is no notable gain in simulations of ecosystem carbon an</w:t>
      </w:r>
    </w:p>
    <w:p>
      <w:pPr>
        <w:pStyle w:val="Heading2"/>
      </w:pPr>
      <w:r>
        <w:t>892.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relevant;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2021:</w:t>
      </w:r>
      <w:r>
        <w:t xml:space="preserve"> Air traffic and contrail changes over Europe during COVID-19: a model study — https://doi.org/10.5194/acp-21-7429-2021</w:t>
      </w:r>
    </w:p>
    <w:p>
      <w:pPr/>
      <w:r>
        <w:rPr>
          <w:b/>
        </w:rPr>
        <w:t>Shared claim-specific concepts:</w:t>
      </w:r>
      <w:r>
        <w:t xml:space="preserve"> air, climate, reference; EU scope visible. This is a provisional connection, not an outcome finding.</w:t>
      </w:r>
    </w:p>
    <w:p>
      <w:pPr>
        <w:pStyle w:val="SourceNote"/>
      </w:pPr>
      <w:r>
        <w:rPr>
          <w:b/>
        </w:rPr>
        <w:t>Available abstract (not full text):</w:t>
      </w:r>
      <w:r>
        <w:t xml:space="preserve">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policies;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893.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2019:</w:t>
      </w:r>
      <w:r>
        <w:t xml:space="preserve"> Why do people seek knowledge? Tracing factors that affect knowledge seeking intention — https://doi.org/10.1108/vjikms-04-2019-0059</w:t>
      </w:r>
    </w:p>
    <w:p>
      <w:pPr/>
      <w:r>
        <w:rPr>
          <w:b/>
        </w:rPr>
        <w:t>Shared claim-specific concepts:</w:t>
      </w:r>
      <w:r>
        <w:t xml:space="preserve"> purpose, seeks, used, understand, implications; EU scope not established. This is a provisional connection, not an outcome finding.</w:t>
      </w:r>
    </w:p>
    <w:p>
      <w:pPr>
        <w:pStyle w:val="SourceNote"/>
      </w:pPr>
      <w:r>
        <w:rPr>
          <w:b/>
        </w:rPr>
        <w:t>Available abstract (not full text):</w:t>
      </w:r>
      <w:r>
        <w:t xml:space="preserve">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pPr/>
      <w:r>
        <w:rPr>
          <w:b/>
        </w:rPr>
        <w:t>POSSIBLE 2019:</w:t>
      </w:r>
      <w:r>
        <w:t xml:space="preserve"> Using the Theory of Planned Behavior to Understand Factors Influencing South Asian Consumers’ Intention to Seek Pharmacist-Provided Medication Therapy Management Services — https://doi.org/10.3390/pharmacy7030088</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pPr/>
      <w:r>
        <w:rPr>
          <w:b/>
        </w:rPr>
        <w:t>POSSIBLE 2017:</w:t>
      </w:r>
      <w:r>
        <w:t xml:space="preserve"> Purposing: How Purpose Develops Self-Organizing Capacities — https://doi.org/10.5465/ambpp.2017.17754abstract</w:t>
      </w:r>
    </w:p>
    <w:p>
      <w:pPr/>
      <w:r>
        <w:rPr>
          <w:b/>
        </w:rPr>
        <w:t>Shared claim-specific concepts:</w:t>
      </w:r>
      <w:r>
        <w:t xml:space="preserve"> purpose, seeks, understand; EU scope not established. This is a provisional connection, not an outcome finding.</w:t>
      </w:r>
    </w:p>
    <w:p>
      <w:pPr>
        <w:pStyle w:val="SourceNote"/>
      </w:pPr>
      <w:r>
        <w:rPr>
          <w:b/>
        </w:rPr>
        <w:t>Available abstract (not full text):</w:t>
      </w:r>
      <w:r>
        <w:t xml:space="preserve">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pPr/>
      <w:r>
        <w:rPr>
          <w:b/>
        </w:rPr>
        <w:t>POSSIBLE 2017:</w:t>
      </w:r>
      <w:r>
        <w:t xml:space="preserve"> Factors that influence the use of the Internet for job-seeking purposes amongst a sample of final-year students in the Eastern Cape province of South Africa — https://doi.org/10.4102/sajhrm.v15i0.790</w:t>
      </w:r>
    </w:p>
    <w:p>
      <w:pPr/>
      <w:r>
        <w:rPr>
          <w:b/>
        </w:rPr>
        <w:t>Shared claim-specific concepts:</w:t>
      </w:r>
      <w:r>
        <w:t xml:space="preserve"> purpose, used, understand, implications; EU scope not established. This is a provisional connection, not an outcome finding.</w:t>
      </w:r>
    </w:p>
    <w:p>
      <w:pPr>
        <w:pStyle w:val="SourceNote"/>
      </w:pPr>
      <w:r>
        <w:rPr>
          <w:b/>
        </w:rPr>
        <w:t>Available abstract (not full text):</w:t>
      </w:r>
      <w:r>
        <w:t xml:space="preserve">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pPr/>
      <w:r>
        <w:rPr>
          <w:b/>
        </w:rPr>
        <w:t>POSSIBLE 2016:</w:t>
      </w:r>
      <w:r>
        <w:t xml:space="preserve"> On Purpose: Motivational and Contextual Predictors of Purpose and Positive Engagement Among Urban-Residing, African American Youth. — https://openalex.org/W2753589041</w:t>
      </w:r>
    </w:p>
    <w:p>
      <w:pPr/>
      <w:r>
        <w:rPr>
          <w:b/>
        </w:rPr>
        <w:t>Shared claim-specific concepts:</w:t>
      </w:r>
      <w:r>
        <w:t xml:space="preserve"> purpose, used, context; EU scope not established. This is a provisional connection, not an outcome finding.</w:t>
      </w:r>
    </w:p>
    <w:p>
      <w:pPr>
        <w:pStyle w:val="SourceNote"/>
      </w:pPr>
      <w:r>
        <w:rPr>
          <w:b/>
        </w:rPr>
        <w:t>Available abstract (not full text):</w:t>
      </w:r>
      <w:r>
        <w:t xml:space="preserve">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894.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r>
        <w:rPr>
          <w:b/>
        </w:rPr>
        <w:t>POSSIBLE 2021:</w:t>
      </w:r>
      <w:r>
        <w:t xml:space="preserve"> Roadmap on digital holography [Invited] — https://doi.org/10.1364/oe.435915</w:t>
      </w:r>
    </w:p>
    <w:p>
      <w:pPr/>
      <w:r>
        <w:rPr>
          <w:b/>
        </w:rPr>
        <w:t>Shared claim-specific concepts:</w:t>
      </w:r>
      <w:r>
        <w:t xml:space="preserve"> invited, experts, vision; EU scope not established. This is a provisional connection, not an outcome finding.</w:t>
      </w:r>
    </w:p>
    <w:p>
      <w:pPr>
        <w:pStyle w:val="SourceNote"/>
      </w:pPr>
      <w:r>
        <w:rPr>
          <w:b/>
        </w:rPr>
        <w:t>Available abstract (not full text):</w:t>
      </w:r>
      <w:r>
        <w:t xml:space="preserve"> This Roadmap article on digital holography provides an overview of a vast array of research activities in the field of digital holography. The paper consists of a series of 25 sections from the prominent experts in digital holography presenting various aspects of the field on sensing, 3D imaging and displays, virtual and augmented reality, microscopy, cell identification, tomography, label-free live cell imaging, and other applications. Each section represents the vision of its author to describe the significant progress, potential impact, important developments, and challenging issues in the field of digital holography.</w:t>
      </w:r>
    </w:p>
    <w:p>
      <w:pPr/>
      <w:r>
        <w:rPr>
          <w:b/>
        </w:rPr>
        <w:t>POSSIBLE 2020:</w:t>
      </w:r>
      <w:r>
        <w:t xml:space="preserve"> European Society of Coloproctology: guidelines for the management of diverticular disease of the colon — https://doi.org/10.1111/codi.15140</w:t>
      </w:r>
    </w:p>
    <w:p>
      <w:pPr/>
      <w:r>
        <w:rPr>
          <w:b/>
        </w:rPr>
        <w:t>Shared claim-specific concepts:</w:t>
      </w:r>
      <w:r>
        <w:t xml:space="preserve"> project, invited, three, international; EU scope visible. This is a provisional connection, not an outcome finding.</w:t>
      </w:r>
    </w:p>
    <w:p>
      <w:pPr>
        <w:pStyle w:val="SourceNote"/>
      </w:pPr>
      <w:r>
        <w:rPr>
          <w:b/>
        </w:rPr>
        <w:t>Available abstract (not full text):</w:t>
      </w:r>
      <w:r>
        <w:t xml:space="preserve"> AIM: The goal of this European Society of Coloproctology (ESCP) guideline project is to give an overview of the existing evidence on the management of diverticular disease, primarily as a guidance to surgeons. METHODS: The guideline was developed during several working phases including three voting rounds and one consensus meeting. The two project leads (JKS and EA) appointed by the ESCP guideline committee together with one member of the guideline committee (WB) agreed on the methodology, decided on six themes for working groups (WGs) and drafted a list of research questions. Senior WG members, mostly colorectal surgeons within the ESCP, were invited based on publication records and geographical aspects. Other specialties were included in the WGs where relevant. In addition, one trainee or PhD fellow was invited in each WG. All six WGs revised the research questions if necessary, did a literature search, created evidence tables where feasible, and drafted supporting text to each research question and statement. The text and statement proposals from each WG were arranged as one document by the first and last authors before online voting by all authors in two rounds. For the second voting ESCP national representatives were also invited. More than 90% agreement was considered a consensus. The final phrasing of the statements with &lt; 90% agreement was discussed in a consensus meeti</w:t>
      </w:r>
    </w:p>
    <w:p>
      <w:pPr/>
      <w:r>
        <w:rPr>
          <w:b/>
        </w:rPr>
        <w:t>POSSIBLE 2019:</w:t>
      </w:r>
      <w:r>
        <w:t xml:space="preserve"> Just Europe — https://doi.org/10.1111/papa.12133</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In a letter written in 1998, John Rawls invites Europeans to give up the project of constructing a federal union that would make Europe more like the United States. This invitation is consistent with the approach to justice he developed in The Law of Peoples. By contrast, both Thomas Nagel’s approach and an understanding of social justice as global justice lead to a more ambitious interpretation of the demands of distributive justice within the European Union that calls for the pursuit of European integration. Further integration of the required sort would need to make European institutions more like those of the United States in three respects: a transfer union, a common electoral space, a shared language. However, given the trap, insightfully anticipated by Friedrich Hayek, in which the European Union finds itself today, even those inclined to adopt Rawls’s approach to justice may be well advised to opt for a similar strategy.</w:t>
      </w:r>
    </w:p>
    <w:p>
      <w:pPr/>
      <w:r>
        <w:rPr>
          <w:b/>
        </w:rPr>
        <w:t>POSSIBLE 2018:</w:t>
      </w:r>
      <w:r>
        <w:t xml:space="preserve"> The Feminist Project under Threat in Europe — https://doi.org/10.17645/pag.v6i3.1736</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Is the feminist project under threat in Europe? This thematic issue addresses the question in both theoretical and empirical ways, focusing on the various ways in which feminist politics are opposed and why, on what the impact of such opposition is, and how to improve our theoretical understanding of this particular manifestation of gender and politics. The issue addresses three major challenges: a need to reflect on the most suited concepts and theories in political and social sciences to understand what is at stake in Europe today; a need to vernacularize existing knowledge while forging global frames of analysis; and a need to avoid the risk of reifying oppositional forces and of reiterating dichotomous frames and categories. The responses to these challenges are: to analyse the threats to the feminist project as parts of larger projects against social justice and equality; to contrast macro narratives by engaging with the microlevel of the anti-feminist project, enabling a critique of mainstream scholarship; to analyse the threats to the feminist project as related to processes of changes to democracy, such as democratic backsliding; to give prominent attention to discursive, epistemic and symbolic processes; and finally to include studies on the response of feminist actors to the threats experienced. This collection of articles offers a variety of perspectives on the vario</w:t>
      </w:r>
    </w:p>
    <w:p>
      <w:pPr/>
      <w:r>
        <w:rPr>
          <w:b/>
        </w:rPr>
        <w:t>POSSIBLE 2018:</w:t>
      </w:r>
      <w:r>
        <w:t xml:space="preserve"> Adaptability and reproducibility of a memory disruption rTMS protocol in the PharmaCog IMI European project — https://doi.org/10.1038/s41598-018-27502-1</w:t>
      </w:r>
    </w:p>
    <w:p>
      <w:pPr/>
      <w:r>
        <w:rPr>
          <w:b/>
        </w:rPr>
        <w:t>Shared claim-specific concepts:</w:t>
      </w:r>
      <w:r>
        <w:t xml:space="preserve"> project, invited, three; EU scope visible. This is a provisional connection, not an outcome finding.</w:t>
      </w:r>
    </w:p>
    <w:p>
      <w:pPr>
        <w:pStyle w:val="SourceNote"/>
      </w:pPr>
      <w:r>
        <w:rPr>
          <w:b/>
        </w:rPr>
        <w:t>Available abstract (not full text):</w:t>
      </w:r>
      <w:r>
        <w:t xml:space="preserve"> Transcranial magnetic stimulation (TMS) can interfere with cognitive processes, such as transiently impairing memory. As part of a multi-center European project, we investigated the adaptability and reproducibility of a previously published TMS memory interfering protocol in two centers using EEG or fMRI scenarios. Participants were invited to attend three experimental sessions on different days, with sham repetitive TMS (rTMS) applied on day 1 and real rTMS on days 2 and 3. Sixty-eight healthy young men were included. On each experimental day, volunteers were instructed to remember visual pictures while receiving neuronavigated rTMS trains (20 Hz, 900 ms) during picture encoding at the left dorsolateral prefrontal cortex (L-DLPFC) and the vertex. Mixed ANOVA model analyses were performed. rTMS to the L-DLPFC significantly disrupted recognition memory on experimental day 2. No differences were found between centers or between fMRI and EEG recordings. Subjects with lower baseline memory performances were more susceptible to TMS disruption. No stability of TMS-induced memory interference could be demonstrated on day 3. Our data suggests that adapted cognitive rTMS protocols can be implemented in multi-center studies incorporating standardized experimental procedures. However, our center and modality effects analyses lacked sufficient statistical power, hence highlighting the need</w:t>
      </w:r>
    </w:p>
    <w:p>
      <w:pPr/>
      <w:r>
        <w:rPr>
          <w:b/>
        </w:rPr>
        <w:t>POSSIBLE 2017:</w:t>
      </w:r>
      <w:r>
        <w:t xml:space="preserve"> Unemployed Youth and Social Exclusion in Europe — https://doi.org/10.4324/9781315235356</w:t>
      </w:r>
    </w:p>
    <w:p>
      <w:pPr/>
      <w:r>
        <w:rPr>
          <w:b/>
        </w:rPr>
        <w:t>Shared claim-specific concepts:</w:t>
      </w:r>
      <w:r>
        <w:t xml:space="preserve"> project, three; EU scope visible. This is a provisional connection, not an outcome finding.</w:t>
      </w:r>
    </w:p>
    <w:p>
      <w:pPr>
        <w:pStyle w:val="SourceNote"/>
      </w:pPr>
      <w:r>
        <w:rPr>
          <w:b/>
        </w:rPr>
        <w:t>Available abstract (not full text):</w:t>
      </w:r>
      <w:r>
        <w:t xml:space="preserve"> This book confronts readers with questions emerging from the 'gap' between EU aspirations to reduce youth unemployment without increasing social exclusion - and what is actually happening in practice. Aimed at a diverse readership, it is based on a three year European Union (EU) project into education, training, guidance and employment (ETG) programmes for young adults across six countries. Insights are grounded in the lives and stories of disadvantaged young adults, and of those who work with them, bringing to life unintended impacts of well intended interventions. The authors consider the influence of shifting political and pedagogical ideologies in the EU on local practices and young peoples’ lives and choices. They also consider the impact of policy and performance management discourses ’on the ground’. This work uses rigorous yet innovative narrative forms to invite readers into a ’whole system’ inquiry into these complexities. Unemployed Youth and Social Exclusion in Europe will make an important contribution to reflecting critically on current policy and practice, as well as to academic understandings of unemployed youth, and restrictive and reflexive approaches to learning for inclusion across Europe.</w:t>
      </w:r>
    </w:p>
    <w:p>
      <w:pPr/>
      <w:r>
        <w:rPr>
          <w:b/>
        </w:rPr>
        <w:t>POSSIBLE 2015:</w:t>
      </w:r>
      <w:r>
        <w:t xml:space="preserve"> Research priorities for public mental health in Europe: recommendations of the ROAMER project — https://doi.org/10.1093/eurpub/cku232</w:t>
      </w:r>
    </w:p>
    <w:p>
      <w:pPr/>
      <w:r>
        <w:rPr>
          <w:b/>
        </w:rPr>
        <w:t>Shared claim-specific concepts:</w:t>
      </w:r>
      <w:r>
        <w:t xml:space="preserve"> project, invited, three, experts, scientific; EU scope visible. This is a provisional connection, not an outcome finding.</w:t>
      </w:r>
    </w:p>
    <w:p>
      <w:pPr>
        <w:pStyle w:val="SourceNote"/>
      </w:pPr>
      <w:r>
        <w:rPr>
          <w:b/>
        </w:rPr>
        <w:t>Available abstract (not full text):</w:t>
      </w:r>
      <w:r>
        <w:t xml:space="preserve"> BACKGROUND: The ROAdmap for MEntal health Research in Europe project aimed to create an integrated European roadmap for mental health research. Leading mental health research experts across Europe have formulated consensus-based recommendations for future research within the public mental health field. METHODS: Experts were invited to compile and discuss research priorities in a series of topic-based scientific workshops. In addition, a Delphi process was carried out to reach consensus on the list of research priorities and their rank order. Three web-based surveys were conducted. Nearly 60 experts were involved in the priority setting process. RESULTS: Twenty priorities for public mental health research were identified through the consensus process. The research priorities were divided into summary principles-encompassing overall recommendations for future public mental health research in Europe-and thematic research priorities, including area-specific top priorities on research topics and methods. The priorities represent three overarching goals mirroring societal challenges, that is, to identify causes, risk and protective factors for mental health across the lifespan; to advance the implementation of effective public mental health interventions and to reduce disparities in mental health. CONCLUSIONS: The importance of strengthening research on the implementation and dissemi</w:t>
      </w:r>
    </w:p>
    <w:p>
      <w:pPr/>
      <w:r>
        <w:rPr>
          <w:b/>
        </w:rPr>
        <w:t>POSSIBLE 2015:</w:t>
      </w:r>
      <w:r>
        <w:t xml:space="preserve"> Quantifying the health impacts of ambient air pollutants: recommendations of a WHO/Europe project — https://doi.org/10.1007/s00038-015-0690-y</w:t>
      </w:r>
    </w:p>
    <w:p>
      <w:pPr/>
      <w:r>
        <w:rPr>
          <w:b/>
        </w:rPr>
        <w:t>Shared claim-specific concepts:</w:t>
      </w:r>
      <w:r>
        <w:t xml:space="preserve"> project, experts, provide, scientific; EU scope visible. This is a provisional connection, not an outcome finding.</w:t>
      </w:r>
    </w:p>
    <w:p>
      <w:pPr>
        <w:pStyle w:val="SourceNote"/>
      </w:pPr>
      <w:r>
        <w:rPr>
          <w:b/>
        </w:rPr>
        <w:t>Available abstract (not full text):</w:t>
      </w:r>
      <w:r>
        <w:t xml:space="preserve"> OBJECTIVE: Quantitative estimates of air pollution health impacts have become an increasingly critical input to policy decisions. The WHO project "Health risks of air pollution in Europe--HRAPIE" was implemented to provide the evidence-based concentration-response functions for quantifying air pollution health impacts to support the 2013 revision of the air quality policy for the European Union (EU). METHODS: A group of experts convened by WHO Regional Office for Europe reviewed the accumulated primary research evidence together with some commissioned reviews and recommended concentration-response functions for air pollutant-health outcome pairs for which there was sufficient evidence for a causal association. RESULTS: The concentration-response functions link several indicators of mortality and morbidity with short- and long-term exposure to particulate matter, ozone and nitrogen dioxide. The project also provides guidance on the use of these functions and associated baseline health information in the cost-benefit analysis. CONCLUSIONS: The project results provide the scientific basis for formulating policy actions to improve air quality and thereby reduce the burden of disease associated with air pollution in Europe.</w:t>
      </w:r>
    </w:p>
    <w:p>
      <w:pPr/>
      <w:r>
        <w:rPr>
          <w:b/>
        </w:rPr>
        <w:t>POSSIBLE 2014:</w:t>
      </w:r>
      <w:r>
        <w:t xml:space="preserve"> Transcending community energy: collective and politically motivated projects in renewable energy (CPE) across Europe — https://doi.org/10.3351/ppp.0008.0003.0004</w:t>
      </w:r>
    </w:p>
    <w:p>
      <w:pPr/>
      <w:r>
        <w:rPr>
          <w:b/>
        </w:rPr>
        <w:t>Shared claim-specific concepts:</w:t>
      </w:r>
      <w:r>
        <w:t xml:space="preserve"> project, three, provide; EU scope visible. This is a provisional connection, not an outcome finding.</w:t>
      </w:r>
    </w:p>
    <w:p>
      <w:pPr>
        <w:pStyle w:val="SourceNote"/>
      </w:pPr>
      <w:r>
        <w:rPr>
          <w:b/>
        </w:rPr>
        <w:t>Available abstract (not full text):</w:t>
      </w:r>
      <w:r>
        <w:t xml:space="preserve"> Based on an EU-wide empirical survey, this paper proposes the alternative concept of collective and politically motivated renewable energy (CPE) projects that includes different forms of enterprises such as co-operatives and participatory public utilities.In doing so, we intend to take a clearer stance on both organisational and ownership features and the political motivation of these projects.The aim is to overcome the vagueness of the term 'community energy' and to widen the perspective beyond the British context.Mapping CPE projects across different European countries we have identified three development trends and provide a project case study for each trend: the further dissemination of local CPE projects, the formation of regional projects, and the occurrence of urban CPE projects.Countries covered are the United Kingdom, Spain and Germany.We also reflect our findings for the concept of community energy and invite researchers to expand upon our research.</w:t>
      </w:r>
    </w:p>
    <w:p>
      <w:pPr>
        <w:pStyle w:val="Heading2"/>
      </w:pPr>
      <w:r>
        <w:t>895.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2020:</w:t>
      </w:r>
      <w:r>
        <w:t xml:space="preserve"> Marine Foresight Study — https://openalex.org/W3147024838</w:t>
      </w:r>
    </w:p>
    <w:p>
      <w:pPr/>
      <w:r>
        <w:rPr>
          <w:b/>
        </w:rPr>
        <w:t>Shared claim-specific concepts:</w:t>
      </w:r>
      <w:r>
        <w:t xml:space="preserve"> foresight, government, national; EU scope visible. This is a provisional connection, not an outcome finding.</w:t>
      </w:r>
    </w:p>
    <w:p>
      <w:pPr>
        <w:pStyle w:val="SourceNote"/>
      </w:pPr>
      <w:r>
        <w:rPr>
          <w:b/>
        </w:rPr>
        <w:t>Available abstract (not full text):</w:t>
      </w:r>
      <w:r>
        <w:t xml:space="preserve">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backed;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2016:</w:t>
      </w:r>
      <w:r>
        <w:t xml:space="preserve"> NCRR - New Foresight Research Method — https://openalex.org/W2555381373</w:t>
      </w:r>
    </w:p>
    <w:p>
      <w:pPr/>
      <w:r>
        <w:rPr>
          <w:b/>
        </w:rPr>
        <w:t>Shared claim-specific concepts:</w:t>
      </w:r>
      <w:r>
        <w:t xml:space="preserve"> purpose, foresight, project, qualitative; EU scope not established. This is a provisional connection, not an outcome finding.</w:t>
      </w:r>
    </w:p>
    <w:p>
      <w:pPr>
        <w:pStyle w:val="SourceNote"/>
      </w:pPr>
      <w:r>
        <w:rPr>
          <w:b/>
        </w:rPr>
        <w:t>Available abstract (not full text):</w:t>
      </w:r>
      <w:r>
        <w:t xml:space="preserve">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pPr/>
      <w:r>
        <w:rPr>
          <w:b/>
        </w:rPr>
        <w:t>POSSIBLE 2016:</w:t>
      </w:r>
      <w:r>
        <w:t xml:space="preserve"> THE APPLICATION OF FORESIGHT PROJECTS IN FORMATION OF TECHNOLOGICAL COMPANIES’ INNOVATION DEVELOPMENT STRATEGY — https://doi.org/10.18184/2079-4665.2016.7.4.108.114</w:t>
      </w:r>
    </w:p>
    <w:p>
      <w:pPr/>
      <w:r>
        <w:rPr>
          <w:b/>
        </w:rPr>
        <w:t>Shared claim-specific concepts:</w:t>
      </w:r>
      <w:r>
        <w:t xml:space="preserve"> purpose, foresight, project, national, scientists; EU scope not established. This is a provisional connection, not an outcome finding.</w:t>
      </w:r>
    </w:p>
    <w:p>
      <w:pPr>
        <w:pStyle w:val="SourceNote"/>
      </w:pPr>
      <w:r>
        <w:rPr>
          <w:b/>
        </w:rPr>
        <w:t>Available abstract (not full text):</w:t>
      </w:r>
      <w:r>
        <w:t xml:space="preserve">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pPr/>
      <w:r>
        <w:rPr>
          <w:b/>
        </w:rPr>
        <w:t>POSSIBLE 2016:</w:t>
      </w:r>
      <w:r>
        <w:t xml:space="preserve"> Foresight Project “Psychological and Pedagogical Educational Platform for Teachers of Professional School” — https://openalex.org/W7139567451</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pPr/>
      <w:r>
        <w:rPr>
          <w:b/>
        </w:rPr>
        <w:t>POSSIBLE 2015:</w:t>
      </w:r>
      <w:r>
        <w:t xml:space="preserve"> Wild Cards in Polish Foresight Practice — https://doi.org/10.1016/j.sbspro.2015.11.510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896.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pStyle w:val="Heading2"/>
      </w:pPr>
      <w:r>
        <w:t>897.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r>
        <w:rPr>
          <w:b/>
        </w:rPr>
        <w:t>POSSIBLE 2020:</w:t>
      </w:r>
      <w:r>
        <w:t xml:space="preserve"> The issue of so-called hate speech in the context of freedom of speech — https://openalex.org/W7135460664</w:t>
      </w:r>
    </w:p>
    <w:p>
      <w:pPr/>
      <w:r>
        <w:rPr>
          <w:b/>
        </w:rPr>
        <w:t>Shared claim-specific concepts:</w:t>
      </w:r>
      <w:r>
        <w:t xml:space="preserve"> first, so-called, context, describe, relevant, provide; EU scope visible. This is a provisional connection, not an outcome finding.</w:t>
      </w:r>
    </w:p>
    <w:p>
      <w:pPr>
        <w:pStyle w:val="SourceNote"/>
      </w:pPr>
      <w:r>
        <w:rPr>
          <w:b/>
        </w:rPr>
        <w:t>Available abstract (not full text):</w:t>
      </w:r>
      <w:r>
        <w:t xml:space="preserve"> The issue of so called hate speech in the context of freedom of speech Abstract This thesis titled The issue of so-called hate speech in the context of freedom of speech deals with the legal regulation of hate speech at the international and national level. The thesis contains a comprehensive analysis of legal instruments regulating hate speech in civil, anti-discrimination, administrative and criminal law. This thesis combines the theoretical basis of hate speech regulation with practical knowledge about the applicability of individual legal norms and is supplemented by relevant case law of the Czech courts and the European Court of Human Rights. The aim of this work is to describe the phenomenon of hate speech, provide an analysis of legal instruments regulating hate speech and also to analyse legal arguments for hate speech regulation. The thesis attempts to find the boundary between protected speech and speech that is unprotected by the international and constitutional framework of freedom of speech protection, by means of an analysis of individual court decisions. The thesis also contains a critical reflection of the current legal framework of hate speech regulation and suggests possible variants of legislative changes in the future. The thesis is structured into five chapters. The first part...</w:t>
      </w:r>
    </w:p>
    <w:p>
      <w:pPr/>
      <w:r>
        <w:rPr>
          <w:b/>
        </w:rPr>
        <w:t>POSSIBLE 2020:</w:t>
      </w:r>
      <w:r>
        <w:t xml:space="preserve"> Awareness of Spitzenkandidaten in the 2019 European elections: The effects of news exposure in domestic campaign contexts — https://doi.org/10.1177/2053168020915332</w:t>
      </w:r>
    </w:p>
    <w:p>
      <w:pPr/>
      <w:r>
        <w:rPr>
          <w:b/>
        </w:rPr>
        <w:t>Shared claim-specific concepts:</w:t>
      </w:r>
      <w:r>
        <w:t xml:space="preserve"> first, so-called, context, relevant, but; EU scope visible. This is a provisional connection, not an outcome finding.</w:t>
      </w:r>
    </w:p>
    <w:p>
      <w:pPr>
        <w:pStyle w:val="SourceNote"/>
      </w:pPr>
      <w:r>
        <w:rPr>
          <w:b/>
        </w:rPr>
        <w:t>Available abstract (not full text):</w:t>
      </w:r>
      <w:r>
        <w:t xml:space="preserve"> With the introduction of the so-called Spitzenkandidaten procedure, by which European party families nominate lead candidates for the post of President of the European Commission for European elections, the European Parliament (EP) sought to raise voter awareness and engagement by personalizing the campaigns. This article studies candidate recognition with respect to Spitzenkandidaten, which is an important prerequisite in the study of personalization effects on voter behaviour. We use novel survey data collected in 10 European countries in the 2019 EP election campaign ( n = 17,027). The article focuses on the role of voters’ news exposure in various media and argues that news exposure is crucial for candidate recognition, but its effect is contingent upon the domestic campaign context. The article is the first to show that the campaign context matters to the extent that news exposure is particularly relevant in those domestic contexts in which Spitzenkandidaten were not previously present. In other campaign contexts additional news exposure adds little to the effect of news exposure on candidate recognition. The results have important implications for understanding EP election campaigns.</w:t>
      </w:r>
    </w:p>
    <w:p>
      <w:pPr/>
      <w:r>
        <w:rPr>
          <w:b/>
        </w:rPr>
        <w:t>POSSIBLE 2020:</w:t>
      </w:r>
      <w:r>
        <w:t xml:space="preserve"> Problem of so-called social dumping in EU law — https://openalex.org/W7135789766</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Problem of so-called social dumping in EU law Abstract Social dumping in EU law is becoming an increasingly pressing problem. Due to the creation of the EU internal market and the accession of the new Member States, in particular southern and eastern Europe, social dumping is occurring in many forms in the European Union. Is it possible to prevent social dumping, or by what means can it be minimized? This diploma thesis in its first chapter deals with the definition of social dumping in EU law in general, focusing on social dumping in the form of so-called regulatory arbitrage, both theoretically and practically. In the second chapter, the author presents the development of social policy in the context of the EU internal market, since the interaction between the economic and social objectives of European integration is crucial for the existence of social dumping. This chapter is followed by the case law of the Court of Justice of the European Union in Rush Portuguesa, Viking Line, Laval, Rüffert and Commission v. Luxembourg, which concerns a conflict of fundamental freedoms and fundamental social rights. This chapter discusses how the Court of Justice of the European Union decides in the event of a conflict of these rights. Furthermore, that case-law has a considerable impact on the interpretation of the...</w:t>
      </w:r>
    </w:p>
    <w:p>
      <w:pPr/>
      <w:r>
        <w:rPr>
          <w:b/>
        </w:rPr>
        <w:t>POSSIBLE 2018:</w:t>
      </w:r>
      <w:r>
        <w:t xml:space="preserve"> East Central Europe in the First Globalization (1850-1914) — https://doi.org/10.2478/sho-2018-0004</w:t>
      </w:r>
    </w:p>
    <w:p>
      <w:pPr/>
      <w:r>
        <w:rPr>
          <w:b/>
        </w:rPr>
        <w:t>Shared claim-specific concepts:</w:t>
      </w:r>
      <w:r>
        <w:t xml:space="preserve"> first, so-called, context, different, developments, but; EU scope visible. This is a provisional connection, not an outcome finding.</w:t>
      </w:r>
    </w:p>
    <w:p>
      <w:pPr>
        <w:pStyle w:val="SourceNote"/>
      </w:pPr>
      <w:r>
        <w:rPr>
          <w:b/>
        </w:rPr>
        <w:t>Available abstract (not full text):</w:t>
      </w:r>
      <w:r>
        <w:t xml:space="preserve"> Summary The article analyzes the position and the positioning strategy of East Central Europe in the so-called “first globalization (1850-1914)”. The focus is on foreign trade and the transfer of the two most important production factors, i.e. capital and labor. East Central Europe included in this period the territories of the Habsburg Monarchy, the Kingdom of Poland as a part of the Russian Empire, and the eastern provinces of the Kingdom of Prussia which were from 1871 onwards part of the German Reich. The article combines the theories and methods of economic history and transnational history. It sees itself as a contribution to a trans-regional history of East Central Europe by analyzing first the main “flows” and then the influence of “controls”. The article analyzes to what extent and in what way East Central Europe was involved in the globalization processes of the late 19 th century. It discusses whether East Central Europe was only the object of global developments or even shaped them. In this context it asks about the role of the empires (Habsburg monarchy, German Reich, Russia) for the position of East Central European economies in the world economy. It shows that the economic elites in the centers but also on the edges of the empires developed different strategies for how to respond to the challenges of globalization.</w:t>
      </w:r>
    </w:p>
    <w:p>
      <w:pPr/>
      <w:r>
        <w:rPr>
          <w:b/>
        </w:rPr>
        <w:t>POSSIBLE 2018:</w:t>
      </w:r>
      <w:r>
        <w:t xml:space="preserve"> Administrative Justice in the CSR in the Years 1918 - 1938 within European context — https://openalex.org/W7135476898</w:t>
      </w:r>
    </w:p>
    <w:p>
      <w:pPr/>
      <w:r>
        <w:rPr>
          <w:b/>
        </w:rPr>
        <w:t>Shared claim-specific concepts:</w:t>
      </w:r>
      <w:r>
        <w:t xml:space="preserve"> first, so-called, context, but; EU scope visible. This is a provisional connection, not an outcome finding.</w:t>
      </w:r>
    </w:p>
    <w:p>
      <w:pPr>
        <w:pStyle w:val="SourceNote"/>
      </w:pPr>
      <w:r>
        <w:rPr>
          <w:b/>
        </w:rPr>
        <w:t>Available abstract (not full text):</w:t>
      </w:r>
      <w:r>
        <w:t xml:space="preserve"> Administrative Justice in the CSR in the Years 1918 - 1938 within European context. For my thesis I chose as a topic 'Administrative Justice in the CSR in the Years 1918 - 1938 within European Context', as administrative justice including the protection against illegal interventions of executive power is topical for any democratic state at any time. The purpose of administrative justice is reviewing administrative acts of public administration namely by independent courts. I decided to target my thesis on the period of so-called first republic thus on the period from 28 October 1918 i.e. from establishing the independent Czechoslovak state to 30 September 1938, i.e. the signing of the Munich agreement. After establishing the independent Czechoslovak state The Act on the Supreme Administrative Court and on Solving Competence Litigations was one of the first acts passed by the National Czechoslovak Committee. This year i.e. in 2018 it has been 100 years since constituting administrative justice in the Czechoslovak Republic. However, when the Czechoslovak Republic came into being administrative justice was not formed from scratch, but by the above mentioned Act on Administrative Justice and Solving Competence Litigations Austrian administrative justice was adopted. During the first republic, however,...</w:t>
      </w:r>
    </w:p>
    <w:p>
      <w:pPr/>
      <w:r>
        <w:rPr>
          <w:b/>
        </w:rPr>
        <w:t>POSSIBLE 2016:</w:t>
      </w:r>
      <w:r>
        <w:t xml:space="preserve"> Partnership Patterns in the United States and across Europe: The Role of Education and Country Context — https://doi.org/10.1093/sf/sow054</w:t>
      </w:r>
    </w:p>
    <w:p>
      <w:pPr/>
      <w:r>
        <w:rPr>
          <w:b/>
        </w:rPr>
        <w:t>Shared claim-specific concepts:</w:t>
      </w:r>
      <w:r>
        <w:t xml:space="preserve"> context, developments, but; EU scope visible. This is a provisional connection, not an outcome finding.</w:t>
      </w:r>
    </w:p>
    <w:p>
      <w:pPr>
        <w:pStyle w:val="SourceNote"/>
      </w:pPr>
      <w:r>
        <w:rPr>
          <w:b/>
        </w:rPr>
        <w:t>Available abstract (not full text):</w:t>
      </w:r>
      <w:r>
        <w:t xml:space="preserve"> Patterns of partnership formation and dissolution are changing dramatically across the Western world. Some scholars have argued that women's trajectories of union formation and dissolution are diverging by education, with the higher educated postponing but eventually marrying and the lower educated more likely to cohabit or divorce if they do marry. At the same time, the variation in partnership behavior has also increased across countries, suggesting that country context plays an important role. Here, we use latent class growth models to compare the educational gradient of partnership trajectories in the United States and 14 countries in Europe and investigate the role of education and country context. Our results indicate a consistent positive educational gradient for partnership patterns showing the postponement of marriage, regardless of whether marriage was preceded by cohabitation, but a less consistent gradient for patterns reflecting long-term cohabitation and union dissolution. Although the US results show evidence of an educational divergence in marriage and union dissolution, the evidence from the other countries is weak. In addition, country context explains more of the variation in class membership than education, with context becoming more important over time. The divergence in behaviors across country contexts suggests that social, cultural, political, and econom</w:t>
      </w:r>
    </w:p>
    <w:p>
      <w:pPr/>
      <w:r>
        <w:rPr>
          <w:b/>
        </w:rPr>
        <w:t>POSSIBLE 2014:</w:t>
      </w:r>
      <w:r>
        <w:t xml:space="preserve"> The status of tularemia in Europe in a one-health context: a review — https://doi.org/10.1017/s0950268814002398</w:t>
      </w:r>
    </w:p>
    <w:p>
      <w:pPr/>
      <w:r>
        <w:rPr>
          <w:b/>
        </w:rPr>
        <w:t>Shared claim-specific concepts:</w:t>
      </w:r>
      <w:r>
        <w:t xml:space="preserve"> context, different, control, provide; EU scope visible. This is a provisional connection, not an outcome finding.</w:t>
      </w:r>
    </w:p>
    <w:p>
      <w:pPr>
        <w:pStyle w:val="SourceNote"/>
      </w:pPr>
      <w:r>
        <w:rPr>
          <w:b/>
        </w:rPr>
        <w:t>Available abstract (not full text):</w:t>
      </w:r>
      <w:r>
        <w:t xml:space="preserve"> The bacterium Francisella tularensis causes the vector-borne zoonotic disease tularemia, and may infect a wide range of hosts including invertebrates, mammals and birds. Transmission to humans occurs through contact with infected animals or contaminated environments, or through arthropod vectors. Tularemia has a broad geographical distribution, and there is evidence which suggests local emergence or re-emergence of this disease in Europe. This review was developed to provide an update on the geographical distribution of F. tularensis in humans, wildlife, domestic animals and vector species, to identify potential public health hazards, and to characterize the epidemiology of tularemia in Europe. Information was collated on cases in humans, domestic animals and wildlife, and on reports of detection of the bacterium in arthropod vectors, from 38 European countries for the period 1992-2012. Multiple international databases on human and animal health were consulted, as well as published reports in the literature. Tularemia is a disease of complex epidemiology that is challenging to understand and therefore to control. Many aspects of this disease remain poorly understood. Better understanding is needed of the epidemiological role of animal hosts, potential vectors, mechanisms of maintenance in the different ecosystems, and routes of transmission of the disease.</w:t>
      </w:r>
    </w:p>
    <w:p>
      <w:pPr>
        <w:pStyle w:val="Heading2"/>
      </w:pPr>
      <w:r>
        <w:t>898.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Hepatitis E Seroprevalence in Europe: A Meta-Analysis — https://doi.org/10.3390/v8080211</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899.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2021:</w:t>
      </w:r>
      <w:r>
        <w:t xml:space="preserve"> Current and projected regional economic impacts of heatwaves in Europe — https://doi.org/10.1038/s41467-021-26050-z</w:t>
      </w:r>
    </w:p>
    <w:p>
      <w:pPr/>
      <w:r>
        <w:rPr>
          <w:b/>
        </w:rPr>
        <w:t>Shared claim-specific concepts:</w:t>
      </w:r>
      <w:r>
        <w:t xml:space="preserve"> increase, current, compared;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current, climate, compared;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Projected Changes in European and North Atlantic Seasonal Wind Climate Derived from CMIP5 Simulations — https://doi.org/10.1175/jcli-d-19-0023.1</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Future changes in geostrophic winds over Europe and the North Atlantic region were studied utilizing output data from 21 CMIP5 global climate models (GCMs). Changes in temporal means, extremes, and the joint distribution of speed and direction were considered. In concordance with previous research, the time mean and extreme scalar wind speeds do not change pronouncedly in response to the projected climate change; some degree of weakening occurs in the majority of the domain. Nevertheless, substantial changes in high wind speeds are identified when studying the geostrophic winds from different directions separately. In particular, in northern Europe in autumn and in parts of northwestern Europe in winter, the frequency of strong westerly winds is projected to increase by up to 50%. Concurrently, easterly winds become less common. In addition, we evaluated the potential of the GCMs to simulate changes in the near-surface true wind speeds. In ocean areas, changes in the true and geostrophic winds are mainly consistent and the emerging differences can be explained (e.g., by the retreat of Arctic sea ice). Conversely, in several GCMs the continental wind speed response proved to be predominantly determined by fairly arbitrary changes in the surface properties rather than by changes in the atmospheric circulation. Accordingly, true wind projections derived directly from the </w:t>
      </w:r>
    </w:p>
    <w:p>
      <w:pPr/>
      <w:r>
        <w:rPr>
          <w:b/>
        </w:rPr>
        <w:t>POSSIBLE 2018:</w:t>
      </w:r>
      <w:r>
        <w:t xml:space="preserve"> Multi-Model Projections of River Flood Risk in Europe under Global Warming — https://doi.org/10.3390/cli6010006</w:t>
      </w:r>
    </w:p>
    <w:p>
      <w:pPr/>
      <w:r>
        <w:rPr>
          <w:b/>
        </w:rPr>
        <w:t>Shared claim-specific concepts:</w:t>
      </w:r>
      <w:r>
        <w:t xml:space="preserve"> increase, climate, levels; EU scope visible. This is a provisional connection, not an outcome finding.</w:t>
      </w:r>
    </w:p>
    <w:p>
      <w:pPr>
        <w:pStyle w:val="SourceNote"/>
      </w:pPr>
      <w:r>
        <w:rPr>
          <w:b/>
        </w:rPr>
        <w:t>Available abstract (not full text):</w:t>
      </w:r>
      <w:r>
        <w:t xml:space="preserve"> Knowledge on the costs of natural disasters under climate change is key information for planning adaptation and mitigation strategies of future climate policies. Impact models for large scale flood risk assessment have made leaps forward in the past few years, thanks to the increased availability of high resolution climate projections and of information on local exposure and vulnerability to river floods. Yet, state-of-the-art flood impact models rely on a number of input data and techniques that can substantially influence their results. This work compares estimates of river flood risk in Europe from three recent case studies, assuming global warming scenarios of 1.5, 2, and 3 degrees Celsius from pre-industrial levels. The assessment is based on comparing ensemble projections of expected damage and population affected at country level. Differences and common points between the three cases are shown, to point out main sources of uncertainty, strengths, and limitations. In addition, the multi-model comparison helps identify regions with the largest agreement on specific changes in flood risk. Results show that global warming is linked to substantial increase in flood risk over most countries in Central and Western Europe at all warming levels. In Eastern Europe, the average change in flood risk is smaller and the multi-model agreement is poorer.</w:t>
      </w:r>
    </w:p>
    <w:p>
      <w:pPr/>
      <w:r>
        <w:rPr>
          <w:b/>
        </w:rPr>
        <w:t>POSSIBLE 2017:</w:t>
      </w:r>
      <w:r>
        <w:t xml:space="preserve"> Assessment of an extended version of the Jenkinson–Collison classification on CMIP5 models over Europe — https://doi.org/10.1007/s00382-017-3705-y</w:t>
      </w:r>
    </w:p>
    <w:p>
      <w:pPr/>
      <w:r>
        <w:rPr>
          <w:b/>
        </w:rPr>
        <w:t>Shared claim-specific concepts:</w:t>
      </w:r>
      <w:r>
        <w:t xml:space="preserve"> minor, increase, climate, compared; EU scope visible. This is a provisional connection, not an outcome finding.</w:t>
      </w:r>
    </w:p>
    <w:p>
      <w:pPr>
        <w:pStyle w:val="SourceNote"/>
      </w:pPr>
      <w:r>
        <w:rPr>
          <w:b/>
        </w:rPr>
        <w:t>Available abstract (not full text):</w:t>
      </w:r>
      <w:r>
        <w:t xml:space="preserve"> A gridded, geographically extended weather type classification has been developed based on the Jenkinson–Collison (JC) classification system and used to evaluate the representation of weather types over Europe in a suite of climate model simulations. To this aim, a set of models participating in the Coupled Model Intercomparison Project Phase 5 (CMIP5) is compared with the circulation from two reanalysis products. Furthermore, we examine seasonal changes between simulated frequencies of weather types at present and future climate conditions. The models are in reasonably good agreement with the reanalyses, but some discrepancies occur in cyclonic days being overestimated over North, and underestimated over South Europe, while anticyclonic situations were overestimated over South, and underestimated over North Europe. Low flow conditions were generally underestimated, especially in summer over South Europe, and Westerly conditions were generally overestimated. The projected frequencies of weather types in the late twenty-first century suggest an increase of Anticyclonic days over South Europe in all seasons except summer, while Westerly days increase over North and Central Europe, particularly in winter. We find significant changes in the frequency of Low flow conditions and the Easterly type that become more frequent during the warmer seasons over Southeast and Southwest Europe,</w:t>
      </w:r>
    </w:p>
    <w:p>
      <w:pPr/>
      <w:r>
        <w:rPr>
          <w:b/>
        </w:rPr>
        <w:t>POSSIBLE 2015:</w:t>
      </w:r>
      <w:r>
        <w:t xml:space="preserve"> Influence of climate model variability on projected Arctic shipping futures — https://doi.org/10.1002/2015ef000317</w:t>
      </w:r>
    </w:p>
    <w:p>
      <w:pPr/>
      <w:r>
        <w:rPr>
          <w:b/>
        </w:rPr>
        <w:t>Shared claim-specific concepts:</w:t>
      </w:r>
      <w:r>
        <w:t xml:space="preserve"> minor, climate, compared; EU scope visible. This is a provisional connection, not an outcome finding.</w:t>
      </w:r>
    </w:p>
    <w:p>
      <w:pPr>
        <w:pStyle w:val="SourceNote"/>
      </w:pPr>
      <w:r>
        <w:rPr>
          <w:b/>
        </w:rPr>
        <w:t>Available abstract (not full text):</w:t>
      </w:r>
      <w:r>
        <w:t xml:space="preserve"> Abstract Though climate models exhibit broadly similar agreement on key long‐term trends, they have significant temporal and spatial differences due to intermodel variability. Such variability should be considered when using climate models to project the future marine Arctic. Here we present multiple scenarios of 21st‐century Arctic marine access as driven by sea ice output from 10 CMIP5 models known to represent well the historical trend and climatology of Arctic sea ice. Optimal vessel transits from North America and Europe to the Bering Strait are estimated for two periods representing early‐century (2011–2035) and mid‐century (2036–2060) conditions under two forcing scenarios ( RCP 4.5/8.5), assuming Polar Class 6 and open‐water vessels with medium and no ice‐breaking capability, respectively. Results illustrate that projected shipping viability of the Northern Sea Route ( NSR ) and Northwest Passage ( NWP ) depends critically on model choice. The eastern Arctic will remain the most reliably accessible marine space for trans‐Arctic shipping by mid‐century, while outcomes for the NWP are particularly model‐dependent. Omitting three models ( GFDL‐CM3 , MIROC‐ESM‐CHEM , and MPI‐ESM‐MR ), our results would indicate minimal NWP potential even for routes from North America. Furthermore, the relative importance of the NSR will diminish over time as the number of viable central Arc</w:t>
      </w:r>
    </w:p>
    <w:p>
      <w:pPr/>
      <w:r>
        <w:rPr>
          <w:b/>
        </w:rPr>
        <w:t>POSSIBLE 2014:</w:t>
      </w:r>
      <w:r>
        <w:t xml:space="preserve"> Adapting wheat in Europe for climate change — https://doi.org/10.1016/j.jcs.2014.01.006</w:t>
      </w:r>
    </w:p>
    <w:p>
      <w:pPr/>
      <w:r>
        <w:rPr>
          <w:b/>
        </w:rPr>
        <w:t>Shared claim-specific concepts:</w:t>
      </w:r>
      <w:r>
        <w:t xml:space="preserve"> increase, current, climate; EU scope visible. This is a provisional connection, not an outcome finding.</w:t>
      </w:r>
    </w:p>
    <w:p>
      <w:pPr>
        <w:pStyle w:val="SourceNote"/>
      </w:pPr>
      <w:r>
        <w:rPr>
          <w:b/>
        </w:rPr>
        <w:t>Available abstract (not full text):</w:t>
      </w:r>
      <w:r>
        <w:t xml:space="preserve"> Increasing cereal yield is needed to meet the projected increased demand for world food supply of about 70% by 2050. Sirius, a process-based model for wheat, was used to estimate yield potential for wheat ideotypes optimized for future climatic projections for ten wheat growing areas of Europe. It was predicted that the detrimental effect of drought stress on yield would be decreased due to enhanced tailoring of phenology to future weather patterns, and due to genetic improvements in the response of photosynthesis and green leaf duration to water shortage. Yield advances could be made through extending maturation and thereby improve resource capture and partitioning. However the model predicted an increase in frequency of heat stress at meiosis and anthesis. Controlled environment experiments quantify the effects of heat and drought at booting and flowering on grain numbers and potential grain size. A current adaptation of wheat to areas of Europe with hotter and drier summers is a quicker maturation which helps to escape from excessive stress, but results in lower yields. To increase yield potential and to respond to climate change, increased tolerance to heat and drought stress should remain priorities for the genetic improvement of wheat.</w:t>
      </w:r>
    </w:p>
    <w:p>
      <w:pPr>
        <w:pStyle w:val="Heading2"/>
      </w:pPr>
      <w:r>
        <w:t>900.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2023:</w:t>
      </w:r>
      <w:r>
        <w:t xml:space="preserve"> The overlooked contribution of trees outside forests to tree cover and woody biomass across Europe — https://doi.org/10.1126/sciadv.adh4097</w:t>
      </w:r>
    </w:p>
    <w:p>
      <w:pPr/>
      <w:r>
        <w:rPr>
          <w:b/>
        </w:rPr>
        <w:t>Shared claim-specific concepts:</w:t>
      </w:r>
      <w:r>
        <w:t xml:space="preserve"> biomass, stock, high, forests; EU scope visible. This is a provisional connection, not an outcome finding.</w:t>
      </w:r>
    </w:p>
    <w:p>
      <w:pPr>
        <w:pStyle w:val="SourceNote"/>
      </w:pPr>
      <w:r>
        <w:rPr>
          <w:b/>
        </w:rPr>
        <w:t>Available abstract (not full text):</w:t>
      </w:r>
      <w:r>
        <w:t xml:space="preserve">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pPr/>
      <w:r>
        <w:rPr>
          <w:b/>
        </w:rPr>
        <w:t>POSSIBLE 2023:</w:t>
      </w:r>
      <w:r>
        <w:t xml:space="preserve"> Global increase in biomass carbon stock dominated by growth of northern young forests over past decade — https://doi.org/10.1038/s41561-023-01274-4</w:t>
      </w:r>
    </w:p>
    <w:p>
      <w:pPr/>
      <w:r>
        <w:rPr>
          <w:b/>
        </w:rPr>
        <w:t>Shared claim-specific concepts:</w:t>
      </w:r>
      <w:r>
        <w:t xml:space="preserve"> biomass, stock, forests, increase;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Allometric relationships between above-ground biomass increment and stand characteristics for crimean pine in Taşköprü, Turkey — https://doi.org/10.1590/01047760202329013169</w:t>
      </w:r>
    </w:p>
    <w:p>
      <w:pPr/>
      <w:r>
        <w:rPr>
          <w:b/>
        </w:rPr>
        <w:t>Shared claim-specific concepts:</w:t>
      </w:r>
      <w:r>
        <w:t xml:space="preserve"> investigated, biomass, increments, one, high, increment; EU scope not established. This is a provisional connection, not an outcome finding.</w:t>
      </w:r>
    </w:p>
    <w:p>
      <w:pPr>
        <w:pStyle w:val="SourceNote"/>
      </w:pPr>
      <w:r>
        <w:rPr>
          <w:b/>
        </w:rPr>
        <w:t>Available abstract (not full text):</w:t>
      </w:r>
      <w:r>
        <w:t xml:space="preserve">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pPr/>
      <w:r>
        <w:rPr>
          <w:b/>
        </w:rPr>
        <w:t>POSSIBLE 2022:</w:t>
      </w:r>
      <w:r>
        <w:t xml:space="preserve"> Biomass allocation and carbon stock in Douglas fir and Norway spruce at the tree and stand level — https://doi.org/10.2478/forj-2022-0005</w:t>
      </w:r>
    </w:p>
    <w:p>
      <w:pPr/>
      <w:r>
        <w:rPr>
          <w:b/>
        </w:rPr>
        <w:t>Shared claim-specific concepts:</w:t>
      </w:r>
      <w:r>
        <w:t xml:space="preserve"> investigated, biomass, stock, high, forests, wood; EU scope visible. This is a provisional connection, not an outcome finding.</w:t>
      </w:r>
    </w:p>
    <w:p>
      <w:pPr>
        <w:pStyle w:val="SourceNote"/>
      </w:pPr>
      <w:r>
        <w:rPr>
          <w:b/>
        </w:rPr>
        <w:t>Available abstract (not full text):</w:t>
      </w:r>
      <w:r>
        <w:t xml:space="preserve">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pPr/>
      <w:r>
        <w:rPr>
          <w:b/>
        </w:rPr>
        <w:t>POSSIBLE 2022:</w:t>
      </w:r>
      <w:r>
        <w:t xml:space="preserve"> Wall-to-Wall Mapping of Forest Biomass and Wood Volume Increment in Italy — https://doi.org/10.3390/f13121989</w:t>
      </w:r>
    </w:p>
    <w:p>
      <w:pPr/>
      <w:r>
        <w:rPr>
          <w:b/>
        </w:rPr>
        <w:t>Shared claim-specific concepts:</w:t>
      </w:r>
      <w:r>
        <w:t xml:space="preserve"> biomass, develop, climate, two, management, store; EU scope visible. This is a provisional connection, not an outcome finding.</w:t>
      </w:r>
    </w:p>
    <w:p>
      <w:pPr>
        <w:pStyle w:val="SourceNote"/>
      </w:pPr>
      <w:r>
        <w:rPr>
          <w:b/>
        </w:rPr>
        <w:t>Available abstract (not full text):</w:t>
      </w:r>
      <w:r>
        <w:t xml:space="preserve">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pPr/>
      <w:r>
        <w:rPr>
          <w:b/>
        </w:rPr>
        <w:t>POSSIBLE 2021:</w:t>
      </w:r>
      <w:r>
        <w:t xml:space="preserve"> Assessment of Carbon Stock in Forest Biomass and Emission Reduction Potential in Malaysia — https://doi.org/10.3390/f12101294</w:t>
      </w:r>
    </w:p>
    <w:p>
      <w:pPr/>
      <w:r>
        <w:rPr>
          <w:b/>
        </w:rPr>
        <w:t>Shared claim-specific concepts:</w:t>
      </w:r>
      <w:r>
        <w:t xml:space="preserve"> biomass, stock, climate, management, forests, other; EU scope not established. This is a provisional connection, not an outcome finding.</w:t>
      </w:r>
    </w:p>
    <w:p>
      <w:pPr>
        <w:pStyle w:val="SourceNote"/>
      </w:pPr>
      <w:r>
        <w:rPr>
          <w:b/>
        </w:rPr>
        <w:t>Available abstract (not full text):</w:t>
      </w:r>
      <w:r>
        <w:t xml:space="preserve">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pPr/>
      <w:r>
        <w:rPr>
          <w:b/>
        </w:rPr>
        <w:t>POSSIBLE 2021:</w:t>
      </w:r>
      <w:r>
        <w:t xml:space="preserve"> Impact of Ex-Closure in above and below Ground Carbon Stock Biomass — https://doi.org/10.3390/f12020130</w:t>
      </w:r>
    </w:p>
    <w:p>
      <w:pPr/>
      <w:r>
        <w:rPr>
          <w:b/>
        </w:rPr>
        <w:t>Shared claim-specific concepts:</w:t>
      </w:r>
      <w:r>
        <w:t xml:space="preserve"> biomass, stock, different, climate, high, forests; EU scope not established. This is a provisional connection, not an outcome finding.</w:t>
      </w:r>
    </w:p>
    <w:p>
      <w:pPr>
        <w:pStyle w:val="SourceNote"/>
      </w:pPr>
      <w:r>
        <w:rPr>
          <w:b/>
        </w:rPr>
        <w:t>Available abstract (not full text):</w:t>
      </w:r>
      <w:r>
        <w:t xml:space="preserve">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901.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use, project, direct;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The Blue Map of Europe: Conservative Parliamentarians and European Integration — https://doi.org/10.1201/9781315037691-4</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pPr/>
      <w:r>
        <w:rPr>
          <w:b/>
        </w:rPr>
        <w:t>POSSIBLE 2020:</w:t>
      </w:r>
      <w:r>
        <w:t xml:space="preserve"> The Blue Fix: What's driving blue growth? — https://doi.org/10.1007/s11625-019-00777-7</w:t>
      </w:r>
    </w:p>
    <w:p>
      <w:pPr/>
      <w:r>
        <w:rPr>
          <w:b/>
        </w:rPr>
        <w:t>Shared claim-specific concepts:</w:t>
      </w:r>
      <w:r>
        <w:t xml:space="preserve"> blue, dimension; EU scope not established. This is a provisional connection, not an outcome finding.</w:t>
      </w:r>
    </w:p>
    <w:p>
      <w:pPr>
        <w:pStyle w:val="SourceNote"/>
      </w:pPr>
      <w:r>
        <w:rPr>
          <w:b/>
        </w:rPr>
        <w:t>Available abstract (not full text):</w:t>
      </w:r>
      <w:r>
        <w:t xml:space="preserve">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pPr/>
      <w:r>
        <w:rPr>
          <w:b/>
        </w:rPr>
        <w:t>POSSIBLE 2020:</w:t>
      </w:r>
      <w:r>
        <w:t xml:space="preserve"> Current practice in project appraisal in Europe — https://doi.org/10.5278/ojs.td.v12i1.5126</w:t>
      </w:r>
    </w:p>
    <w:p>
      <w:pPr/>
      <w:r>
        <w:rPr>
          <w:b/>
        </w:rPr>
        <w:t>Shared claim-specific concepts:</w:t>
      </w:r>
      <w:r>
        <w:t xml:space="preserve"> use, project, dimension, general; EU scope visible. This is a provisional connection, not an outcome finding.</w:t>
      </w:r>
    </w:p>
    <w:p>
      <w:pPr>
        <w:pStyle w:val="SourceNote"/>
      </w:pPr>
      <w:r>
        <w:rPr>
          <w:b/>
        </w:rPr>
        <w:t>Available abstract (not full text):</w:t>
      </w:r>
      <w:r>
        <w:t xml:space="preserve">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pPr/>
      <w:r>
        <w:rPr>
          <w:b/>
        </w:rPr>
        <w:t>POSSIBLE 2018:</w:t>
      </w:r>
      <w:r>
        <w:t xml:space="preserve"> Basilicata and Blue Economy — https://doi.org/10.1432/91440</w:t>
      </w:r>
    </w:p>
    <w:p>
      <w:pPr/>
      <w:r>
        <w:rPr>
          <w:b/>
        </w:rPr>
        <w:t>Shared claim-specific concepts:</w:t>
      </w:r>
      <w:r>
        <w:t xml:space="preserve"> use, blue, maritime; EU scope visible. This is a provisional connection, not an outcome finding.</w:t>
      </w:r>
    </w:p>
    <w:p>
      <w:pPr>
        <w:pStyle w:val="SourceNote"/>
      </w:pPr>
      <w:r>
        <w:rPr>
          <w:b/>
        </w:rPr>
        <w:t>Available abstract (not full text):</w:t>
      </w:r>
      <w:r>
        <w:t xml:space="preserve">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pPr/>
      <w:r>
        <w:rPr>
          <w:b/>
        </w:rPr>
        <w:t>POSSIBLE 2018:</w:t>
      </w:r>
      <w:r>
        <w:t xml:space="preserve"> Blue care: a systematic review of blue space interventions for health and wellbeing — https://doi.org/10.1093/heapro/day103</w:t>
      </w:r>
    </w:p>
    <w:p>
      <w:pPr/>
      <w:r>
        <w:rPr>
          <w:b/>
        </w:rPr>
        <w:t>Shared claim-specific concepts:</w:t>
      </w:r>
      <w:r>
        <w:t xml:space="preserve"> use, blue, direct; EU scope not established. This is a provisional connection, not an outcome finding.</w:t>
      </w:r>
    </w:p>
    <w:p>
      <w:pPr>
        <w:pStyle w:val="SourceNote"/>
      </w:pPr>
      <w:r>
        <w:rPr>
          <w:b/>
        </w:rPr>
        <w:t>Available abstract (not full text):</w:t>
      </w:r>
      <w:r>
        <w:t xml:space="preserve">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pPr/>
      <w:r>
        <w:rPr>
          <w:b/>
        </w:rPr>
        <w:t>POSSIBLE 2018:</w:t>
      </w:r>
      <w:r>
        <w:t xml:space="preserve"> Drivers of Irrational Use of Antibiotics in Europe — https://doi.org/10.3390/ijerph16010027</w:t>
      </w:r>
    </w:p>
    <w:p>
      <w:pPr/>
      <w:r>
        <w:rPr>
          <w:b/>
        </w:rPr>
        <w:t>Shared claim-specific concepts:</w:t>
      </w:r>
      <w:r>
        <w:t xml:space="preserve"> use, aimed, general;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pStyle w:val="Heading2"/>
      </w:pPr>
      <w:r>
        <w:t>902.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pStyle w:val="Heading2"/>
      </w:pPr>
      <w:r>
        <w:t>903.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904.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r>
        <w:rPr>
          <w:b/>
        </w:rPr>
        <w:t>POSSIBLE 2021:</w:t>
      </w:r>
      <w:r>
        <w:t xml:space="preserve"> Current Wildland Fire Patterns and Challenges in Europe: A Synthesis of National Perspectives — https://doi.org/10.1177/11786221211028185</w:t>
      </w:r>
    </w:p>
    <w:p>
      <w:pPr/>
      <w:r>
        <w:rPr>
          <w:b/>
        </w:rPr>
        <w:t>Shared claim-specific concepts:</w:t>
      </w:r>
      <w:r>
        <w:t xml:space="preserve"> funded, national, science, within, aim, article; EU scope visible. This is a provisional connection, not an outcome finding.</w:t>
      </w:r>
    </w:p>
    <w:p>
      <w:pPr>
        <w:pStyle w:val="SourceNote"/>
      </w:pPr>
      <w:r>
        <w:rPr>
          <w:b/>
        </w:rPr>
        <w:t>Available abstract (not full text):</w:t>
      </w:r>
      <w:r>
        <w:t xml:space="preserve">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pPr/>
      <w:r>
        <w:rPr>
          <w:b/>
        </w:rPr>
        <w:t>POSSIBLE 2020:</w:t>
      </w:r>
      <w:r>
        <w:t xml:space="preserve"> Thematic variations and auctorial foresights: The French National Funding Agency (Agence Nationale de la Recherche - ANR) (Biennial Conference of the European Society for the History of Science, London, UK, 14/09/2018-17/09/2018) — https://openalex.org/W3096754253</w:t>
      </w:r>
    </w:p>
    <w:p>
      <w:pPr/>
      <w:r>
        <w:rPr>
          <w:b/>
        </w:rPr>
        <w:t>Shared claim-specific concepts:</w:t>
      </w:r>
      <w:r>
        <w:t xml:space="preserve"> national, science, shaping; EU scope visible. This is a provisional connection, not an outcome finding.</w:t>
      </w:r>
    </w:p>
    <w:p>
      <w:pPr>
        <w:pStyle w:val="SourceNote"/>
      </w:pPr>
      <w:r>
        <w:rPr>
          <w:b/>
        </w:rPr>
        <w:t>Available abstract (not full text):</w:t>
      </w:r>
      <w:r>
        <w:t xml:space="preserve"> The French national funding agency (Agence Nationale de la Recherche - ANR) represents since 2005 the “delegation authority” of the public science system. As being the principal national funding agency, ANR influence regarding research communities is a mix of huge prestige, when getting a grant, and a collective satiric humour shared on Twitter (Agence Nationale de l'Excellence Scientifique, @Excelleagence). In between, the fact and the fears that ANR role in shaping and reconfiguring French research priorities is regularly debated. Based on the analysis of ANR data (2006 to 2016), recently released, our proposition aims to observe how and to what extent, ANR research priorities are impacting French communities research agenda. From a comparison between ANR thematic, grants thematic and research prospective expressed then realised by researchers themselves, the analysis will provide elements to depict the way researchers are adapting to the ANR authority. Our approach is both quantitative and qualitative and takes into account the longitudinal dimension to observe the variations occurred during 2006-2016 period.</w:t>
      </w:r>
    </w:p>
    <w:p>
      <w:pPr/>
      <w:r>
        <w:rPr>
          <w:b/>
        </w:rPr>
        <w:t>POSSIBLE 2019:</w:t>
      </w:r>
      <w:r>
        <w:t xml:space="preserve"> Funders in Europe and incentivizing Open Science — https://doi.org/10.7557/5.4919</w:t>
      </w:r>
    </w:p>
    <w:p>
      <w:pPr/>
      <w:r>
        <w:rPr>
          <w:b/>
        </w:rPr>
        <w:t>Shared claim-specific concepts:</w:t>
      </w:r>
      <w:r>
        <w:t xml:space="preserve"> national, science, project, present; EU scope visible. This is a provisional connection, not an outcome finding.</w:t>
      </w:r>
    </w:p>
    <w:p>
      <w:pPr>
        <w:pStyle w:val="SourceNote"/>
      </w:pPr>
      <w:r>
        <w:rPr>
          <w:b/>
        </w:rPr>
        <w:t>Available abstract (not full text):</w:t>
      </w:r>
      <w:r>
        <w:t xml:space="preserve"> Watch the VIDEO. Funders across Europe are using scholarly communications to increase the impact of their grant results, thereby incentivizing researchers to share their research more openly. This panel session will start by describing the results of a research study called the RIF Project that gleans insights into the policy, rewards and incentives being employed by European research funders to encourage open access to publications and research data for the research they fund. The panel will then respond to the findings and will present and share experience on their policies. Funders across Europe are using scholarly communications to increase the impact of their grant results. More than 60 funders responded to a survey that was conducted in early Spring 2019 coming from key international funding bodies, national funding agencies, major charities and foundations, and national academies; from over 25 countries. The study was led by SPARC Europe in consultation with Science Europe, ALLEA and the EFC. Research Consulting conducted the research. The survey is the first of its kind, since it includes national funding agencies, academies, foundations and charities in Europe. What kinds of policy choices have funders made to influence how grantees increase open access to their research results with as few restrictions as possible? How can funders contribute to changing the research e</w:t>
      </w:r>
    </w:p>
    <w:p>
      <w:pPr/>
      <w:r>
        <w:rPr>
          <w:b/>
        </w:rPr>
        <w:t>POSSIBLE 2019:</w:t>
      </w:r>
      <w:r>
        <w:t xml:space="preserve"> Insights into European research funder Open policies and practices — https://doi.org/10.5281/zenodo.3401277</w:t>
      </w:r>
    </w:p>
    <w:p>
      <w:pPr/>
      <w:r>
        <w:rPr>
          <w:b/>
        </w:rPr>
        <w:t>Shared claim-specific concepts:</w:t>
      </w:r>
      <w:r>
        <w:t xml:space="preserve"> national, science, centre; EU scope visible. This is a provisional connection, not an outcome finding.</w:t>
      </w:r>
    </w:p>
    <w:p>
      <w:pPr>
        <w:pStyle w:val="SourceNote"/>
      </w:pPr>
      <w:r>
        <w:rPr>
          <w:b/>
        </w:rPr>
        <w:t>Available abstract (not full text):</w:t>
      </w:r>
      <w:r>
        <w:t xml:space="preserve"> This report summarises the results of a survey of European research funders on Open Access (OA) and Research Data (RD) policies, commissioned by SPARC Europe, in consultation with representatives from the following organisations: ALLEA, the European Foundation Centre and Science Europe and a wider advisory group. Launched in the spring of 2019, the survey, which targeted about 400 funders, garnered just over 60 responses from 29 countries. The cohort includes important national funding agencies (almost 50%), pan-European funders, national and regional academies, foundations and philanthropic organisations and research charities.</w:t>
      </w:r>
    </w:p>
    <w:p>
      <w:pPr/>
      <w:r>
        <w:rPr>
          <w:b/>
        </w:rPr>
        <w:t>POSSIBLE 2019:</w:t>
      </w:r>
      <w:r>
        <w:t xml:space="preserve"> Funding cardiovascular research in Europe — https://doi.org/10.1093/eurheartj/ehy817</w:t>
      </w:r>
    </w:p>
    <w:p>
      <w:pPr/>
      <w:r>
        <w:rPr>
          <w:b/>
        </w:rPr>
        <w:t>Shared claim-specific concepts:</w:t>
      </w:r>
      <w:r>
        <w:t xml:space="preserve"> funded, national, poland, within, project, number; EU scope visible. This is a provisional connection, not an outcome finding.</w:t>
      </w:r>
    </w:p>
    <w:p>
      <w:pPr>
        <w:pStyle w:val="SourceNote"/>
      </w:pPr>
      <w:r>
        <w:rPr>
          <w:b/>
        </w:rPr>
        <w:t>Available abstract (not full text):</w:t>
      </w:r>
      <w:r>
        <w:t xml:space="preserve"> The second of a two-part article1 examining funding for cardiovascular research on both sides of the Atlantic Ocean, Mark Nicholls speaks to Professor Axel Pries about the current position within Europe Advances in cardiovascular research are being made at a steadily increasing rate across Europe, but this critical work is underpinned with consistent, reliable, and regular funding to ensure that studies, research and clinical trials can continue to be conducted at a high level. There is an array of sources for funding, and while that can vary from one country to another and there are differences in the way it is distributed, it is all directed towards a common goal: of improving and extending knowledge of cardiovascular disease (CVD) and facilitate world-class research to reduce and treat CVD to deliver better outcomes for patients and reduce mortality. Cardiovascular disease remains a prime source of death, killing over four million people a year in the WHO European Region and 1.9 million in the European Union (EU). It is also estimated to cost the EU economy €196 billion every year. Professor Axel Pries, who is President of the Alliance for Biomedical Research in Europe (BioMed Alliance)—which represents the main European societies in the biomedical field and was co-founded by the ESC—explained that most of the funding for cardiovascular research in the EU comes from governme</w:t>
      </w:r>
    </w:p>
    <w:p>
      <w:pPr/>
      <w:r>
        <w:rPr>
          <w:b/>
        </w:rPr>
        <w:t>POSSIBLE 2018:</w:t>
      </w:r>
      <w:r>
        <w:t xml:space="preserve"> How does undone science get funded? A bibliometric analysis linking rare diseases publications to national and European funding sources — https://doi.org/10.48550/arxiv.1802.05945</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One of the notable features of undone science debates is how formation of new interest groups becomes pivotal in mobilizing and championing emerging research on undone topics. Clearly money is one of the most important mediums through which different types of actors can support and steer scientists to work on undone topics. Yet which actors are more visible in their support for scientific research is something which has seldom been measured. This study delves into research funding in the context of rare diseases research, a topic which has evolved from the margins of medical research into a priority area articulated by many contemporary funding agencies. Rare diseases refer to conditions affecting relatively few people in a population. Given low incidences, interest groups have articulated a lack of attention within medical research compared to more common conditions. The rise to prominence of rare diseases in research funding policies is often explained in the science studies literature in terms of effective lobbying by social movements Likewise, innovative fundraising initiatives, infrastructure building, and close partnerships with research groups are other means through which interested actors have sought to build capacity for research into rare medical conditions. To date however systematic empirical evidence to compare the relative importance of different actors in fundin</w:t>
      </w:r>
    </w:p>
    <w:p>
      <w:pPr/>
      <w:r>
        <w:rPr>
          <w:b/>
        </w:rPr>
        <w:t>POSSIBLE 2016:</w:t>
      </w:r>
      <w:r>
        <w:t xml:space="preserve"> Funding research data management and related infrastructures : Knowledge Exchange and Science Europe briefing paper — https://openalex.org/W2605250119</w:t>
      </w:r>
    </w:p>
    <w:p>
      <w:pPr/>
      <w:r>
        <w:rPr>
          <w:b/>
        </w:rPr>
        <w:t>Shared claim-specific concepts:</w:t>
      </w:r>
      <w:r>
        <w:t xml:space="preserve"> funded, national, science; EU scope visible. This is a provisional connection, not an outcome finding.</w:t>
      </w:r>
    </w:p>
    <w:p>
      <w:pPr>
        <w:pStyle w:val="SourceNote"/>
      </w:pPr>
      <w:r>
        <w:rPr>
          <w:b/>
        </w:rPr>
        <w:t>Available abstract (not full text):</w:t>
      </w:r>
      <w:r>
        <w:t xml:space="preserve"> Research Funding Organisations (RFO) and Research Performing Organisations (RPO) throughout Europe are well aware that science and scholarship increasingly depend on infrastructures supporting sustainable Research Data Management (RDM). In two complementary surveys, the Science Europe Working Group on Research Data and the Knowledge Exchange Research Data Expert Group explored how organisations funding and performing research think and act with respect to the funding of RDM and the related infrastructures. The resulting report illustrates the diversity of the funding landscape with respect to research data in Europe and the critical challenges that this presents. The funding of RDI, enabling RDM, comes from a great variety of sources and institutions that have different responsibilities and that operate at local, national and international levels. Significant parts of the funding have particular disciplinary dimensions. The funding actors, levels and disciplines are not part of a coordinated structure. This situation presents a huge challenge to the sustainability of RDM 3. Some RFOs and most RPOs contribute to the funding of specialised data infrastructure providers, which play key roles in providing RDI and in supporting RDM. Especially among RFOs there is no generally-accepted view on who should be responsible for the sustained funding of such providers; however, providers f</w:t>
      </w:r>
    </w:p>
    <w:p>
      <w:pPr>
        <w:pStyle w:val="Heading2"/>
      </w:pPr>
      <w:r>
        <w:t>905.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2015:</w:t>
      </w:r>
      <w:r>
        <w:t xml:space="preserve"> Residential heating with wood and coal: health impacts and policy options in Europe and North America — https://openalex.org/W2240014870</w:t>
      </w:r>
    </w:p>
    <w:p>
      <w:pPr/>
      <w:r>
        <w:rPr>
          <w:b/>
        </w:rPr>
        <w:t>Shared claim-specific concepts:</w:t>
      </w:r>
      <w:r>
        <w:t xml:space="preserve"> without, emissions; EU scope visible. This is a provisional connection, not an outcome finding.</w:t>
      </w:r>
    </w:p>
    <w:p>
      <w:pPr>
        <w:pStyle w:val="SourceNote"/>
      </w:pPr>
      <w:r>
        <w:rPr>
          <w:b/>
        </w:rPr>
        <w:t>Available abstract (not full text):</w:t>
      </w:r>
      <w:r>
        <w:t xml:space="preserve">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pPr/>
      <w:r>
        <w:rPr>
          <w:b/>
        </w:rPr>
        <w:t>POSSIBLE 2014:</w:t>
      </w:r>
      <w:r>
        <w:t xml:space="preserve"> POLICY OPTIONS FOR THE COMPETITIVENESS OF THE CONSTRUCTION SECTOR IN THE EUROPEAN UNION — https://openalex.org/W2175025550</w:t>
      </w:r>
    </w:p>
    <w:p>
      <w:pPr/>
      <w:r>
        <w:rPr>
          <w:b/>
        </w:rPr>
        <w:t>Shared claim-specific concepts:</w:t>
      </w:r>
      <w:r>
        <w:t xml:space="preserve"> include, general; EU scope visible. This is a provisional connection, not an outcome finding.</w:t>
      </w:r>
    </w:p>
    <w:p>
      <w:pPr>
        <w:pStyle w:val="SourceNote"/>
      </w:pPr>
      <w:r>
        <w:rPr>
          <w:b/>
        </w:rPr>
        <w:t>Available abstract (not full text):</w:t>
      </w:r>
      <w:r>
        <w:t xml:space="preserve">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pPr/>
      <w:r>
        <w:rPr>
          <w:b/>
        </w:rPr>
        <w:t>POSSIBLE 2014:</w:t>
      </w:r>
      <w:r>
        <w:t xml:space="preserve"> 2014 European guideline on the management of syphilis — https://doi.org/10.1111/jdv.12734</w:t>
      </w:r>
    </w:p>
    <w:p>
      <w:pPr/>
      <w:r>
        <w:rPr>
          <w:b/>
        </w:rPr>
        <w:t>Shared claim-specific concepts:</w:t>
      </w:r>
      <w:r>
        <w:t xml:space="preserve"> option, include, countries; EU scope visible. This is a provisional connection, not an outcome finding.</w:t>
      </w:r>
    </w:p>
    <w:p>
      <w:pPr>
        <w:pStyle w:val="SourceNote"/>
      </w:pPr>
      <w:r>
        <w:rPr>
          <w:b/>
        </w:rPr>
        <w:t>Available abstract (not full text):</w:t>
      </w:r>
      <w:r>
        <w:t xml:space="preserve">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pPr/>
      <w:r>
        <w:rPr>
          <w:b/>
        </w:rPr>
        <w:t>POSSIBLE 2014:</w:t>
      </w:r>
      <w:r>
        <w:t xml:space="preserve"> Carbon Emission Option Pricing Calculation and Clean Development Mechanism Strategy of Jiangsu:Based on the Pricing Analysis of B-S Model — https://openalex.org/W2372091501</w:t>
      </w:r>
    </w:p>
    <w:p>
      <w:pPr/>
      <w:r>
        <w:rPr>
          <w:b/>
        </w:rPr>
        <w:t>Shared claim-specific concepts:</w:t>
      </w:r>
      <w:r>
        <w:t xml:space="preserve"> option, cdm, clean, mechanism, emissions; EU scope visible. This is a provisional connection, not an outcome finding.</w:t>
      </w:r>
    </w:p>
    <w:p>
      <w:pPr>
        <w:pStyle w:val="SourceNote"/>
      </w:pPr>
      <w:r>
        <w:rPr>
          <w:b/>
        </w:rPr>
        <w:t>Available abstract (not full text):</w:t>
      </w:r>
      <w:r>
        <w:t xml:space="preserve">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906.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2018:</w:t>
      </w:r>
      <w:r>
        <w:t xml:space="preserve"> Predicting Medical Students’ Current Attitudes Toward Psychiatry, Interest in Psychiatry, and Estimated Likelihood of Working in Psychiatry: A Cross-Sectional Study in Four European Countries — https://doi.org/10.3389/fpsyt.2018.00049</w:t>
      </w:r>
    </w:p>
    <w:p>
      <w:pPr/>
      <w:r>
        <w:rPr>
          <w:b/>
        </w:rPr>
        <w:t>Shared claim-specific concepts:</w:t>
      </w:r>
      <w:r>
        <w:t xml:space="preserve"> current, need, there, countries; EU scope visible. This is a provisional connection, not an outcome finding.</w:t>
      </w:r>
    </w:p>
    <w:p>
      <w:pPr>
        <w:pStyle w:val="SourceNote"/>
      </w:pPr>
      <w:r>
        <w:rPr>
          <w:b/>
        </w:rPr>
        <w:t>Available abstract (not full text):</w:t>
      </w:r>
      <w:r>
        <w:t xml:space="preserve"> Psychiatry as a medical discipline is becoming increasingly important due to the high and increasing world-wide burden associated with mental disorders. Surprisingly, however, there is a lack of young academics choosing psychiatry as a career. Previous evidence on medical students’ perspectives is abundant but has methodological shortcomings. Therefore, by attempting to avoid previous shortcomings, we aimed to contribute to a better understanding of the predictors of the following three outcome variables: current medical students’ attitudes towards psychiatry, interest in psychiatry and estimated likelihood of working in psychiatry. The sample consisted of N = 1356 medical students at 45 medical schools in Germany and Austria as well as regions of Switzerland and Hungary with a German language curriculum. We used snowball sampling via Facebook with a link to an online questionnaire as recruitment procedure. Snowball sampling is based on referrals made among people. This questionnaire included a German version of the Attitudes Towards Psychiatry Scale (ATP-30-G) and further variables related to outcomes and potential predictors in terms of sociodemography (e.g. gender) or medical training (e.g. curriculum-related experience with psychiatry). Data were analysed by linear mixed models and further regression models. On average, students had a positive attitude to and high general i</w:t>
      </w:r>
    </w:p>
    <w:p>
      <w:pPr/>
      <w:r>
        <w:rPr>
          <w:b/>
        </w:rPr>
        <w:t>POSSIBLE 2018:</w:t>
      </w:r>
      <w:r>
        <w:t xml:space="preserve"> Annual number of candidates for transcatheter aortic valve implantation per country: current estimates and future projections — https://doi.org/10.1093/eurheartj/ehy107</w:t>
      </w:r>
    </w:p>
    <w:p>
      <w:pPr/>
      <w:r>
        <w:rPr>
          <w:b/>
        </w:rPr>
        <w:t>Shared claim-specific concepts:</w:t>
      </w:r>
      <w:r>
        <w:t xml:space="preserve"> current, estimates, predict, countries; EU scope visible. This is a provisional connection, not an outcome finding.</w:t>
      </w:r>
    </w:p>
    <w:p>
      <w:pPr>
        <w:pStyle w:val="SourceNote"/>
      </w:pPr>
      <w:r>
        <w:rPr>
          <w:b/>
        </w:rPr>
        <w:t>Available abstract (not full text):</w:t>
      </w:r>
      <w:r>
        <w:t xml:space="preserve"> Aims: The number of transcatheter aortic valve implantation (TAVI) procedures is rapidly increasing. This has a major impact on health care resource planning. However, the annual numbers of TAVI candidates per country are unknown. The aim of this study was to estimate current and future number of annual TAVI candidates in 27 European countries, the USA and Canada. Methods and results: Systematic literature searches and meta-analyses were performed on aortic stenosis (AS) epidemiology and decision-making in severe symptomatic AS. The incidence rate of severe AS was determined. Findings were combined with population statistics and integrated into a model employing Monte Carlo simulations to predict the annual number of TAVI candidates. Various future scenarios and sensitivity analyses were explored. Data from 37 studies (n = 26 402) informed the model. The calculated incidence rate of severe AS was 4.4‰/year [95% confidence interval (95% CI) 3.0-6.1‰] in patients ≥65 years. AS-related symptoms were present in 68.3% (95% CI 60.8-75.9%) of patients with severe AS. Despite having severe symptomatic AS, 41.6% (95% CI 36.9-46.3%) did not undergo surgical aortic valve replacement. Of the non-operated patients, 61.7% (95% CI 42.0-81.7%) received TAVI. The model predicted 114 757 (95% CI 69 380-172 799) European and 58 556 (95% CI 35 631-87 738) Northern-American TAVI candidates annually</w:t>
      </w:r>
    </w:p>
    <w:p>
      <w:pPr/>
      <w:r>
        <w:rPr>
          <w:b/>
        </w:rPr>
        <w:t>POSSIBLE 2015:</w:t>
      </w:r>
      <w:r>
        <w:t xml:space="preserve"> Particulate emissions from residential wood combustion in Europe – revised estimates and an evaluation — https://doi.org/10.5194/acp-15-6503-2015</w:t>
      </w:r>
    </w:p>
    <w:p>
      <w:pPr/>
      <w:r>
        <w:rPr>
          <w:b/>
        </w:rPr>
        <w:t>Shared claim-specific concepts:</w:t>
      </w:r>
      <w:r>
        <w:t xml:space="preserve"> estimates, need, gas, about, especially; EU scope visible. This is a provisional connection, not an outcome finding.</w:t>
      </w:r>
    </w:p>
    <w:p>
      <w:pPr>
        <w:pStyle w:val="SourceNote"/>
      </w:pPr>
      <w:r>
        <w:rPr>
          <w:b/>
        </w:rPr>
        <w:t>Available abstract (not full text):</w:t>
      </w:r>
      <w:r>
        <w:t xml:space="preserve"> Abstract. Currently residential wood combustion (RWC) is increasing in Europe because of rising fossil fuel prices but also due to climate change mitigation policies. However, especially in small-scale applications, RWC may cause high emissions of particulate matter (PM). Recently we have developed a new high-resolution (7 km × 7 km) anthropogenic carbonaceous aerosol emission inventory for Europe. The inventory indicated that about half of the total PM2.5 emission in Europe is carbonaceous aerosol and identified RWC as the largest organic aerosol (OA) source in Europe. The inventory was partly based on national reported PM emissions. Use of this OA inventory as input for two Chemical Transport Models (CTMs), PMCAMx and EMEP MSC-W, revealed major underestimations of OA in winter time, especially for regions dominated by RWC. Interestingly, this was not universal but appeared to differ by country. In the present study we constructed a new bottom-up emission inventory for RWC accounting for the semi-volatile components of the emissions. The new RWC emissions are higher than those in the previous inventory by a factor of 2–3 but with substantial inter-country variation. The new emission inventory served as input for the CTMs and a substantially improved agreement between measured and predicted organic aerosol was found. The new RWC inventory improves the model calculated OA signif</w:t>
      </w:r>
    </w:p>
    <w:p>
      <w:pPr>
        <w:pStyle w:val="Heading2"/>
      </w:pPr>
      <w:r>
        <w:t>907.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r>
        <w:rPr>
          <w:b/>
        </w:rPr>
        <w:t>POSSIBLE 2021:</w:t>
      </w:r>
      <w:r>
        <w:t xml:space="preserve"> Foresight Capacity Building — https://doi.org/10.5281/zenodo.6630549</w:t>
      </w:r>
    </w:p>
    <w:p>
      <w:pPr/>
      <w:r>
        <w:rPr>
          <w:b/>
        </w:rPr>
        <w:t>Shared claim-specific concepts:</w:t>
      </w:r>
      <w:r>
        <w:t xml:space="preserve"> foresight, used, specific, also, related;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2020:</w:t>
      </w:r>
      <w:r>
        <w:t xml:space="preserve"> Project FORESIGHT: A ten-year retrospective — https://doi.org/10.1016/j.fsisyn.2020.08.005</w:t>
      </w:r>
    </w:p>
    <w:p>
      <w:pPr/>
      <w:r>
        <w:rPr>
          <w:b/>
        </w:rPr>
        <w:t>Shared claim-specific concepts:</w:t>
      </w:r>
      <w:r>
        <w:t xml:space="preserve"> foresight, used, process, also; EU scope not established. This is a provisional connection, not an outcome finding.</w:t>
      </w:r>
    </w:p>
    <w:p>
      <w:pPr>
        <w:pStyle w:val="SourceNote"/>
      </w:pPr>
      <w:r>
        <w:rPr>
          <w:b/>
        </w:rPr>
        <w:t>Available abstract (not full text):</w:t>
      </w:r>
      <w:r>
        <w:t xml:space="preserve">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projects, used, world, process, also;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2019:</w:t>
      </w:r>
      <w:r>
        <w:t xml:space="preserve"> European electricity sector decarbonization under different levels of foresight — https://doi.org/10.1016/j.renene.2019.02.099</w:t>
      </w:r>
    </w:p>
    <w:p>
      <w:pPr/>
      <w:r>
        <w:rPr>
          <w:b/>
        </w:rPr>
        <w:t>Shared claim-specific concepts:</w:t>
      </w:r>
      <w:r>
        <w:t xml:space="preserve"> foresight, specific, also; EU scope visible. This is a provisional connection, not an outcome finding.</w:t>
      </w:r>
    </w:p>
    <w:p>
      <w:pPr>
        <w:pStyle w:val="SourceNote"/>
      </w:pPr>
      <w:r>
        <w:rPr>
          <w:b/>
        </w:rPr>
        <w:t>Available abstract (not full text):</w:t>
      </w:r>
      <w:r>
        <w:t xml:space="preserve">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908.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r>
        <w:rPr>
          <w:b/>
        </w:rPr>
        <w:t>POSSIBLE 2022:</w:t>
      </w:r>
      <w:r>
        <w:t xml:space="preserve"> Chemical Looping Combustion and Gasification: A Review and a Focus on European Research Projects — https://doi.org/10.1021/acs.iecr.2c02677</w:t>
      </w:r>
    </w:p>
    <w:p>
      <w:pPr/>
      <w:r>
        <w:rPr>
          <w:b/>
        </w:rPr>
        <w:t>Shared claim-specific concepts:</w:t>
      </w:r>
      <w:r>
        <w:t xml:space="preserve"> focus, they, provide; EU scope visible. This is a provisional connection, not an outcome finding.</w:t>
      </w:r>
    </w:p>
    <w:p>
      <w:pPr>
        <w:pStyle w:val="SourceNote"/>
      </w:pPr>
      <w:r>
        <w:rPr>
          <w:b/>
        </w:rPr>
        <w:t>Available abstract (not full text):</w:t>
      </w:r>
      <w:r>
        <w:t xml:space="preserve">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pPr/>
      <w:r>
        <w:rPr>
          <w:b/>
        </w:rPr>
        <w:t>POSSIBLE 2022:</w:t>
      </w:r>
      <w:r>
        <w:t xml:space="preserve"> Approaches to Implementing National Action Plans on Women, Peace and Security — https://doi.org/10.19088/k4d.2022.049</w:t>
      </w:r>
    </w:p>
    <w:p>
      <w:pPr/>
      <w:r>
        <w:rPr>
          <w:b/>
        </w:rPr>
        <w:t>Shared claim-specific concepts:</w:t>
      </w:r>
      <w:r>
        <w:t xml:space="preserve"> approaches, focus, security, time, support, they; EU scope not established. This is a provisional connection, not an outcome finding.</w:t>
      </w:r>
    </w:p>
    <w:p>
      <w:pPr>
        <w:pStyle w:val="SourceNote"/>
      </w:pPr>
      <w:r>
        <w:rPr>
          <w:b/>
        </w:rPr>
        <w:t>Available abstract (not full text):</w:t>
      </w:r>
      <w:r>
        <w:t xml:space="preserve">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pPr/>
      <w:r>
        <w:rPr>
          <w:b/>
        </w:rPr>
        <w:t>POSSIBLE 2021:</w:t>
      </w:r>
      <w:r>
        <w:t xml:space="preserve"> Project FOCUS: an interdisciplinary approach to monitor disturbances in European forest ecosystems — https://doi.org/10.5281/zenodo.5607114</w:t>
      </w:r>
    </w:p>
    <w:p>
      <w:pPr/>
      <w:r>
        <w:rPr>
          <w:b/>
        </w:rPr>
        <w:t>Shared claim-specific concepts:</w:t>
      </w:r>
      <w:r>
        <w:t xml:space="preserve"> focus, project, environment; EU scope visible. This is a provisional connection, not an outcome finding.</w:t>
      </w:r>
    </w:p>
    <w:p>
      <w:pPr>
        <w:pStyle w:val="SourceNote"/>
      </w:pPr>
      <w:r>
        <w:rPr>
          <w:b/>
        </w:rPr>
        <w:t>Available abstract (not full text):</w:t>
      </w:r>
      <w:r>
        <w:t xml:space="preserve">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pPr/>
      <w:r>
        <w:rPr>
          <w:b/>
        </w:rPr>
        <w:t>POSSIBLE 2020:</w:t>
      </w:r>
      <w:r>
        <w:t xml:space="preserve"> What Is the Future of European Cyber Security? Three Principles of European Cooperation and the Hybrid Joint Strategy of Cyber Defence — https://doi.org/10.33067/se.2.2020.3</w:t>
      </w:r>
    </w:p>
    <w:p>
      <w:pPr/>
      <w:r>
        <w:rPr>
          <w:b/>
        </w:rPr>
        <w:t>Shared claim-specific concepts:</w:t>
      </w:r>
      <w:r>
        <w:t xml:space="preserve"> focus, security, support, environment; EU scope visible. This is a provisional connection, not an outcome finding.</w:t>
      </w:r>
    </w:p>
    <w:p>
      <w:pPr>
        <w:pStyle w:val="SourceNote"/>
      </w:pPr>
      <w:r>
        <w:rPr>
          <w:b/>
        </w:rPr>
        <w:t>Available abstract (not full text):</w:t>
      </w:r>
      <w:r>
        <w:t xml:space="preserve">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pPr/>
      <w:r>
        <w:rPr>
          <w:b/>
        </w:rPr>
        <w:t>POSSIBLE 2019:</w:t>
      </w:r>
      <w:r>
        <w:t xml:space="preserve"> Engineering Education for Sustainable Development: The European Project Semester Approach — https://doi.org/10.1109/te.2019.2926944</w:t>
      </w:r>
    </w:p>
    <w:p>
      <w:pPr/>
      <w:r>
        <w:rPr>
          <w:b/>
        </w:rPr>
        <w:t>Shared claim-specific concepts:</w:t>
      </w:r>
      <w:r>
        <w:t xml:space="preserve"> focus, project, framework; EU scope visible. This is a provisional connection, not an outcome finding.</w:t>
      </w:r>
    </w:p>
    <w:p>
      <w:pPr>
        <w:pStyle w:val="SourceNote"/>
      </w:pPr>
      <w:r>
        <w:rPr>
          <w:b/>
        </w:rPr>
        <w:t>Available abstract (not full text):</w:t>
      </w:r>
      <w:r>
        <w:t xml:space="preserve">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909.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2021:</w:t>
      </w:r>
      <w:r>
        <w:t xml:space="preserve"> Thermal flight performance reveals impact of warming on bumblebee foraging potential — https://doi.org/10.1111/1365-2435.13887</w:t>
      </w:r>
    </w:p>
    <w:p>
      <w:pPr/>
      <w:r>
        <w:rPr>
          <w:b/>
        </w:rPr>
        <w:t>Shared claim-specific concepts:</w:t>
      </w:r>
      <w:r>
        <w:t xml:space="preserve"> warming, species, across; EU scope not established. This is a provisional connection, not an outcome finding.</w:t>
      </w:r>
    </w:p>
    <w:p>
      <w:pPr>
        <w:pStyle w:val="SourceNote"/>
      </w:pPr>
      <w:r>
        <w:rPr>
          <w:b/>
        </w:rPr>
        <w:t>Available abstract (not full text):</w:t>
      </w:r>
      <w:r>
        <w:t xml:space="preserve">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pPr/>
      <w:r>
        <w:rPr>
          <w:b/>
        </w:rPr>
        <w:t>POSSIBLE 2020:</w:t>
      </w:r>
      <w:r>
        <w:t xml:space="preserve"> Paleoclimate records reveal elusive ~200-kyr eccentricity cycle for the first time — https://doi.org/10.1016/j.gloplacha.2020.103296</w:t>
      </w:r>
    </w:p>
    <w:p>
      <w:pPr/>
      <w:r>
        <w:rPr>
          <w:b/>
        </w:rPr>
        <w:t>Shared claim-specific concepts:</w:t>
      </w:r>
      <w:r>
        <w:t xml:space="preserve"> reveal, first, time; EU scope visible. This is a provisional connection, not an outcome finding.</w:t>
      </w:r>
    </w:p>
    <w:p>
      <w:pPr>
        <w:pStyle w:val="SourceNote"/>
      </w:pPr>
      <w:r>
        <w:rPr>
          <w:b/>
        </w:rPr>
        <w:t>Available abstract (not full text):</w:t>
      </w:r>
      <w:r>
        <w:t xml:space="preserve">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pPr/>
      <w:r>
        <w:rPr>
          <w:b/>
        </w:rPr>
        <w:t>POSSIBLE 2020:</w:t>
      </w:r>
      <w:r>
        <w:t xml:space="preserve"> Intraspecific variation in tolerance of warming in fishes — https://doi.org/10.1111/jfb.14620</w:t>
      </w:r>
    </w:p>
    <w:p>
      <w:pPr/>
      <w:r>
        <w:rPr>
          <w:b/>
        </w:rPr>
        <w:t>Shared claim-specific concepts:</w:t>
      </w:r>
      <w:r>
        <w:t xml:space="preserve"> reveal, first, impacts, warming, species, across; EU scope not established. This is a provisional connection, not an outcome finding.</w:t>
      </w:r>
    </w:p>
    <w:p>
      <w:pPr>
        <w:pStyle w:val="SourceNote"/>
      </w:pPr>
      <w:r>
        <w:rPr>
          <w:b/>
        </w:rPr>
        <w:t>Available abstract (not full text):</w:t>
      </w:r>
      <w:r>
        <w:t xml:space="preserve">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pPr/>
      <w:r>
        <w:rPr>
          <w:b/>
        </w:rPr>
        <w:t>POSSIBLE 2020:</w:t>
      </w:r>
      <w:r>
        <w:t xml:space="preserve"> Intraspecific responses to climate reveal nonintuitive warming impacts on a widespread thermophilic conifer — https://doi.org/10.1111/nph.16656</w:t>
      </w:r>
    </w:p>
    <w:p>
      <w:pPr/>
      <w:r>
        <w:rPr>
          <w:b/>
        </w:rPr>
        <w:t>Shared claim-specific concepts:</w:t>
      </w:r>
      <w:r>
        <w:t xml:space="preserve"> reveal, impacts, warming, species, across; EU scope visible. This is a provisional connection, not an outcome finding.</w:t>
      </w:r>
    </w:p>
    <w:p>
      <w:pPr>
        <w:pStyle w:val="SourceNote"/>
      </w:pPr>
      <w:r>
        <w:rPr>
          <w:b/>
        </w:rPr>
        <w:t>Available abstract (not full text):</w:t>
      </w:r>
      <w:r>
        <w:t xml:space="preserve">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pPr/>
      <w:r>
        <w:rPr>
          <w:b/>
        </w:rPr>
        <w:t>POSSIBLE 2020:</w:t>
      </w:r>
      <w:r>
        <w:t xml:space="preserve"> A quantitative framework reveals ecological drivers of grassland microbial community assembly in response to warming — https://doi.org/10.1038/s41467-020-18560-z</w:t>
      </w:r>
    </w:p>
    <w:p>
      <w:pPr/>
      <w:r>
        <w:rPr>
          <w:b/>
        </w:rPr>
        <w:t>Shared claim-specific concepts:</w:t>
      </w:r>
      <w:r>
        <w:t xml:space="preserve"> time, warming, plant, communities, productivity; EU scope not established. This is a provisional connection, not an outcome finding.</w:t>
      </w:r>
    </w:p>
    <w:p>
      <w:pPr>
        <w:pStyle w:val="SourceNote"/>
      </w:pPr>
      <w:r>
        <w:rPr>
          <w:b/>
        </w:rPr>
        <w:t>Available abstract (not full text):</w:t>
      </w:r>
      <w:r>
        <w:t xml:space="preserve">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910.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r>
        <w:rPr>
          <w:b/>
        </w:rPr>
        <w:t>POSSIBLE 2022:</w:t>
      </w:r>
      <w:r>
        <w:t xml:space="preserve"> Privacy and Robustness in Federated Learning: Attacks and Defenses — https://doi.org/10.1109/tnnls.2022.3216981</w:t>
      </w:r>
    </w:p>
    <w:p>
      <w:pPr/>
      <w:r>
        <w:rPr>
          <w:b/>
        </w:rPr>
        <w:t>Shared claim-specific concepts:</w:t>
      </w:r>
      <w:r>
        <w:t xml:space="preserve"> robustness, learning, robust; EU scope not established. This is a provisional connection, not an outcome finding.</w:t>
      </w:r>
    </w:p>
    <w:p>
      <w:pPr>
        <w:pStyle w:val="SourceNote"/>
      </w:pPr>
      <w:r>
        <w:rPr>
          <w:b/>
        </w:rPr>
        <w:t>Available abstract (not full text):</w:t>
      </w:r>
      <w:r>
        <w:t xml:space="preserve">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pPr/>
      <w:r>
        <w:rPr>
          <w:b/>
        </w:rPr>
        <w:t>POSSIBLE 2022:</w:t>
      </w:r>
      <w:r>
        <w:t xml:space="preserve"> Safe Learning in Robotics: From Learning-Based Control to Safe Reinforcement Learning — https://doi.org/10.1146/annurev-control-042920-020211</w:t>
      </w:r>
    </w:p>
    <w:p>
      <w:pPr/>
      <w:r>
        <w:rPr>
          <w:b/>
        </w:rPr>
        <w:t>Shared claim-specific concepts:</w:t>
      </w:r>
      <w:r>
        <w:t xml:space="preserve"> robustness, learning, but; EU scope not established. This is a provisional connection, not an outcome finding.</w:t>
      </w:r>
    </w:p>
    <w:p>
      <w:pPr>
        <w:pStyle w:val="SourceNote"/>
      </w:pPr>
      <w:r>
        <w:rPr>
          <w:b/>
        </w:rPr>
        <w:t>Available abstract (not full text):</w:t>
      </w:r>
      <w:r>
        <w:t xml:space="preserve">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pPr/>
      <w:r>
        <w:rPr>
          <w:b/>
        </w:rPr>
        <w:t>POSSIBLE 2022:</w:t>
      </w:r>
      <w:r>
        <w:t xml:space="preserve"> On Robustness in Optimization-Based Constrained Iterative Learning Control — https://doi.org/10.3929/ethz-b-000549153</w:t>
      </w:r>
    </w:p>
    <w:p>
      <w:pPr/>
      <w:r>
        <w:rPr>
          <w:b/>
        </w:rPr>
        <w:t>Shared claim-specific concepts:</w:t>
      </w:r>
      <w:r>
        <w:t xml:space="preserve"> based, robustness, learning, robust, uncertainty; EU scope not established. This is a provisional connection, not an outcome finding.</w:t>
      </w:r>
    </w:p>
    <w:p>
      <w:pPr>
        <w:pStyle w:val="SourceNote"/>
      </w:pPr>
      <w:r>
        <w:rPr>
          <w:b/>
        </w:rPr>
        <w:t>Available abstract (not full text):</w:t>
      </w:r>
      <w:r>
        <w:t xml:space="preserve">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pPr/>
      <w:r>
        <w:rPr>
          <w:b/>
        </w:rPr>
        <w:t>POSSIBLE 2021:</w:t>
      </w:r>
      <w:r>
        <w:t xml:space="preserve"> Possibilities of the Development of Edible Insect-Based Foods in Europe — https://doi.org/10.3390/foods10040766</w:t>
      </w:r>
    </w:p>
    <w:p>
      <w:pPr/>
      <w:r>
        <w:rPr>
          <w:b/>
        </w:rPr>
        <w:t>Shared claim-specific concepts:</w:t>
      </w:r>
      <w:r>
        <w:t xml:space="preserve"> two, possibilities, but, not;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2021:</w:t>
      </w:r>
      <w:r>
        <w:t xml:space="preserve"> Approval of artificial intelligence and machine learning-based medical devices in the USA and Europe (2015–20): a comparative analysis — https://doi.org/10.1016/s2589-7500(20)30292-2</w:t>
      </w:r>
    </w:p>
    <w:p>
      <w:pPr/>
      <w:r>
        <w:rPr>
          <w:b/>
        </w:rPr>
        <w:t>Shared claim-specific concepts:</w:t>
      </w:r>
      <w:r>
        <w:t xml:space="preserve"> based, learning, increased; EU scope visible. This is a provisional connection, not an outcome finding.</w:t>
      </w:r>
    </w:p>
    <w:p>
      <w:pPr>
        <w:pStyle w:val="SourceNote"/>
      </w:pPr>
      <w:r>
        <w:rPr>
          <w:b/>
        </w:rPr>
        <w:t>Available abstract (not full text):</w:t>
      </w:r>
      <w:r>
        <w:t xml:space="preserve">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pPr/>
      <w:r>
        <w:rPr>
          <w:b/>
        </w:rPr>
        <w:t>POSSIBLE 2021:</w:t>
      </w:r>
      <w:r>
        <w:t xml:space="preserve"> Time-sequencing European options and pricing with deep learning – Analyzing based on interpretable ALE method — https://doi.org/10.1016/j.eswa.2021.115951</w:t>
      </w:r>
    </w:p>
    <w:p>
      <w:pPr/>
      <w:r>
        <w:rPr>
          <w:b/>
        </w:rPr>
        <w:t>Shared claim-specific concepts:</w:t>
      </w:r>
      <w:r>
        <w:t xml:space="preserve"> based, learning, method; EU scope visible. This is a provisional connection, not an outcome finding.</w:t>
      </w:r>
    </w:p>
    <w:p>
      <w:pPr>
        <w:pStyle w:val="SourceNote"/>
      </w:pPr>
      <w:r>
        <w:rPr>
          <w:b/>
        </w:rPr>
        <w:t>Available abstract (not full text):</w:t>
      </w:r>
      <w:r>
        <w:t xml:space="preserve"> Unavailable</w:t>
      </w:r>
    </w:p>
    <w:p>
      <w:pPr>
        <w:pStyle w:val="Heading2"/>
      </w:pPr>
      <w:r>
        <w:t>911.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r>
        <w:rPr>
          <w:b/>
        </w:rPr>
        <w:t>POSSIBLE 2020:</w:t>
      </w:r>
      <w:r>
        <w:t xml:space="preserve"> Public perception of air pollution sources across Europe — https://doi.org/10.1007/s13280-020-01450-5</w:t>
      </w:r>
    </w:p>
    <w:p>
      <w:pPr/>
      <w:r>
        <w:rPr>
          <w:b/>
        </w:rPr>
        <w:t>Shared claim-specific concepts:</w:t>
      </w:r>
      <w:r>
        <w:t xml:space="preserve"> perception, all, one; EU scope visible. This is a provisional connection, not an outcome finding.</w:t>
      </w:r>
    </w:p>
    <w:p>
      <w:pPr>
        <w:pStyle w:val="SourceNote"/>
      </w:pPr>
      <w:r>
        <w:rPr>
          <w:b/>
        </w:rPr>
        <w:t>Available abstract (not full text):</w:t>
      </w:r>
      <w:r>
        <w:t xml:space="preserve">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pPr/>
      <w:r>
        <w:rPr>
          <w:b/>
        </w:rPr>
        <w:t>POSSIBLE 2019:</w:t>
      </w:r>
      <w:r>
        <w:t xml:space="preserve"> Household carbon footprint patterns by the degree of urbanisation in Europe — https://doi.org/10.1088/1748-9326/ab443d</w:t>
      </w:r>
    </w:p>
    <w:p>
      <w:pPr/>
      <w:r>
        <w:rPr>
          <w:b/>
        </w:rPr>
        <w:t>Shared claim-specific concepts:</w:t>
      </w:r>
      <w:r>
        <w:t xml:space="preserve"> all, but, not; EU scope visible. This is a provisional connection, not an outcome finding.</w:t>
      </w:r>
    </w:p>
    <w:p>
      <w:pPr>
        <w:pStyle w:val="SourceNote"/>
      </w:pPr>
      <w:r>
        <w:rPr>
          <w:b/>
        </w:rPr>
        <w:t>Available abstract (not full text):</w:t>
      </w:r>
      <w:r>
        <w:t xml:space="preserve">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pPr/>
      <w:r>
        <w:rPr>
          <w:b/>
        </w:rPr>
        <w:t>POSSIBLE 2019:</w:t>
      </w:r>
      <w:r>
        <w:t xml:space="preserve"> Plantation forests in Europe: challenges and opportunities — https://doi.org/10.36333/fs09</w:t>
      </w:r>
    </w:p>
    <w:p>
      <w:pPr/>
      <w:r>
        <w:rPr>
          <w:b/>
        </w:rPr>
        <w:t>Shared claim-specific concepts:</w:t>
      </w:r>
      <w:r>
        <w:t xml:space="preserve"> there, past, but, policies, not, effective;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2018:</w:t>
      </w:r>
      <w:r>
        <w:t xml:space="preserve"> Europe - a project worthy of being built — https://doi.org/10.21814/unio.4.1.3</w:t>
      </w:r>
    </w:p>
    <w:p>
      <w:pPr/>
      <w:r>
        <w:rPr>
          <w:b/>
        </w:rPr>
        <w:t>Shared claim-specific concepts:</w:t>
      </w:r>
      <w:r>
        <w:t xml:space="preserve"> built, all, but, not, way, second; EU scope visible. This is a provisional connection, not an outcome finding.</w:t>
      </w:r>
    </w:p>
    <w:p>
      <w:pPr>
        <w:pStyle w:val="SourceNote"/>
      </w:pPr>
      <w:r>
        <w:rPr>
          <w:b/>
        </w:rPr>
        <w:t>Available abstract (not full text):</w:t>
      </w:r>
      <w:r>
        <w:t xml:space="preserve">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pPr/>
      <w:r>
        <w:rPr>
          <w:b/>
        </w:rPr>
        <w:t>POSSIBLE 2018:</w:t>
      </w:r>
      <w:r>
        <w:t xml:space="preserve"> The Challenges of Urban Ageing: Making Cities Age-Friendly in Europe — https://doi.org/10.3390/ijerph15112473</w:t>
      </w:r>
    </w:p>
    <w:p>
      <w:pPr/>
      <w:r>
        <w:rPr>
          <w:b/>
        </w:rPr>
        <w:t>Shared claim-specific concepts:</w:t>
      </w:r>
      <w:r>
        <w:t xml:space="preserve"> way, compared, one; EU scope visible. This is a provisional connection, not an outcome finding.</w:t>
      </w:r>
    </w:p>
    <w:p>
      <w:pPr>
        <w:pStyle w:val="SourceNote"/>
      </w:pPr>
      <w:r>
        <w:rPr>
          <w:b/>
        </w:rPr>
        <w:t>Available abstract (not full text):</w:t>
      </w:r>
      <w:r>
        <w:t xml:space="preserve">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912.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2019:</w:t>
      </w:r>
      <w:r>
        <w:t xml:space="preserve"> Parallel clines in native and introduced ragweed populations are likely due to adaptation — https://doi.org/10.1101/773838</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pPr/>
      <w:r>
        <w:rPr>
          <w:b/>
        </w:rPr>
        <w:t>POSSIBLE 2018:</w:t>
      </w:r>
      <w:r>
        <w:t xml:space="preserve"> Intercultural Scale Adaptation Stages, Language and Culture Adaptation: Updated Guideline — https://doi.org/10.26650/fnjn397481</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pPr/>
      <w:r>
        <w:rPr>
          <w:b/>
        </w:rPr>
        <w:t>POSSIBLE 2017:</w:t>
      </w:r>
      <w:r>
        <w:t xml:space="preserve"> The FLC Locus: A Platform for Discoveries in Epigenetics and Adaptation — https://doi.org/10.1146/annurev-cellbio-100616-060546</w:t>
      </w:r>
    </w:p>
    <w:p>
      <w:pPr/>
      <w:r>
        <w:rPr>
          <w:b/>
        </w:rPr>
        <w:t>Shared claim-specific concepts:</w:t>
      </w:r>
      <w:r>
        <w:t xml:space="preserve"> therefore, adaptation, regulate; EU scope not established. This is a provisional connection, not an outcome finding.</w:t>
      </w:r>
    </w:p>
    <w:p>
      <w:pPr>
        <w:pStyle w:val="SourceNote"/>
      </w:pPr>
      <w:r>
        <w:rPr>
          <w:b/>
        </w:rPr>
        <w:t>Available abstract (not full text):</w:t>
      </w:r>
      <w:r>
        <w:t xml:space="preserve">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pPr/>
      <w:r>
        <w:rPr>
          <w:b/>
        </w:rPr>
        <w:t>POSSIBLE 2017:</w:t>
      </w:r>
      <w:r>
        <w:t xml:space="preserve"> Cross-Adaptation: Heat and Cold Adaptation to Improve Physiological and Cellular Responses to Hypoxia — https://doi.org/10.1007/s40279-017-0717-z</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pPr/>
      <w:r>
        <w:rPr>
          <w:b/>
        </w:rPr>
        <w:t>POSSIBLE 2017:</w:t>
      </w:r>
      <w:r>
        <w:t xml:space="preserve"> Epigenetic and Genetic Contributions to Adaptation in Chlamydomonas — https://doi.org/10.1093/molbev/msx166</w:t>
      </w:r>
    </w:p>
    <w:p>
      <w:pPr/>
      <w:r>
        <w:rPr>
          <w:b/>
        </w:rPr>
        <w:t>Shared claim-specific concepts:</w:t>
      </w:r>
      <w:r>
        <w:t xml:space="preserve"> adaptation, between; EU scope not established. This is a provisional connection, not an outcome finding.</w:t>
      </w:r>
    </w:p>
    <w:p>
      <w:pPr>
        <w:pStyle w:val="SourceNote"/>
      </w:pPr>
      <w:r>
        <w:rPr>
          <w:b/>
        </w:rPr>
        <w:t>Available abstract (not full text):</w:t>
      </w:r>
      <w:r>
        <w:t xml:space="preserve">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pPr/>
      <w:r>
        <w:rPr>
          <w:b/>
        </w:rPr>
        <w:t>POSSIBLE 2016:</w:t>
      </w:r>
      <w:r>
        <w:t xml:space="preserve"> An uncertain future, deep uncertainty, scenarios, robustness and adaptation: How do they fit together? — https://doi.org/10.1016/j.envsoft.2016.03.014</w:t>
      </w:r>
    </w:p>
    <w:p>
      <w:pPr/>
      <w:r>
        <w:rPr>
          <w:b/>
        </w:rPr>
        <w:t>Shared claim-specific concepts:</w:t>
      </w:r>
      <w:r>
        <w:t xml:space="preserve"> adaptation, conditions, climate; EU scope not established. This is a provisional connection, not an outcome finding.</w:t>
      </w:r>
    </w:p>
    <w:p>
      <w:pPr>
        <w:pStyle w:val="SourceNote"/>
      </w:pPr>
      <w:r>
        <w:rPr>
          <w:b/>
        </w:rPr>
        <w:t>Available abstract (not full text):</w:t>
      </w:r>
      <w:r>
        <w:t xml:space="preserve">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913.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important, however, used;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r>
        <w:rPr>
          <w:b/>
        </w:rPr>
        <w:t>POSSIBLE 2018:</w:t>
      </w:r>
      <w:r>
        <w:t xml:space="preserve"> Home Exercise Training Improves Exercise Capacity in Cirrhosis Patients: Role of Exercise Adherence — https://doi.org/10.1038/s41598-017-18320-y</w:t>
      </w:r>
    </w:p>
    <w:p>
      <w:pPr/>
      <w:r>
        <w:rPr>
          <w:b/>
        </w:rPr>
        <w:t>Shared claim-specific concepts:</w:t>
      </w:r>
      <w:r>
        <w:t xml:space="preserve"> exercise, objective, used; EU scope not established. This is a provisional connection, not an outcome finding.</w:t>
      </w:r>
    </w:p>
    <w:p>
      <w:pPr>
        <w:pStyle w:val="SourceNote"/>
      </w:pPr>
      <w:r>
        <w:rPr>
          <w:b/>
        </w:rPr>
        <w:t>Available abstract (not full text):</w:t>
      </w:r>
      <w:r>
        <w:t xml:space="preserve">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pPr/>
      <w:r>
        <w:rPr>
          <w:b/>
        </w:rPr>
        <w:t>POSSIBLE 2018:</w:t>
      </w:r>
      <w:r>
        <w:t xml:space="preserve"> Challenges and Action Points to Amplify Agroecology in Europe — https://doi.org/10.3390/su10051598</w:t>
      </w:r>
    </w:p>
    <w:p>
      <w:pPr/>
      <w:r>
        <w:rPr>
          <w:b/>
        </w:rPr>
        <w:t>Shared claim-specific concepts:</w:t>
      </w:r>
      <w:r>
        <w:t xml:space="preserve"> important, exercise, carried, out, present; EU scope visible. This is a provisional connection, not an outcome finding.</w:t>
      </w:r>
    </w:p>
    <w:p>
      <w:pPr>
        <w:pStyle w:val="SourceNote"/>
      </w:pPr>
      <w:r>
        <w:rPr>
          <w:b/>
        </w:rPr>
        <w:t>Available abstract (not full text):</w:t>
      </w:r>
      <w:r>
        <w:t xml:space="preserve">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pPr/>
      <w:r>
        <w:rPr>
          <w:b/>
        </w:rPr>
        <w:t>POSSIBLE 2017:</w:t>
      </w:r>
      <w:r>
        <w:t xml:space="preserve"> Exercise for intermittent claudication — https://doi.org/10.1002/14651858.cd000990.pub4</w:t>
      </w:r>
    </w:p>
    <w:p>
      <w:pPr/>
      <w:r>
        <w:rPr>
          <w:b/>
        </w:rPr>
        <w:t>Shared claim-specific concepts:</w:t>
      </w:r>
      <w:r>
        <w:t xml:space="preserve"> important, however, exercise, case, only, used; EU scope not established. This is a provisional connection, not an outcome finding.</w:t>
      </w:r>
    </w:p>
    <w:p>
      <w:pPr>
        <w:pStyle w:val="SourceNote"/>
      </w:pPr>
      <w:r>
        <w:rPr>
          <w:b/>
        </w:rPr>
        <w:t>Available abstract (not full text):</w:t>
      </w:r>
      <w:r>
        <w:t xml:space="preserve">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pPr/>
      <w:r>
        <w:rPr>
          <w:b/>
        </w:rPr>
        <w:t>POSSIBLE 2016:</w:t>
      </w:r>
      <w:r>
        <w:t xml:space="preserve"> The second gamma-H2AX assay inter-comparison exercise carried out in the framework of the European biodosimetry network (RENEB) — https://doi.org/10.1080/09553002.2016.1207822</w:t>
      </w:r>
    </w:p>
    <w:p>
      <w:pPr/>
      <w:r>
        <w:rPr>
          <w:b/>
        </w:rPr>
        <w:t>Shared claim-specific concepts:</w:t>
      </w:r>
      <w:r>
        <w:t xml:space="preserve"> way, exercise, carried, out, only, purpose; EU scope visible. This is a provisional connection, not an outcome finding.</w:t>
      </w:r>
    </w:p>
    <w:p>
      <w:pPr>
        <w:pStyle w:val="SourceNote"/>
      </w:pPr>
      <w:r>
        <w:rPr>
          <w:b/>
        </w:rPr>
        <w:t>Available abstract (not full text):</w:t>
      </w:r>
      <w:r>
        <w:t xml:space="preserve">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pPr/>
      <w:r>
        <w:rPr>
          <w:b/>
        </w:rPr>
        <w:t>POSSIBLE 2015:</w:t>
      </w:r>
      <w:r>
        <w:t xml:space="preserve"> Epidemiology of traumatic brain injury in Europe — https://doi.org/10.1007/s00701-015-2512-7</w:t>
      </w:r>
    </w:p>
    <w:p>
      <w:pPr/>
      <w:r>
        <w:rPr>
          <w:b/>
        </w:rPr>
        <w:t>Shared claim-specific concepts:</w:t>
      </w:r>
      <w:r>
        <w:t xml:space="preserve"> case, only; EU scope visible. This is a provisional connection, not an outcome finding.</w:t>
      </w:r>
    </w:p>
    <w:p>
      <w:pPr>
        <w:pStyle w:val="SourceNote"/>
      </w:pPr>
      <w:r>
        <w:rPr>
          <w:b/>
        </w:rPr>
        <w:t>Available abstract (not full text):</w:t>
      </w:r>
      <w:r>
        <w:t xml:space="preserve">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914.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Simulating Ecological Functions of Vegetation Using a Dynamic Vegetation Model — https://doi.org/10.3390/f13091464</w:t>
      </w:r>
    </w:p>
    <w:p>
      <w:pPr/>
      <w:r>
        <w:rPr>
          <w:b/>
        </w:rPr>
        <w:t>Shared claim-specific concepts:</w:t>
      </w:r>
      <w:r>
        <w:t xml:space="preserve"> used, vegetation, forest; EU scope not established. This is a provisional connection, not an outcome finding.</w:t>
      </w:r>
    </w:p>
    <w:p>
      <w:pPr>
        <w:pStyle w:val="SourceNote"/>
      </w:pPr>
      <w:r>
        <w:rPr>
          <w:b/>
        </w:rPr>
        <w:t>Available abstract (not full text):</w:t>
      </w:r>
      <w:r>
        <w:t xml:space="preserve">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used, forest, part;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2021:</w:t>
      </w:r>
      <w:r>
        <w:t xml:space="preserve"> Analysing the relationship between drought and soil erosion using vegetation health index and RUSLE models in Godavari middle sub-basin, India — https://doi.org/10.1016/j.gsf.2021.101312</w:t>
      </w:r>
    </w:p>
    <w:p>
      <w:pPr/>
      <w:r>
        <w:rPr>
          <w:b/>
        </w:rPr>
        <w:t>Shared claim-specific concepts:</w:t>
      </w:r>
      <w:r>
        <w:t xml:space="preserve"> vegetation, one; EU scope not established. This is a provisional connection, not an outcome finding.</w:t>
      </w:r>
    </w:p>
    <w:p>
      <w:pPr>
        <w:pStyle w:val="SourceNote"/>
      </w:pPr>
      <w:r>
        <w:rPr>
          <w:b/>
        </w:rPr>
        <w:t>Available abstract (not full text):</w:t>
      </w:r>
      <w:r>
        <w:t xml:space="preserve">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pPr/>
      <w:r>
        <w:rPr>
          <w:b/>
        </w:rPr>
        <w:t>POSSIBLE 2020:</w:t>
      </w:r>
      <w:r>
        <w:t xml:space="preserve"> Sentinel-1 Cross Ratio and Vegetation Optical Depth: A Comparison over Europe — https://doi.org/10.3390/rs12203404</w:t>
      </w:r>
    </w:p>
    <w:p>
      <w:pPr/>
      <w:r>
        <w:rPr>
          <w:b/>
        </w:rPr>
        <w:t>Shared claim-specific concepts:</w:t>
      </w:r>
      <w:r>
        <w:t xml:space="preserve"> used, vegetation, one; EU scope visible. This is a provisional connection, not an outcome finding.</w:t>
      </w:r>
    </w:p>
    <w:p>
      <w:pPr>
        <w:pStyle w:val="SourceNote"/>
      </w:pPr>
      <w:r>
        <w:rPr>
          <w:b/>
        </w:rPr>
        <w:t>Available abstract (not full text):</w:t>
      </w:r>
      <w:r>
        <w:t xml:space="preserve">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pPr/>
      <w:r>
        <w:rPr>
          <w:b/>
        </w:rPr>
        <w:t>POSSIBLE 2017:</w:t>
      </w:r>
      <w:r>
        <w:t xml:space="preserve"> Vegetation dynamics and fire history at the southern boundary of the forest vegetation zone in European Russia during the middle and late Holocene — https://doi.org/10.1177/0959683617721331</w:t>
      </w:r>
    </w:p>
    <w:p>
      <w:pPr/>
      <w:r>
        <w:rPr>
          <w:b/>
        </w:rPr>
        <w:t>Shared claim-specific concepts:</w:t>
      </w:r>
      <w:r>
        <w:t xml:space="preserve"> vegetation, forest, part, russia; EU scope visible. This is a provisional connection, not an outcome finding.</w:t>
      </w:r>
    </w:p>
    <w:p>
      <w:pPr>
        <w:pStyle w:val="SourceNote"/>
      </w:pPr>
      <w:r>
        <w:rPr>
          <w:b/>
        </w:rPr>
        <w:t>Available abstract (not full text):</w:t>
      </w:r>
      <w:r>
        <w:t xml:space="preserve">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pPr/>
      <w:r>
        <w:rPr>
          <w:b/>
        </w:rPr>
        <w:t>POSSIBLE 2015:</w:t>
      </w:r>
      <w:r>
        <w:t xml:space="preserve"> A Conceptual Model of Vegetation–hydrogeomorphology Interactions Within River Corridors — https://doi.org/10.1002/rra.2928</w:t>
      </w:r>
    </w:p>
    <w:p>
      <w:pPr/>
      <w:r>
        <w:rPr>
          <w:b/>
        </w:rPr>
        <w:t>Shared claim-specific concepts:</w:t>
      </w:r>
      <w:r>
        <w:t xml:space="preserve"> vegetation, one; EU scope visible. This is a provisional connection, not an outcome finding.</w:t>
      </w:r>
    </w:p>
    <w:p>
      <w:pPr>
        <w:pStyle w:val="SourceNote"/>
      </w:pPr>
      <w:r>
        <w:rPr>
          <w:b/>
        </w:rPr>
        <w:t>Available abstract (not full text):</w:t>
      </w:r>
      <w:r>
        <w:t xml:space="preserve">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915.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2023:</w:t>
      </w:r>
      <w:r>
        <w:t xml:space="preserve"> Emerging threats and opportunities to managed bee species in European agricultural systems: a horizon scan — https://doi.org/10.1038/s41598-023-45279-w</w:t>
      </w:r>
    </w:p>
    <w:p>
      <w:pPr/>
      <w:r>
        <w:rPr>
          <w:b/>
        </w:rPr>
        <w:t>Shared claim-specific concepts:</w:t>
      </w:r>
      <w:r>
        <w:t xml:space="preserve"> issues, horizon, scanning, exercise; EU scope visible. This is a provisional connection, not an outcome finding.</w:t>
      </w:r>
    </w:p>
    <w:p>
      <w:pPr>
        <w:pStyle w:val="SourceNote"/>
      </w:pPr>
      <w:r>
        <w:rPr>
          <w:b/>
        </w:rPr>
        <w:t>Available abstract (not full text):</w:t>
      </w:r>
      <w:r>
        <w:t xml:space="preserve">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scanning, light, challenges;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2022:</w:t>
      </w:r>
      <w:r>
        <w:t xml:space="preserve"> AI hyped? A horizon scan of discourse on artificial intelligence in education (AIED) and development — https://doi.org/10.1080/17439884.2022.2095568</w:t>
      </w:r>
    </w:p>
    <w:p>
      <w:pPr/>
      <w:r>
        <w:rPr>
          <w:b/>
        </w:rPr>
        <w:t>Shared claim-specific concepts:</w:t>
      </w:r>
      <w:r>
        <w:t xml:space="preserve"> key, horizon; EU scope not established. This is a provisional connection, not an outcome finding.</w:t>
      </w:r>
    </w:p>
    <w:p>
      <w:pPr>
        <w:pStyle w:val="SourceNote"/>
      </w:pPr>
      <w:r>
        <w:rPr>
          <w:b/>
        </w:rPr>
        <w:t>Available abstract (not full text):</w:t>
      </w:r>
      <w:r>
        <w:t xml:space="preserve">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pPr/>
      <w:r>
        <w:rPr>
          <w:b/>
        </w:rPr>
        <w:t>POSSIBLE 2021:</w:t>
      </w:r>
      <w:r>
        <w:t xml:space="preserve"> Issues that mobilize Europe. The role of key policy issues for voter turnout in the 2019 European Parliament election — https://doi.org/10.1177/14651165211040337</w:t>
      </w:r>
    </w:p>
    <w:p>
      <w:pPr/>
      <w:r>
        <w:rPr>
          <w:b/>
        </w:rPr>
        <w:t>Shared claim-specific concepts:</w:t>
      </w:r>
      <w:r>
        <w:t xml:space="preserve"> key, issues, systemic, light; EU scope visible. This is a provisional connection, not an outcome finding.</w:t>
      </w:r>
    </w:p>
    <w:p>
      <w:pPr>
        <w:pStyle w:val="SourceNote"/>
      </w:pPr>
      <w:r>
        <w:rPr>
          <w:b/>
        </w:rPr>
        <w:t>Available abstract (not full text):</w:t>
      </w:r>
      <w:r>
        <w:t xml:space="preserve">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pPr/>
      <w:r>
        <w:rPr>
          <w:b/>
        </w:rPr>
        <w:t>POSSIBLE 2021:</w:t>
      </w:r>
      <w:r>
        <w:t xml:space="preserve"> The Imperative to Discuss European Islam: A Response to Grinell and Črnič — https://doi.org/10.1017/s1062798721000193</w:t>
      </w:r>
    </w:p>
    <w:p>
      <w:pPr/>
      <w:r>
        <w:rPr>
          <w:b/>
        </w:rPr>
        <w:t>Shared claim-specific concepts:</w:t>
      </w:r>
      <w:r>
        <w:t xml:space="preserve"> discuss, key, issues; EU scope visible. This is a provisional connection, not an outcome finding.</w:t>
      </w:r>
    </w:p>
    <w:p>
      <w:pPr>
        <w:pStyle w:val="SourceNote"/>
      </w:pPr>
      <w:r>
        <w:rPr>
          <w:b/>
        </w:rPr>
        <w:t>Available abstract (not full text):</w:t>
      </w:r>
      <w:r>
        <w:t xml:space="preserve">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916.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r>
        <w:rPr>
          <w:b/>
        </w:rPr>
        <w:t>POSSIBLE 2020:</w:t>
      </w:r>
      <w:r>
        <w:t xml:space="preserve"> Effects of global ship emissions on European air pollution levels — https://doi.org/10.5194/acp-20-11399-2020</w:t>
      </w:r>
    </w:p>
    <w:p>
      <w:pPr/>
      <w:r>
        <w:rPr>
          <w:b/>
        </w:rPr>
        <w:t>Shared claim-specific concepts:</w:t>
      </w:r>
      <w:r>
        <w:t xml:space="preserve"> air, pollution, both, but; EU scope visible. This is a provisional connection, not an outcome finding.</w:t>
      </w:r>
    </w:p>
    <w:p>
      <w:pPr>
        <w:pStyle w:val="SourceNote"/>
      </w:pPr>
      <w:r>
        <w:rPr>
          <w:b/>
        </w:rPr>
        <w:t>Available abstract (not full text):</w:t>
      </w:r>
      <w:r>
        <w:t xml:space="preserve">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pPr/>
      <w:r>
        <w:rPr>
          <w:b/>
        </w:rPr>
        <w:t>POSSIBLE 2019:</w:t>
      </w:r>
      <w:r>
        <w:t xml:space="preserve"> Cardiovascular disease burden from ambient air pollution in Europe reassessed using novel hazard ratio functions — https://doi.org/10.1093/eurheartj/ehz135</w:t>
      </w:r>
    </w:p>
    <w:p>
      <w:pPr/>
      <w:r>
        <w:rPr>
          <w:b/>
        </w:rPr>
        <w:t>Shared claim-specific concepts:</w:t>
      </w:r>
      <w:r>
        <w:t xml:space="preserve"> air, pollution, leading, about; EU scope visible. This is a provisional connection, not an outcome finding.</w:t>
      </w:r>
    </w:p>
    <w:p>
      <w:pPr>
        <w:pStyle w:val="SourceNote"/>
      </w:pPr>
      <w:r>
        <w:rPr>
          <w:b/>
        </w:rPr>
        <w:t>Available abstract (not full text):</w:t>
      </w:r>
      <w:r>
        <w:t xml:space="preserve">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pPr/>
      <w:r>
        <w:rPr>
          <w:b/>
        </w:rPr>
        <w:t>POSSIBLE 2017:</w:t>
      </w:r>
      <w:r>
        <w:t xml:space="preserve"> Air pollution and social inequality in the European Union — https://openalex.org/W2897528287</w:t>
      </w:r>
    </w:p>
    <w:p>
      <w:pPr/>
      <w:r>
        <w:rPr>
          <w:b/>
        </w:rPr>
        <w:t>Shared claim-specific concepts:</w:t>
      </w:r>
      <w:r>
        <w:t xml:space="preserve"> air, pollution, but, about; EU scope visible. This is a provisional connection, not an outcome finding.</w:t>
      </w:r>
    </w:p>
    <w:p>
      <w:pPr>
        <w:pStyle w:val="SourceNote"/>
      </w:pPr>
      <w:r>
        <w:rPr>
          <w:b/>
        </w:rPr>
        <w:t>Available abstract (not full text):</w:t>
      </w:r>
      <w:r>
        <w:t xml:space="preserve">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917.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2017:</w:t>
      </w:r>
      <w:r>
        <w:t xml:space="preserve"> Migrating Huns and modified heads: Eigenshape analysis comparing intentionally modified crania from Hungary and Georgia in the Migration Period of Europe — https://doi.org/10.1371/journal.pone.0171064</w:t>
      </w:r>
    </w:p>
    <w:p>
      <w:pPr/>
      <w:r>
        <w:rPr>
          <w:b/>
        </w:rPr>
        <w:t>Shared claim-specific concepts:</w:t>
      </w:r>
      <w:r>
        <w:t xml:space="preserve"> comparing, baseline, period; EU scope visible. This is a provisional connection, not an outcome finding.</w:t>
      </w:r>
    </w:p>
    <w:p>
      <w:pPr>
        <w:pStyle w:val="SourceNote"/>
      </w:pPr>
      <w:r>
        <w:rPr>
          <w:b/>
        </w:rPr>
        <w:t>Available abstract (not full text):</w:t>
      </w:r>
      <w:r>
        <w:t xml:space="preserve">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pPr/>
      <w:r>
        <w:rPr>
          <w:b/>
        </w:rPr>
        <w:t>POSSIBLE 2016:</w:t>
      </w:r>
      <w:r>
        <w:t xml:space="preserve"> Time trends of contact allergy to the European baseline series in Lithuania — https://doi.org/10.1111/cod.12726</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pPr/>
      <w:r>
        <w:rPr>
          <w:b/>
        </w:rPr>
        <w:t>POSSIBLE 2015:</w:t>
      </w:r>
      <w:r>
        <w:t xml:space="preserve"> Influenza surveillance in E urope: comparing intensity levels calculated using the moving epidemic method — https://doi.org/10.1111/irv.12330</w:t>
      </w:r>
    </w:p>
    <w:p>
      <w:pPr/>
      <w:r>
        <w:rPr>
          <w:b/>
        </w:rPr>
        <w:t>Shared claim-specific concepts:</w:t>
      </w:r>
      <w:r>
        <w:t xml:space="preserve"> comparing, baseline, period, belgium, spain; EU scope visible. This is a provisional connection, not an outcome finding.</w:t>
      </w:r>
    </w:p>
    <w:p>
      <w:pPr>
        <w:pStyle w:val="SourceNote"/>
      </w:pPr>
      <w:r>
        <w:rPr>
          <w:b/>
        </w:rPr>
        <w:t>Available abstract (not full text):</w:t>
      </w:r>
      <w:r>
        <w:t xml:space="preserve">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pPr/>
      <w:r>
        <w:rPr>
          <w:b/>
        </w:rPr>
        <w:t>POSSIBLE 2014:</w:t>
      </w:r>
      <w:r>
        <w:t xml:space="preserve"> The Importance of Baseline Surveys of Near-Surface Gas Geochemistry for CCS Monitoring, as Shown from Onshore Case Studies in Northern and Southern Europe — https://doi.org/10.2516/ogst/2014009</w:t>
      </w:r>
    </w:p>
    <w:p>
      <w:pPr/>
      <w:r>
        <w:rPr>
          <w:b/>
        </w:rPr>
        <w:t>Shared claim-specific concepts:</w:t>
      </w:r>
      <w:r>
        <w:t xml:space="preserve"> baseline, much, larger, climate; EU scope visible. This is a provisional connection, not an outcome finding.</w:t>
      </w:r>
    </w:p>
    <w:p>
      <w:pPr>
        <w:pStyle w:val="SourceNote"/>
      </w:pPr>
      <w:r>
        <w:rPr>
          <w:b/>
        </w:rPr>
        <w:t>Available abstract (not full text):</w:t>
      </w:r>
      <w:r>
        <w:t xml:space="preserve">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918.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r>
        <w:rPr>
          <w:b/>
        </w:rPr>
        <w:t>POSSIBLE 2021:</w:t>
      </w:r>
      <w:r>
        <w:t xml:space="preserve"> A Model for Examining Challenges and Opportunities in Use of Cloud Computing for Health Information Systems — https://doi.org/10.3390/asi4010015</w:t>
      </w:r>
    </w:p>
    <w:p>
      <w:pPr/>
      <w:r>
        <w:rPr>
          <w:b/>
        </w:rPr>
        <w:t>Shared claim-specific concepts:</w:t>
      </w:r>
      <w:r>
        <w:t xml:space="preserve"> systems, but, not, technology; EU scope not established. This is a provisional connection, not an outcome finding.</w:t>
      </w:r>
    </w:p>
    <w:p>
      <w:pPr>
        <w:pStyle w:val="SourceNote"/>
      </w:pPr>
      <w:r>
        <w:rPr>
          <w:b/>
        </w:rPr>
        <w:t>Available abstract (not full text):</w:t>
      </w:r>
      <w:r>
        <w:t xml:space="preserve">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pPr/>
      <w:r>
        <w:rPr>
          <w:b/>
        </w:rPr>
        <w:t>POSSIBLE 2020:</w:t>
      </w:r>
      <w:r>
        <w:t xml:space="preserve"> Applying focused ethnographic methods: examining implications of intracultural diversity for nutrition interventions — https://doi.org/10.1093/nutrit/nuaa002</w:t>
      </w:r>
    </w:p>
    <w:p>
      <w:pPr/>
      <w:r>
        <w:rPr>
          <w:b/>
        </w:rPr>
        <w:t>Shared claim-specific concepts:</w:t>
      </w:r>
      <w:r>
        <w:t xml:space="preserve"> then, examines, implications, approach, but; EU scope not established. This is a provisional connection, not an outcome finding.</w:t>
      </w:r>
    </w:p>
    <w:p>
      <w:pPr>
        <w:pStyle w:val="SourceNote"/>
      </w:pPr>
      <w:r>
        <w:rPr>
          <w:b/>
        </w:rPr>
        <w:t>Available abstract (not full text):</w:t>
      </w:r>
      <w:r>
        <w:t xml:space="preserve">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pPr/>
      <w:r>
        <w:rPr>
          <w:b/>
        </w:rPr>
        <w:t>POSSIBLE 2018:</w:t>
      </w:r>
      <w:r>
        <w:t xml:space="preserve"> Measuring learning gains and examining implications for student success in STEM — https://doi.org/10.1080/23752696.2018.1425096</w:t>
      </w:r>
    </w:p>
    <w:p>
      <w:pPr/>
      <w:r>
        <w:rPr>
          <w:b/>
        </w:rPr>
        <w:t>Shared claim-specific concepts:</w:t>
      </w:r>
      <w:r>
        <w:t xml:space="preserve"> implications, technology, mix; EU scope not established. This is a provisional connection, not an outcome finding.</w:t>
      </w:r>
    </w:p>
    <w:p>
      <w:pPr>
        <w:pStyle w:val="SourceNote"/>
      </w:pPr>
      <w:r>
        <w:rPr>
          <w:b/>
        </w:rPr>
        <w:t>Available abstract (not full text):</w:t>
      </w:r>
      <w:r>
        <w:t xml:space="preserve">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pPr/>
      <w:r>
        <w:rPr>
          <w:b/>
        </w:rPr>
        <w:t>POSSIBLE 2016:</w:t>
      </w:r>
      <w:r>
        <w:t xml:space="preserve"> Commodification of natural resources and forest ecosystem services: examining implications for forest protection — https://doi.org/10.1017/s0376892916000436</w:t>
      </w:r>
    </w:p>
    <w:p>
      <w:pPr/>
      <w:r>
        <w:rPr>
          <w:b/>
        </w:rPr>
        <w:t>Shared claim-specific concepts:</w:t>
      </w:r>
      <w:r>
        <w:t xml:space="preserve"> implications, approach; EU scope not established. This is a provisional connection, not an outcome finding.</w:t>
      </w:r>
    </w:p>
    <w:p>
      <w:pPr>
        <w:pStyle w:val="SourceNote"/>
      </w:pPr>
      <w:r>
        <w:rPr>
          <w:b/>
        </w:rPr>
        <w:t>Available abstract (not full text):</w:t>
      </w:r>
      <w:r>
        <w:t xml:space="preserve">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pPr/>
      <w:r>
        <w:rPr>
          <w:b/>
        </w:rPr>
        <w:t>POSSIBLE 2014:</w:t>
      </w:r>
      <w:r>
        <w:t xml:space="preserve"> RFID integrated systems in libraries: extending TAM model for empirically examining the use — https://doi.org/10.1108/jeim-10-2013-0079</w:t>
      </w:r>
    </w:p>
    <w:p>
      <w:pPr/>
      <w:r>
        <w:rPr>
          <w:b/>
        </w:rPr>
        <w:t>Shared claim-specific concepts:</w:t>
      </w:r>
      <w:r>
        <w:t xml:space="preserve"> systems, approach, significantly, technology; EU scope not established. This is a provisional connection, not an outcome finding.</w:t>
      </w:r>
    </w:p>
    <w:p>
      <w:pPr>
        <w:pStyle w:val="SourceNote"/>
      </w:pPr>
      <w:r>
        <w:rPr>
          <w:b/>
        </w:rPr>
        <w:t>Available abstract (not full text):</w:t>
      </w:r>
      <w:r>
        <w:t xml:space="preserve">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919.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2023:</w:t>
      </w:r>
      <w:r>
        <w:t xml:space="preserve"> Z-Delphi: A Z-Number-Based Delphi Technique for Technological Forecasting to Reduce Optimism/Pessimism Bias in Experts’ Convergent Opinions — https://doi.org/10.1007/s44196-023-00270-1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pPr/>
      <w:r>
        <w:rPr>
          <w:b/>
        </w:rPr>
        <w:t>POSSIBLE 2022:</w:t>
      </w:r>
      <w:r>
        <w:t xml:space="preserve"> A Conceptual Framework for Determining Quality Requirements for Mobile Learning Applications Using Delphi Method — https://doi.org/10.3390/electronics11050788</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pPr/>
      <w:r>
        <w:rPr>
          <w:b/>
        </w:rPr>
        <w:t>POSSIBLE 2022:</w:t>
      </w:r>
      <w:r>
        <w:t xml:space="preserve"> Grand Challenges in global eye health: a global prioritisation process using Delphi method — https://doi.org/10.1016/s2666-7568(21)00302-0</w:t>
      </w:r>
    </w:p>
    <w:p>
      <w:pPr/>
      <w:r>
        <w:rPr>
          <w:b/>
        </w:rPr>
        <w:t>Shared claim-specific concepts:</w:t>
      </w:r>
      <w:r>
        <w:t xml:space="preserve"> used, delphi, method, systems, each; EU scope visible. This is a provisional connection, not an outcome finding.</w:t>
      </w:r>
    </w:p>
    <w:p>
      <w:pPr>
        <w:pStyle w:val="SourceNote"/>
      </w:pPr>
      <w:r>
        <w:rPr>
          <w:b/>
        </w:rPr>
        <w:t>Available abstract (not full text):</w:t>
      </w:r>
      <w:r>
        <w:t xml:space="preserve">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pPr/>
      <w:r>
        <w:rPr>
          <w:b/>
        </w:rPr>
        <w:t>POSSIBLE 2022:</w:t>
      </w:r>
      <w:r>
        <w:t xml:space="preserve"> Forecasting Food Innovations with a Delphi Study — https://doi.org/10.3390/foods11223723</w:t>
      </w:r>
    </w:p>
    <w:p>
      <w:pPr/>
      <w:r>
        <w:rPr>
          <w:b/>
        </w:rPr>
        <w:t>Shared claim-specific concepts:</w:t>
      </w:r>
      <w:r>
        <w:t xml:space="preserve"> delphi, method, food; EU scope not established. This is a provisional connection, not an outcome finding.</w:t>
      </w:r>
    </w:p>
    <w:p>
      <w:pPr>
        <w:pStyle w:val="SourceNote"/>
      </w:pPr>
      <w:r>
        <w:rPr>
          <w:b/>
        </w:rPr>
        <w:t>Available abstract (not full text):</w:t>
      </w:r>
      <w:r>
        <w:t xml:space="preserve">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pPr/>
      <w:r>
        <w:rPr>
          <w:b/>
        </w:rPr>
        <w:t>POSSIBLE 2021:</w:t>
      </w:r>
      <w:r>
        <w:t xml:space="preserve"> A Study on the Classification of Autonomous Functions of Unmanned Aircraft Using Delphi Method — https://doi.org/10.25052/kscm.2021.05.21.1.55</w:t>
      </w:r>
    </w:p>
    <w:p>
      <w:pPr/>
      <w:r>
        <w:rPr>
          <w:b/>
        </w:rPr>
        <w:t>Shared claim-specific concepts:</w:t>
      </w:r>
      <w:r>
        <w:t xml:space="preserve"> delphi, method, systems, each; EU scope not established. This is a provisional connection, not an outcome finding.</w:t>
      </w:r>
    </w:p>
    <w:p>
      <w:pPr>
        <w:pStyle w:val="SourceNote"/>
      </w:pPr>
      <w:r>
        <w:rPr>
          <w:b/>
        </w:rPr>
        <w:t>Available abstract (not full text):</w:t>
      </w:r>
      <w:r>
        <w:t xml:space="preserve">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pPr/>
      <w:r>
        <w:rPr>
          <w:b/>
        </w:rPr>
        <w:t>POSSIBLE 2021:</w:t>
      </w:r>
      <w:r>
        <w:t xml:space="preserve"> Conceptual framework for task shifting and task sharing: an international Delphi study — https://doi.org/10.1186/s12960-021-00605-z</w:t>
      </w:r>
    </w:p>
    <w:p>
      <w:pPr/>
      <w:r>
        <w:rPr>
          <w:b/>
        </w:rPr>
        <w:t>Shared claim-specific concepts:</w:t>
      </w:r>
      <w:r>
        <w:t xml:space="preserve"> used, delphi, within; EU scope not established. This is a provisional connection, not an outcome finding.</w:t>
      </w:r>
    </w:p>
    <w:p>
      <w:pPr>
        <w:pStyle w:val="SourceNote"/>
      </w:pPr>
      <w:r>
        <w:rPr>
          <w:b/>
        </w:rPr>
        <w:t>Available abstract (not full text):</w:t>
      </w:r>
      <w:r>
        <w:t xml:space="preserve"> BACKGROUND: Task shifting and sharing (TS/S) involves the redistribution of health tasks within workforces and communities. Conceptual frameworks lay out the key factors, constructs, and variables involved in a given phenomenon, as well as the relationships between those factors. Though TS/S is a leading strategy to address health worker shortages and improve access to services worldwide, a conceptual framework for this approach is lacking. METHODS: We used an online Delphi process to engage an international panel of scholars with experience in knowledge synthesis concerning TS/S and develop a conceptual framework for TS/S. We invited 55 prospective panelists to participate in a series of questionnaires exploring the purpose of TS/S and the characteristics of contexts amenable to TS/S programmes. Panelist responses were analysed and integrated through an iterative process to achieve consensus on the elements included in the conceptual framework. RESULTS: The panel achieved consensus concerning the included concepts after three Delphi rounds among 15 panelists. The COATS Framework (Concepts and Opportunities to Advance Task Shifting and Task Sharing) offers a refined definition of TS/S and a general purpose statement to guide TS/S programmes. COATS describes that opportunities for health system improvement arising from TS/S programmes depending on the implementation context, and</w:t>
      </w:r>
    </w:p>
    <w:p>
      <w:pPr>
        <w:pStyle w:val="Heading2"/>
      </w:pPr>
      <w:r>
        <w:t>920.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r>
        <w:rPr>
          <w:b/>
        </w:rPr>
        <w:t>POSSIBLE 2021:</w:t>
      </w:r>
      <w:r>
        <w:t xml:space="preserve"> PROJECT ACTIVITIES OF STUDENTS AND CRITERIA FOR EVALUATING RESULTS — https://doi.org/10.33989/2075-146x.2020.26.227655</w:t>
      </w:r>
    </w:p>
    <w:p>
      <w:pPr/>
      <w:r>
        <w:rPr>
          <w:b/>
        </w:rPr>
        <w:t>Shared claim-specific concepts:</w:t>
      </w:r>
      <w:r>
        <w:t xml:space="preserve"> projects, evaluation, thinking, between, activities; EU scope not established. This is a provisional connection, not an outcome finding.</w:t>
      </w:r>
    </w:p>
    <w:p>
      <w:pPr>
        <w:pStyle w:val="SourceNote"/>
      </w:pPr>
      <w:r>
        <w:rPr>
          <w:b/>
        </w:rPr>
        <w:t>Available abstract (not full text):</w:t>
      </w:r>
      <w:r>
        <w:t xml:space="preserve">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pPr/>
      <w:r>
        <w:rPr>
          <w:b/>
        </w:rPr>
        <w:t>POSSIBLE 2021:</w:t>
      </w:r>
      <w:r>
        <w:t xml:space="preserve"> Urban-PLUMBER model evaluation project: initial results — https://doi.org/10.5194/egusphere-egu21-15230</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pPr/>
      <w:r>
        <w:rPr>
          <w:b/>
        </w:rPr>
        <w:t>POSSIBLE 2020:</w:t>
      </w:r>
      <w:r>
        <w:t xml:space="preserve"> Results of the Collaborative International Evaluated Library Organisation (CIELO) Project — https://doi.org/10.1051/epjconf/202023915003</w:t>
      </w:r>
    </w:p>
    <w:p>
      <w:pPr/>
      <w:r>
        <w:rPr>
          <w:b/>
        </w:rPr>
        <w:t>Shared claim-specific concepts:</w:t>
      </w:r>
      <w:r>
        <w:t xml:space="preserve"> projects, evaluation, data, between, activities; EU scope visible. This is a provisional connection, not an outcome finding.</w:t>
      </w:r>
    </w:p>
    <w:p>
      <w:pPr>
        <w:pStyle w:val="SourceNote"/>
      </w:pPr>
      <w:r>
        <w:rPr>
          <w:b/>
        </w:rPr>
        <w:t>Available abstract (not full text):</w:t>
      </w:r>
      <w:r>
        <w:t xml:space="preserve">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pPr/>
      <w:r>
        <w:rPr>
          <w:b/>
        </w:rPr>
        <w:t>POSSIBLE 2020:</w:t>
      </w:r>
      <w:r>
        <w:t xml:space="preserve"> Optimization of Time and Cost for a Research Project by Project Crashing Method — https://doi.org/10.1088/1757-899x/998/1/012057</w:t>
      </w:r>
    </w:p>
    <w:p>
      <w:pPr/>
      <w:r>
        <w:rPr>
          <w:b/>
        </w:rPr>
        <w:t>Shared claim-specific concepts:</w:t>
      </w:r>
      <w:r>
        <w:t xml:space="preserve"> current, between, activities; EU scope not established. This is a provisional connection, not an outcome finding.</w:t>
      </w:r>
    </w:p>
    <w:p>
      <w:pPr>
        <w:pStyle w:val="SourceNote"/>
      </w:pPr>
      <w:r>
        <w:rPr>
          <w:b/>
        </w:rPr>
        <w:t>Available abstract (not full text):</w:t>
      </w:r>
      <w:r>
        <w:t xml:space="preserve">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921.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2018:</w:t>
      </w:r>
      <w:r>
        <w:t xml:space="preserve"> Compact or spread? A quantitative spatial model of urban areas in Europe since 1990 — https://doi.org/10.1371/journal.pone.0192326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pPr/>
      <w:r>
        <w:rPr>
          <w:b/>
        </w:rPr>
        <w:t>POSSIBLE 2018:</w:t>
      </w:r>
      <w:r>
        <w:t xml:space="preserve"> Quantitative Sovereign Default Models and the European Debt Crisis — https://doi.org/10.3386/w24981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2016:</w:t>
      </w:r>
      <w:r>
        <w:t xml:space="preserve"> Congestion management in power systems - Long-term modeling framework and large-scale application — https://openalex.org/W3122947640</w:t>
      </w:r>
    </w:p>
    <w:p>
      <w:pPr/>
      <w:r>
        <w:rPr>
          <w:b/>
        </w:rPr>
        <w:t>Shared claim-specific concepts:</w:t>
      </w:r>
      <w:r>
        <w:t xml:space="preserve"> framework, analyzing, long-term; EU scope visible. This is a provisional connection, not an outcome finding.</w:t>
      </w:r>
    </w:p>
    <w:p>
      <w:pPr>
        <w:pStyle w:val="SourceNote"/>
      </w:pPr>
      <w:r>
        <w:rPr>
          <w:b/>
        </w:rPr>
        <w:t>Available abstract (not full text):</w:t>
      </w:r>
      <w:r>
        <w:t xml:space="preserve">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pPr/>
      <w:r>
        <w:rPr>
          <w:b/>
        </w:rPr>
        <w:t>POSSIBLE 2013:</w:t>
      </w:r>
      <w:r>
        <w:t xml:space="preserve"> Continental-scale assessment of provisioning soil functions in Europe — https://doi.org/10.1186/2192-1709-2-32</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922.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r>
        <w:rPr>
          <w:b/>
        </w:rPr>
        <w:t>POSSIBLE 2025:</w:t>
      </w:r>
      <w:r>
        <w:t xml:space="preserve"> Advantages and pitfalls of green public procurement as a European strategic tool — https://openalex.org/W7116591833</w:t>
      </w:r>
    </w:p>
    <w:p>
      <w:pPr/>
      <w:r>
        <w:rPr>
          <w:b/>
        </w:rPr>
        <w:t>Shared claim-specific concepts:</w:t>
      </w:r>
      <w:r>
        <w:t xml:space="preserve"> tool, strategic, support, sector; EU scope visible. This is a provisional connection, not an outcome finding.</w:t>
      </w:r>
    </w:p>
    <w:p>
      <w:pPr>
        <w:pStyle w:val="SourceNote"/>
      </w:pPr>
      <w:r>
        <w:rPr>
          <w:b/>
        </w:rPr>
        <w:t>Available abstract (not full text):</w:t>
      </w:r>
      <w:r>
        <w:t xml:space="preserve">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pPr/>
      <w:r>
        <w:rPr>
          <w:b/>
        </w:rPr>
        <w:t>POSSIBLE 2025:</w:t>
      </w:r>
      <w:r>
        <w:t xml:space="preserve"> ENHANCING REGIONAL COMPETITIVENESS THROUGH STRATEGIC MANAGEMENT OF TOURISM CLUSTERS: EVIDENCE FROM EUROPEAN COUNTRIES — https://openalex.org/W7220001405</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pPr/>
      <w:r>
        <w:rPr>
          <w:b/>
        </w:rPr>
        <w:t>POSSIBLE 2024:</w:t>
      </w:r>
      <w:r>
        <w:t xml:space="preserve"> Digital Tools in Strategic Global Sports Brand Management — https://doi.org/10.2478/jec-2024-0029</w:t>
      </w:r>
    </w:p>
    <w:p>
      <w:pPr/>
      <w:r>
        <w:rPr>
          <w:b/>
        </w:rPr>
        <w:t>Shared claim-specific concepts:</w:t>
      </w:r>
      <w:r>
        <w:t xml:space="preserve"> qualitative, tool, strategic, findings; EU scope visible. This is a provisional connection, not an outcome finding.</w:t>
      </w:r>
    </w:p>
    <w:p>
      <w:pPr>
        <w:pStyle w:val="SourceNote"/>
      </w:pPr>
      <w:r>
        <w:rPr>
          <w:b/>
        </w:rPr>
        <w:t>Available abstract (not full text):</w:t>
      </w:r>
      <w:r>
        <w:t xml:space="preserve">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pPr/>
      <w:r>
        <w:rPr>
          <w:b/>
        </w:rPr>
        <w:t>POSSIBLE 2024:</w:t>
      </w:r>
      <w:r>
        <w:t xml:space="preserve"> Rethinking Barriers and Enablers in Qualitative Health Research: Limitations, Alternatives, and Enhancements — https://doi.org/10.1177/10497323241230890</w:t>
      </w:r>
    </w:p>
    <w:p>
      <w:pPr/>
      <w:r>
        <w:rPr>
          <w:b/>
        </w:rPr>
        <w:t>Shared claim-specific concepts:</w:t>
      </w:r>
      <w:r>
        <w:t xml:space="preserve"> qualitative, researchers, findings; EU scope not established. This is a provisional connection, not an outcome finding.</w:t>
      </w:r>
    </w:p>
    <w:p>
      <w:pPr>
        <w:pStyle w:val="SourceNote"/>
      </w:pPr>
      <w:r>
        <w:rPr>
          <w:b/>
        </w:rPr>
        <w:t>Available abstract (not full text):</w:t>
      </w:r>
      <w:r>
        <w:t xml:space="preserve">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pPr/>
      <w:r>
        <w:rPr>
          <w:b/>
        </w:rPr>
        <w:t>POSSIBLE 2024:</w:t>
      </w:r>
      <w:r>
        <w:t xml:space="preserve"> Attitudes of European psychiatrists on psychedelics: a qualitative study — https://doi.org/10.3389/fpsyt.2024.1411234</w:t>
      </w:r>
    </w:p>
    <w:p>
      <w:pPr/>
      <w:r>
        <w:rPr>
          <w:b/>
        </w:rPr>
        <w:t>Shared claim-specific concepts:</w:t>
      </w:r>
      <w:r>
        <w:t xml:space="preserve"> qualitative, main, findings; EU scope visible. This is a provisional connection, not an outcome finding.</w:t>
      </w:r>
    </w:p>
    <w:p>
      <w:pPr>
        <w:pStyle w:val="SourceNote"/>
      </w:pPr>
      <w:r>
        <w:rPr>
          <w:b/>
        </w:rPr>
        <w:t>Available abstract (not full text):</w:t>
      </w:r>
      <w:r>
        <w:t xml:space="preserve">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pPr/>
      <w:r>
        <w:rPr>
          <w:b/>
        </w:rPr>
        <w:t>POSSIBLE 2023:</w:t>
      </w:r>
      <w:r>
        <w:t xml:space="preserve"> 4 Research Methods: Quantitative and Qualitative Approaches — https://doi.org/10.21832/9781800417151-006</w:t>
      </w:r>
    </w:p>
    <w:p>
      <w:pPr/>
      <w:r>
        <w:rPr>
          <w:b/>
        </w:rPr>
        <w:t>Shared claim-specific concepts:</w:t>
      </w:r>
      <w:r>
        <w:t xml:space="preserve"> qualitative, identify, discussed; EU scope not established. This is a provisional connection, not an outcome finding.</w:t>
      </w:r>
    </w:p>
    <w:p>
      <w:pPr>
        <w:pStyle w:val="SourceNote"/>
      </w:pPr>
      <w:r>
        <w:rPr>
          <w:b/>
        </w:rPr>
        <w:t>Available abstract (not full text):</w:t>
      </w:r>
      <w:r>
        <w:t xml:space="preserve">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923.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r>
        <w:rPr>
          <w:b/>
        </w:rPr>
        <w:t>POSSIBLE 2020:</w:t>
      </w:r>
      <w:r>
        <w:t xml:space="preserve"> Twenty-seven-year time trends in dementia incidence in Europe and the United States — https://doi.org/10.1212/wnl.0000000000010022</w:t>
      </w:r>
    </w:p>
    <w:p>
      <w:pPr/>
      <w:r>
        <w:rPr>
          <w:b/>
        </w:rPr>
        <w:t>Shared claim-specific concepts:</w:t>
      </w:r>
      <w:r>
        <w:t xml:space="preserve"> similar, trends, increased, over, north; EU scope visible. This is a provisional connection, not an outcome finding.</w:t>
      </w:r>
    </w:p>
    <w:p>
      <w:pPr>
        <w:pStyle w:val="SourceNote"/>
      </w:pPr>
      <w:r>
        <w:rPr>
          <w:b/>
        </w:rPr>
        <w:t>Available abstract (not full text):</w:t>
      </w:r>
      <w:r>
        <w:t xml:space="preserve">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pPr/>
      <w:r>
        <w:rPr>
          <w:b/>
        </w:rPr>
        <w:t>POSSIBLE 2020:</w:t>
      </w:r>
      <w:r>
        <w:t xml:space="preserve"> Flood trends in Europe: are changes in small and big floods different? — https://doi.org/10.5194/hess-24-1805-2020</w:t>
      </w:r>
    </w:p>
    <w:p>
      <w:pPr/>
      <w:r>
        <w:rPr>
          <w:b/>
        </w:rPr>
        <w:t>Shared claim-specific concepts:</w:t>
      </w:r>
      <w:r>
        <w:t xml:space="preserve"> trends, over, southern, distribution, related;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trends, likely, over, southern, conditions, north;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trends, increased, over, decreased, distribution;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924.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925.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r>
        <w:rPr>
          <w:b/>
        </w:rPr>
        <w:t>POSSIBLE 2019:</w:t>
      </w:r>
      <w:r>
        <w:t xml:space="preserve"> Design of a Novel Piezoelectric Energy Harvester Based on Integrated Multistage Force Amplification Frame — https://doi.org/10.1109/tmech.2019.2906999</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pPr/>
      <w:r>
        <w:rPr>
          <w:b/>
        </w:rPr>
        <w:t>POSSIBLE 2018:</w:t>
      </w:r>
      <w:r>
        <w:t xml:space="preserve">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The integrated motivational–volitional model of suicidal behaviour — https://doi.org/10.1098/rstb.2017.0268</w:t>
      </w:r>
    </w:p>
    <w:p>
      <w:pPr/>
      <w:r>
        <w:rPr>
          <w:b/>
        </w:rPr>
        <w:t>Shared claim-specific concepts:</w:t>
      </w:r>
      <w:r>
        <w:t xml:space="preserve"> integrated, about; EU scope not established. This is a provisional connection, not an outcome finding.</w:t>
      </w:r>
    </w:p>
    <w:p>
      <w:pPr>
        <w:pStyle w:val="SourceNote"/>
      </w:pPr>
      <w:r>
        <w:rPr>
          <w:b/>
        </w:rPr>
        <w:t>Available abstract (not full text):</w:t>
      </w:r>
      <w:r>
        <w:t xml:space="preserve">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pPr/>
      <w:r>
        <w:rPr>
          <w:b/>
        </w:rPr>
        <w:t>POSSIBLE 2018:</w:t>
      </w:r>
      <w:r>
        <w:t xml:space="preserve"> An integrated phenology modelling framework in r — https://doi.org/10.1111/2041-210x.12970</w:t>
      </w:r>
    </w:p>
    <w:p>
      <w:pPr/>
      <w:r>
        <w:rPr>
          <w:b/>
        </w:rPr>
        <w:t>Shared claim-specific concepts:</w:t>
      </w:r>
      <w:r>
        <w:t xml:space="preserve"> integrated, first, climate, show; EU scope visible. This is a provisional connection, not an outcome finding.</w:t>
      </w:r>
    </w:p>
    <w:p>
      <w:pPr>
        <w:pStyle w:val="SourceNote"/>
      </w:pPr>
      <w:r>
        <w:rPr>
          <w:b/>
        </w:rPr>
        <w:t>Available abstract (not full text):</w:t>
      </w:r>
      <w:r>
        <w:t xml:space="preserve">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pPr/>
      <w:r>
        <w:rPr>
          <w:b/>
        </w:rPr>
        <w:t>POSSIBLE 2018:</w:t>
      </w:r>
      <w:r>
        <w:t xml:space="preserve"> An Integrated Cytoskeletal Model of Neurite Outgrowth — https://doi.org/10.3389/fncel.2018.00447</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926.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2019:</w:t>
      </w:r>
      <w:r>
        <w:t xml:space="preserve"> From Moscow to Simferopol: How the Russian Cubo-Futurists Accessed the Provinces — https://doi.org/10.1353/ths.2019.0003</w:t>
      </w:r>
    </w:p>
    <w:p>
      <w:pPr/>
      <w:r>
        <w:rPr>
          <w:b/>
        </w:rPr>
        <w:t>Shared claim-specific concepts:</w:t>
      </w:r>
      <w:r>
        <w:t xml:space="preserve"> futurists, radically, different, but, also, project; EU scope not established. This is a provisional connection, not an outcome finding.</w:t>
      </w:r>
    </w:p>
    <w:p>
      <w:pPr>
        <w:pStyle w:val="SourceNote"/>
      </w:pPr>
      <w:r>
        <w:rPr>
          <w:b/>
        </w:rPr>
        <w:t>Available abstract (not full text):</w:t>
      </w:r>
      <w:r>
        <w:t xml:space="preserve">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pPr/>
      <w:r>
        <w:rPr>
          <w:b/>
        </w:rPr>
        <w:t>POSSIBLE 2017:</w:t>
      </w:r>
      <w:r>
        <w:t xml:space="preserve"> The Anti-Neutral Suit: international legal futurists, 1914–2017 — https://doi.org/10.1093/lril/lrw023</w:t>
      </w:r>
    </w:p>
    <w:p>
      <w:pPr/>
      <w:r>
        <w:rPr>
          <w:b/>
        </w:rPr>
        <w:t>Shared claim-specific concepts:</w:t>
      </w:r>
      <w:r>
        <w:t xml:space="preserve"> futurists, not, but; EU scope not established. This is a provisional connection, not an outcome finding.</w:t>
      </w:r>
    </w:p>
    <w:p>
      <w:pPr>
        <w:pStyle w:val="SourceNote"/>
      </w:pPr>
      <w:r>
        <w:rPr>
          <w:b/>
        </w:rPr>
        <w:t>Available abstract (not full text):</w:t>
      </w:r>
      <w:r>
        <w:t xml:space="preserve">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pPr/>
      <w:r>
        <w:rPr>
          <w:b/>
        </w:rPr>
        <w:t>POSSIBLE 2016:</w:t>
      </w:r>
      <w:r>
        <w:t xml:space="preserve"> Futurist Painting Sculpture (Plastic Dynamism) — https://openalex.org/W2753318073</w:t>
      </w:r>
    </w:p>
    <w:p>
      <w:pPr/>
      <w:r>
        <w:rPr>
          <w:b/>
        </w:rPr>
        <w:t>Shared claim-specific concepts:</w:t>
      </w:r>
      <w:r>
        <w:t xml:space="preserve"> futurists, not, only, but, also, political; EU scope visible. This is a provisional connection, not an outcome finding.</w:t>
      </w:r>
    </w:p>
    <w:p>
      <w:pPr>
        <w:pStyle w:val="SourceNote"/>
      </w:pPr>
      <w:r>
        <w:rPr>
          <w:b/>
        </w:rPr>
        <w:t>Available abstract (not full text):</w:t>
      </w:r>
      <w:r>
        <w:t xml:space="preserve">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927.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2018:</w:t>
      </w:r>
      <w:r>
        <w:t xml:space="preserve"> Is a 100% renewable European power system feasible by 2050? — https://doi.org/10.1016/j.apenergy.2018.08.109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pPr/>
      <w:r>
        <w:rPr>
          <w:b/>
        </w:rPr>
        <w:t>POSSIBLE 2017:</w:t>
      </w:r>
      <w:r>
        <w:t xml:space="preserve"> Gap assessment in current soil monitoring networks across Europe for measuring soil functions — https://doi.org/10.1088/1748-9326/aa9c5c</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pPr/>
      <w:r>
        <w:rPr>
          <w:b/>
        </w:rPr>
        <w:t>POSSIBLE 2017:</w:t>
      </w:r>
      <w:r>
        <w:t xml:space="preserve"> Current state of the plastic waste recycling system in the European Union and in Germany — https://openalex.org/W2802287539</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pPr/>
      <w:r>
        <w:rPr>
          <w:b/>
        </w:rPr>
        <w:t>POSSIBLE 2015:</w:t>
      </w:r>
      <w:r>
        <w:t xml:space="preserve"> Current Trends in Urolithiasis Treatment in Various European Health Systems — https://doi.org/10.1159/000441041</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928.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r>
        <w:rPr>
          <w:b/>
        </w:rPr>
        <w:t>POSSIBLE 2020:</w:t>
      </w:r>
      <w:r>
        <w:t xml:space="preserve"> Ethical Challenges in European Parliamentary Debates with Regards to Audiovisual Sexual Risks on the Internet — https://doi.org/10.17576/jkmjc-2020-3602-17</w:t>
      </w:r>
    </w:p>
    <w:p>
      <w:pPr/>
      <w:r>
        <w:rPr>
          <w:b/>
        </w:rPr>
        <w:t>Shared claim-specific concepts:</w:t>
      </w:r>
      <w:r>
        <w:t xml:space="preserve"> regards, assumption; EU scope visible. This is a provisional connection, not an outcome finding.</w:t>
      </w:r>
    </w:p>
    <w:p>
      <w:pPr>
        <w:pStyle w:val="SourceNote"/>
      </w:pPr>
      <w:r>
        <w:rPr>
          <w:b/>
        </w:rPr>
        <w:t>Available abstract (not full text):</w:t>
      </w:r>
      <w:r>
        <w:t xml:space="preserve">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pPr/>
      <w:r>
        <w:rPr>
          <w:b/>
        </w:rPr>
        <w:t>POSSIBLE 2020:</w:t>
      </w:r>
      <w:r>
        <w:t xml:space="preserve"> A linguistically-informed way of introducing Japanese verbs to second language learners — https://doi.org/10.1515/jjl-2019-2017</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pPr/>
      <w:r>
        <w:rPr>
          <w:b/>
        </w:rPr>
        <w:t>POSSIBLE 2020:</w:t>
      </w:r>
      <w:r>
        <w:t xml:space="preserve"> Life’s Simple 7 and Incident Hypertension: The REGARDS Study — https://doi.org/10.1161/jaha.120.016482</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pPr/>
      <w:r>
        <w:rPr>
          <w:b/>
        </w:rPr>
        <w:t>POSSIBLE 2019:</w:t>
      </w:r>
      <w:r>
        <w:t xml:space="preserve"> Modelling Associative-Semantic Content as Regards the Logic-of-Semantics Dimension of the Adolescents’ Speech — https://doi.org/10.31470/2309-1797-2019-26-1-324-341</w:t>
      </w:r>
    </w:p>
    <w:p>
      <w:pPr/>
      <w:r>
        <w:rPr>
          <w:b/>
        </w:rPr>
        <w:t>Shared claim-specific concepts:</w:t>
      </w:r>
      <w:r>
        <w:t xml:space="preserve"> regards, modelling, activity, potential, strategies; EU scope not established. This is a provisional connection, not an outcome finding.</w:t>
      </w:r>
    </w:p>
    <w:p>
      <w:pPr>
        <w:pStyle w:val="SourceNote"/>
      </w:pPr>
      <w:r>
        <w:rPr>
          <w:b/>
        </w:rPr>
        <w:t>Available abstract (not full text):</w:t>
      </w:r>
      <w:r>
        <w:t xml:space="preserve">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929.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r>
        <w:rPr>
          <w:b/>
        </w:rPr>
        <w:t>POSSIBLE 2020:</w:t>
      </w:r>
      <w:r>
        <w:t xml:space="preserve"> Knowledge workers’ stated preferences for important characteristics of activity-based workspaces — https://doi.org/10.1080/09613218.2020.1726169</w:t>
      </w:r>
    </w:p>
    <w:p>
      <w:pPr/>
      <w:r>
        <w:rPr>
          <w:b/>
        </w:rPr>
        <w:t>Shared claim-specific concepts:</w:t>
      </w:r>
      <w:r>
        <w:t xml:space="preserve"> important, different, possible; EU scope not established. This is a provisional connection, not an outcome finding.</w:t>
      </w:r>
    </w:p>
    <w:p>
      <w:pPr>
        <w:pStyle w:val="SourceNote"/>
      </w:pPr>
      <w:r>
        <w:rPr>
          <w:b/>
        </w:rPr>
        <w:t>Available abstract (not full text):</w:t>
      </w:r>
      <w:r>
        <w:t xml:space="preserve">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pPr/>
      <w:r>
        <w:rPr>
          <w:b/>
        </w:rPr>
        <w:t>POSSIBLE 2020:</w:t>
      </w:r>
      <w:r>
        <w:t xml:space="preserve"> Possible Roles for Basal Levels of (p)ppGpp: Growth Efficiency Vs. Surviving Stress — https://doi.org/10.3389/fmicb.2020.592718</w:t>
      </w:r>
    </w:p>
    <w:p>
      <w:pPr/>
      <w:r>
        <w:rPr>
          <w:b/>
        </w:rPr>
        <w:t>Shared claim-specific concepts:</w:t>
      </w:r>
      <w:r>
        <w:t xml:space="preserve"> important, different, possible, over; EU scope not established. This is a provisional connection, not an outcome finding.</w:t>
      </w:r>
    </w:p>
    <w:p>
      <w:pPr>
        <w:pStyle w:val="SourceNote"/>
      </w:pPr>
      <w:r>
        <w:rPr>
          <w:b/>
        </w:rPr>
        <w:t>Available abstract (not full text):</w:t>
      </w:r>
      <w:r>
        <w:t xml:space="preserve">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pPr/>
      <w:r>
        <w:rPr>
          <w:b/>
        </w:rPr>
        <w:t>POSSIBLE 2020:</w:t>
      </w:r>
      <w:r>
        <w:t xml:space="preserve"> Performance Comparison of Gesture Recognition System Based on Different Classifiers — https://doi.org/10.1109/tcds.2020.2969297</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pPr/>
      <w:r>
        <w:rPr>
          <w:b/>
        </w:rPr>
        <w:t>POSSIBLE 2019:</w:t>
      </w:r>
      <w:r>
        <w:t xml:space="preserve"> Comparing different supervised machine learning algorithms for disease prediction — https://doi.org/10.1186/s12911-019-1004-8</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930.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r>
        <w:rPr>
          <w:b/>
        </w:rPr>
        <w:t>POSSIBLE 2017:</w:t>
      </w:r>
      <w:r>
        <w:t xml:space="preserve"> Reforming the European Union Emissions Trading System (EU ETS) — https://doi.org/10.14279/depositonce-5946</w:t>
      </w:r>
    </w:p>
    <w:p>
      <w:pPr/>
      <w:r>
        <w:rPr>
          <w:b/>
        </w:rPr>
        <w:t>Shared claim-specific concepts:</w:t>
      </w:r>
      <w:r>
        <w:t xml:space="preserve"> governance, three; EU scope visible. This is a provisional connection, not an outcome finding.</w:t>
      </w:r>
    </w:p>
    <w:p>
      <w:pPr>
        <w:pStyle w:val="SourceNote"/>
      </w:pPr>
      <w:r>
        <w:rPr>
          <w:b/>
        </w:rPr>
        <w:t>Available abstract (not full text):</w:t>
      </w:r>
      <w:r>
        <w:t xml:space="preserve">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pPr/>
      <w:r>
        <w:rPr>
          <w:b/>
        </w:rPr>
        <w:t>POSSIBLE 2016:</w:t>
      </w:r>
      <w:r>
        <w:t xml:space="preserve"> THE REFORM OF NATIONAL SOCIAL-ECONOMIC SYSTEMS AND EUROPEAN REFORM — https://openalex.org/W4381135264</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pPr/>
      <w:r>
        <w:rPr>
          <w:b/>
        </w:rPr>
        <w:t>POSSIBLE 2016:</w:t>
      </w:r>
      <w:r>
        <w:t xml:space="preserve"> From National Enclaves to Supporting Offices: an Analysis of the 1999 Reform of European Commissioners’ Cabinets — https://doi.org/10.30950/jcer.v12i3.724</w:t>
      </w:r>
    </w:p>
    <w:p>
      <w:pPr/>
      <w:r>
        <w:rPr>
          <w:b/>
        </w:rPr>
        <w:t>Shared claim-specific concepts:</w:t>
      </w:r>
      <w:r>
        <w:t xml:space="preserve"> reforms, article, three; EU scope visible. This is a provisional connection, not an outcome finding.</w:t>
      </w:r>
    </w:p>
    <w:p>
      <w:pPr>
        <w:pStyle w:val="SourceNote"/>
      </w:pPr>
      <w:r>
        <w:rPr>
          <w:b/>
        </w:rPr>
        <w:t>Available abstract (not full text):</w:t>
      </w:r>
      <w:r>
        <w:t xml:space="preserve">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pPr/>
      <w:r>
        <w:rPr>
          <w:b/>
        </w:rPr>
        <w:t>POSSIBLE 2014:</w:t>
      </w:r>
      <w:r>
        <w:t xml:space="preserve"> Reforming the European Union’s Common Fisheries Policy: Why was there a successful reform of the Common Fisheries Policy possible in 2013, after years of ineffective policy and unsuccessful attempts at reforms? — https://openalex.org/W1500832518</w:t>
      </w:r>
    </w:p>
    <w:p>
      <w:pPr/>
      <w:r>
        <w:rPr>
          <w:b/>
        </w:rPr>
        <w:t>Shared claim-specific concepts:</w:t>
      </w:r>
      <w:r>
        <w:t xml:space="preserve"> reforms, agreed, possible; EU scope visible. This is a provisional connection, not an outcome finding.</w:t>
      </w:r>
    </w:p>
    <w:p>
      <w:pPr>
        <w:pStyle w:val="SourceNote"/>
      </w:pPr>
      <w:r>
        <w:rPr>
          <w:b/>
        </w:rPr>
        <w:t>Available abstract (not full text):</w:t>
      </w:r>
      <w:r>
        <w:t xml:space="preserve">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931.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r>
        <w:rPr>
          <w:b/>
        </w:rPr>
        <w:t>POSSIBLE 2022:</w:t>
      </w:r>
      <w:r>
        <w:t xml:space="preserve"> 21st Century water withdrawal decoupling: A pathway to a more water-wise world? — https://doi.org/10.1016/j.wre.2022.100197</w:t>
      </w:r>
    </w:p>
    <w:p>
      <w:pPr/>
      <w:r>
        <w:rPr>
          <w:b/>
        </w:rPr>
        <w:t>Shared claim-specific concepts:</w:t>
      </w:r>
      <w:r>
        <w:t xml:space="preserve"> water, withdrawals, increase, increasing, resources; EU scope not established. This is a provisional connection, not an outcome finding.</w:t>
      </w:r>
    </w:p>
    <w:p>
      <w:pPr>
        <w:pStyle w:val="SourceNote"/>
      </w:pPr>
      <w:r>
        <w:rPr>
          <w:b/>
        </w:rPr>
        <w:t>Available abstract (not full text):</w:t>
      </w:r>
      <w:r>
        <w:t xml:space="preserve">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pPr/>
      <w:r>
        <w:rPr>
          <w:b/>
        </w:rPr>
        <w:t>POSSIBLE 2022:</w:t>
      </w:r>
      <w:r>
        <w:t xml:space="preserve"> The delusive accuracy of global irrigation water withdrawal estimates — https://doi.org/10.1038/s41467-022-30731-8</w:t>
      </w:r>
    </w:p>
    <w:p>
      <w:pPr/>
      <w:r>
        <w:rPr>
          <w:b/>
        </w:rPr>
        <w:t>Shared claim-specific concepts:</w:t>
      </w:r>
      <w:r>
        <w:t xml:space="preserve"> water, withdrawals, freshwater; EU scope not established. This is a provisional connection, not an outcome finding.</w:t>
      </w:r>
    </w:p>
    <w:p>
      <w:pPr>
        <w:pStyle w:val="SourceNote"/>
      </w:pPr>
      <w:r>
        <w:rPr>
          <w:b/>
        </w:rPr>
        <w:t>Available abstract (not full text):</w:t>
      </w:r>
      <w:r>
        <w:t xml:space="preserve">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pPr/>
      <w:r>
        <w:rPr>
          <w:b/>
        </w:rPr>
        <w:t>POSSIBLE 2021:</w:t>
      </w:r>
      <w:r>
        <w:t xml:space="preserve"> Irrigated areas drive irrigation water withdrawals — https://doi.org/10.1038/s41467-021-24508-8</w:t>
      </w:r>
    </w:p>
    <w:p>
      <w:pPr/>
      <w:r>
        <w:rPr>
          <w:b/>
        </w:rPr>
        <w:t>Shared claim-specific concepts:</w:t>
      </w:r>
      <w:r>
        <w:t xml:space="preserve"> water, withdrawals, freshwater, resources; EU scope not established. This is a provisional connection, not an outcome finding.</w:t>
      </w:r>
    </w:p>
    <w:p>
      <w:pPr>
        <w:pStyle w:val="SourceNote"/>
      </w:pPr>
      <w:r>
        <w:rPr>
          <w:b/>
        </w:rPr>
        <w:t>Available abstract (not full text):</w:t>
      </w:r>
      <w:r>
        <w:t xml:space="preserve">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pPr/>
      <w:r>
        <w:rPr>
          <w:b/>
        </w:rPr>
        <w:t>POSSIBLE 2021:</w:t>
      </w:r>
      <w:r>
        <w:t xml:space="preserve"> Global water scarcity including surface water quality and expansions of clean water technologies — https://doi.org/10.1088/1748-9326/abbfc3</w:t>
      </w:r>
    </w:p>
    <w:p>
      <w:pPr/>
      <w:r>
        <w:rPr>
          <w:b/>
        </w:rPr>
        <w:t>Shared claim-specific concepts:</w:t>
      </w:r>
      <w:r>
        <w:t xml:space="preserve"> water, withdrawals, increase; EU scope not established. This is a provisional connection, not an outcome finding.</w:t>
      </w:r>
    </w:p>
    <w:p>
      <w:pPr>
        <w:pStyle w:val="SourceNote"/>
      </w:pPr>
      <w:r>
        <w:rPr>
          <w:b/>
        </w:rPr>
        <w:t>Available abstract (not full text):</w:t>
      </w:r>
      <w:r>
        <w:t xml:space="preserve">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932.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2019:</w:t>
      </w:r>
      <w:r>
        <w:t xml:space="preserve"> Facial recognition technology in schools: critical questions and concerns — https://doi.org/10.1080/17439884.2020.1686014</w:t>
      </w:r>
    </w:p>
    <w:p>
      <w:pPr/>
      <w:r>
        <w:rPr>
          <w:b/>
        </w:rPr>
        <w:t>Shared claim-specific concepts:</w:t>
      </w:r>
      <w:r>
        <w:t xml:space="preserve"> critical, question, article, whether; EU scope not established. This is a provisional connection, not an outcome finding.</w:t>
      </w:r>
    </w:p>
    <w:p>
      <w:pPr>
        <w:pStyle w:val="SourceNote"/>
      </w:pPr>
      <w:r>
        <w:rPr>
          <w:b/>
        </w:rPr>
        <w:t>Available abstract (not full text):</w:t>
      </w:r>
      <w:r>
        <w:t xml:space="preserve">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pPr/>
      <w:r>
        <w:rPr>
          <w:b/>
        </w:rPr>
        <w:t>POSSIBLE 2018:</w:t>
      </w:r>
      <w:r>
        <w:t xml:space="preserve"> Some critical questions — https://doi.org/10.4324/9780429431333-4</w:t>
      </w:r>
    </w:p>
    <w:p>
      <w:pPr/>
      <w:r>
        <w:rPr>
          <w:b/>
        </w:rPr>
        <w:t>Shared claim-specific concepts:</w:t>
      </w:r>
      <w:r>
        <w:t xml:space="preserve"> critical, question, considered, whether; EU scope not established. This is a provisional connection, not an outcome finding.</w:t>
      </w:r>
    </w:p>
    <w:p>
      <w:pPr>
        <w:pStyle w:val="SourceNote"/>
      </w:pPr>
      <w:r>
        <w:rPr>
          <w:b/>
        </w:rPr>
        <w:t>Available abstract (not full text):</w:t>
      </w:r>
      <w:r>
        <w:t xml:space="preserve">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pPr/>
      <w:r>
        <w:rPr>
          <w:b/>
        </w:rPr>
        <w:t>POSSIBLE 2017:</w:t>
      </w:r>
      <w:r>
        <w:t xml:space="preserve"> On Critical Service Recovery After Massive Network Failures — https://doi.org/10.1109/tnet.2017.2688330</w:t>
      </w:r>
    </w:p>
    <w:p>
      <w:pPr/>
      <w:r>
        <w:rPr>
          <w:b/>
        </w:rPr>
        <w:t>Shared claim-specific concepts:</w:t>
      </w:r>
      <w:r>
        <w:t xml:space="preserve"> critical, massive, use; EU scope not established. This is a provisional connection, not an outcome finding.</w:t>
      </w:r>
    </w:p>
    <w:p>
      <w:pPr>
        <w:pStyle w:val="SourceNote"/>
      </w:pPr>
      <w:r>
        <w:rPr>
          <w:b/>
        </w:rPr>
        <w:t>Available abstract (not full text):</w:t>
      </w:r>
      <w:r>
        <w:t xml:space="preserve">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pPr/>
      <w:r>
        <w:rPr>
          <w:b/>
        </w:rPr>
        <w:t>POSSIBLE 2017:</w:t>
      </w:r>
      <w:r>
        <w:t xml:space="preserve"> Critical discussions on the Massive Open Online Course (MOOC) in India and China — https://openalex.org/W2780843825</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933.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2019:</w:t>
      </w:r>
      <w:r>
        <w:t xml:space="preserve"> How Does Credit Supply Expansion Affect the Real Economy? The Productive Capacity and Household Demand Channels — https://doi.org/10.1111/jofi.12869</w:t>
      </w:r>
    </w:p>
    <w:p>
      <w:pPr/>
      <w:r>
        <w:rPr>
          <w:b/>
        </w:rPr>
        <w:t>Shared claim-specific concepts:</w:t>
      </w:r>
      <w:r>
        <w:t xml:space="preserve"> expansion, increasing; EU scope not established. This is a provisional connection, not an outcome finding.</w:t>
      </w:r>
    </w:p>
    <w:p>
      <w:pPr>
        <w:pStyle w:val="SourceNote"/>
      </w:pPr>
      <w:r>
        <w:rPr>
          <w:b/>
        </w:rPr>
        <w:t>Available abstract (not full text):</w:t>
      </w:r>
      <w:r>
        <w:t xml:space="preserve">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pPr/>
      <w:r>
        <w:rPr>
          <w:b/>
        </w:rPr>
        <w:t>POSSIBLE 2019:</w:t>
      </w:r>
      <w:r>
        <w:t xml:space="preserve"> Stam Portugal and its expansion through Europe — https://openalex.org/W2971433702</w:t>
      </w:r>
    </w:p>
    <w:p>
      <w:pPr/>
      <w:r>
        <w:rPr>
          <w:b/>
        </w:rPr>
        <w:t>Shared claim-specific concepts:</w:t>
      </w:r>
      <w:r>
        <w:t xml:space="preserve"> expansion, increasing, gap; EU scope visible. This is a provisional connection, not an outcome finding.</w:t>
      </w:r>
    </w:p>
    <w:p>
      <w:pPr>
        <w:pStyle w:val="SourceNote"/>
      </w:pPr>
      <w:r>
        <w:rPr>
          <w:b/>
        </w:rPr>
        <w:t>Available abstract (not full text):</w:t>
      </w:r>
      <w:r>
        <w:t xml:space="preserve">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pPr/>
      <w:r>
        <w:rPr>
          <w:b/>
        </w:rPr>
        <w:t>POSSIBLE 2018:</w:t>
      </w:r>
      <w:r>
        <w:t xml:space="preserve"> Robust demand should continue in 2018 — https://doi.org/10.1021/cen-09602-cover9</w:t>
      </w:r>
    </w:p>
    <w:p>
      <w:pPr/>
      <w:r>
        <w:rPr>
          <w:b/>
        </w:rPr>
        <w:t>Shared claim-specific concepts:</w:t>
      </w:r>
      <w:r>
        <w:t xml:space="preserve"> likely, continued, expansion, production; EU scope visible. This is a provisional connection, not an outcome finding.</w:t>
      </w:r>
    </w:p>
    <w:p>
      <w:pPr>
        <w:pStyle w:val="SourceNote"/>
      </w:pPr>
      <w:r>
        <w:rPr>
          <w:b/>
        </w:rPr>
        <w:t>Available abstract (not full text):</w:t>
      </w:r>
      <w:r>
        <w:t xml:space="preserve">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pPr/>
      <w:r>
        <w:rPr>
          <w:b/>
        </w:rPr>
        <w:t>POSSIBLE 2018:</w:t>
      </w:r>
      <w:r>
        <w:t xml:space="preserve"> A review of demand side flexibility potential in Northern Europe — https://doi.org/10.1016/j.rser.2018.03.104</w:t>
      </w:r>
    </w:p>
    <w:p>
      <w:pPr/>
      <w:r>
        <w:rPr>
          <w:b/>
        </w:rPr>
        <w:t>Shared claim-specific concepts:</w:t>
      </w:r>
      <w:r>
        <w:t xml:space="preserve"> increasing, production, between; EU scope visible. This is a provisional connection, not an outcome finding.</w:t>
      </w:r>
    </w:p>
    <w:p>
      <w:pPr>
        <w:pStyle w:val="SourceNote"/>
      </w:pPr>
      <w:r>
        <w:rPr>
          <w:b/>
        </w:rPr>
        <w:t>Available abstract (not full text):</w:t>
      </w:r>
      <w:r>
        <w:t xml:space="preserve">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pPr/>
      <w:r>
        <w:rPr>
          <w:b/>
        </w:rPr>
        <w:t>POSSIBLE 2018:</w:t>
      </w:r>
      <w:r>
        <w:t xml:space="preserve"> Cereal yield gaps across Europe — https://doi.org/10.1016/j.eja.2018.09.003</w:t>
      </w:r>
    </w:p>
    <w:p>
      <w:pPr/>
      <w:r>
        <w:rPr>
          <w:b/>
        </w:rPr>
        <w:t>Shared claim-specific concepts:</w:t>
      </w:r>
      <w:r>
        <w:t xml:space="preserve"> whether, increasing, production, gap, between, food; EU scope visible. This is a provisional connection, not an outcome finding.</w:t>
      </w:r>
    </w:p>
    <w:p>
      <w:pPr>
        <w:pStyle w:val="SourceNote"/>
      </w:pPr>
      <w:r>
        <w:rPr>
          <w:b/>
        </w:rPr>
        <w:t>Available abstract (not full text):</w:t>
      </w:r>
      <w:r>
        <w:t xml:space="preserve">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pPr/>
      <w:r>
        <w:rPr>
          <w:b/>
        </w:rPr>
        <w:t>POSSIBLE 2016:</w:t>
      </w:r>
      <w:r>
        <w:t xml:space="preserve"> Impacts of +2 °C global warming on winter tourism demand in Europe — https://doi.org/10.1016/j.cliser.2016.07.003</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pPr/>
      <w:r>
        <w:rPr>
          <w:b/>
        </w:rPr>
        <w:t>POSSIBLE 2015:</w:t>
      </w:r>
      <w:r>
        <w:t xml:space="preserve"> Global biomass production potentials exceed expected future demand without the need for cropland expansion — https://doi.org/10.1038/ncomms9946</w:t>
      </w:r>
    </w:p>
    <w:p>
      <w:pPr/>
      <w:r>
        <w:rPr>
          <w:b/>
        </w:rPr>
        <w:t>Shared claim-specific concepts:</w:t>
      </w:r>
      <w:r>
        <w:t xml:space="preserve"> expansion, increasing, production, between; EU scope not established. This is a provisional connection, not an outcome finding.</w:t>
      </w:r>
    </w:p>
    <w:p>
      <w:pPr>
        <w:pStyle w:val="SourceNote"/>
      </w:pPr>
      <w:r>
        <w:rPr>
          <w:b/>
        </w:rPr>
        <w:t>Available abstract (not full text):</w:t>
      </w:r>
      <w:r>
        <w:t xml:space="preserve">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934.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2020:</w:t>
      </w:r>
      <w:r>
        <w:t xml:space="preserve"> Migrants’ and refugees’ health status and healthcare in Europe: a scoping literature review — https://doi.org/10.1186/s12889-020-08749-8</w:t>
      </w:r>
    </w:p>
    <w:p>
      <w:pPr/>
      <w:r>
        <w:rPr>
          <w:b/>
        </w:rPr>
        <w:t>Shared claim-specific concepts:</w:t>
      </w:r>
      <w:r>
        <w:t xml:space="preserve"> literature, difficult, population; EU scope visible. This is a provisional connection, not an outcome finding.</w:t>
      </w:r>
    </w:p>
    <w:p>
      <w:pPr>
        <w:pStyle w:val="SourceNote"/>
      </w:pPr>
      <w:r>
        <w:rPr>
          <w:b/>
        </w:rPr>
        <w:t>Available abstract (not full text):</w:t>
      </w:r>
      <w:r>
        <w:t xml:space="preserve">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pPr/>
      <w:r>
        <w:rPr>
          <w:b/>
        </w:rPr>
        <w:t>POSSIBLE 2018:</w:t>
      </w:r>
      <w:r>
        <w:t xml:space="preserve"> The European media discourse on immigration and its effects: a literature review — https://doi.org/10.1080/23808985.2018.1497452</w:t>
      </w:r>
    </w:p>
    <w:p>
      <w:pPr/>
      <w:r>
        <w:rPr>
          <w:b/>
        </w:rPr>
        <w:t>Shared claim-specific concepts:</w:t>
      </w:r>
      <w:r>
        <w:t xml:space="preserve"> literature, shown, leads, negative; EU scope visible. This is a provisional connection, not an outcome finding.</w:t>
      </w:r>
    </w:p>
    <w:p>
      <w:pPr>
        <w:pStyle w:val="SourceNote"/>
      </w:pPr>
      <w:r>
        <w:rPr>
          <w:b/>
        </w:rPr>
        <w:t>Available abstract (not full text):</w:t>
      </w:r>
      <w:r>
        <w:t xml:space="preserve">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pPr/>
      <w:r>
        <w:rPr>
          <w:b/>
        </w:rPr>
        <w:t>POSSIBLE 2018:</w:t>
      </w:r>
      <w:r>
        <w:t xml:space="preserve"> Oral Health Impact Profile in Celiac Patients: Analysis of Recent Findings in a Literature Review — https://doi.org/10.1155/2018/7848735</w:t>
      </w:r>
    </w:p>
    <w:p>
      <w:pPr/>
      <w:r>
        <w:rPr>
          <w:b/>
        </w:rPr>
        <w:t>Shared claim-specific concepts:</w:t>
      </w:r>
      <w:r>
        <w:t xml:space="preserve"> recent, literature, according; EU scope not established. This is a provisional connection, not an outcome finding.</w:t>
      </w:r>
    </w:p>
    <w:p>
      <w:pPr>
        <w:pStyle w:val="SourceNote"/>
      </w:pPr>
      <w:r>
        <w:rPr>
          <w:b/>
        </w:rPr>
        <w:t>Available abstract (not full text):</w:t>
      </w:r>
      <w:r>
        <w:t xml:space="preserve">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pPr/>
      <w:r>
        <w:rPr>
          <w:b/>
        </w:rPr>
        <w:t>POSSIBLE 2017:</w:t>
      </w:r>
      <w:r>
        <w:t xml:space="preserve"> Hyperemesis Gravidarum: A Review of Recent Literature — https://doi.org/10.1159/000477853</w:t>
      </w:r>
    </w:p>
    <w:p>
      <w:pPr/>
      <w:r>
        <w:rPr>
          <w:b/>
        </w:rPr>
        <w:t>Shared claim-specific concepts:</w:t>
      </w:r>
      <w:r>
        <w:t xml:space="preserve"> recent, literature, difficult; EU scope not established. This is a provisional connection, not an outcome finding.</w:t>
      </w:r>
    </w:p>
    <w:p>
      <w:pPr>
        <w:pStyle w:val="SourceNote"/>
      </w:pPr>
      <w:r>
        <w:rPr>
          <w:b/>
        </w:rPr>
        <w:t>Available abstract (not full text):</w:t>
      </w:r>
      <w:r>
        <w:t xml:space="preserve">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pPr/>
      <w:r>
        <w:rPr>
          <w:b/>
        </w:rPr>
        <w:t>POSSIBLE 2017:</w:t>
      </w:r>
      <w:r>
        <w:t xml:space="preserve"> Personality Traits of Entrepreneurs: A Review of Recent Literature — https://doi.org/10.3386/w24097</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We review the extensive literature since 2000 on the personality traits of entrepreneurs.We first consider baseline personality traits like the Big-5 model, self-efficacy and innovativeness, locus of control, and the need for achievement.We then consider risk attitudes and goals and aspirations of entrepreneurs.Within each area, we separate studies by the type of entrepreneurial behavior considered: entry into entrepreneurship, performance outcomes, and exit from entrepreneurship.This literature shows common results and many points of disagreement, reflective of the heterogeneous nature of entrepreneurship.We label studies by the type of entrepreneurial population studied (e.g., Main Street vs. those backed by venture capital) to identify interesting and irreducible parts of this heterogeneity, while also identifying places where we anticipate future large-scale research and the growing depth of the field are likely to clarify matters.There are many areas, like how firm performance connects to entrepreneurial personality, that are woefully understudied and ripe for major advances if the appropriate crossdisciplinary ingredients are assembled.</w:t>
      </w:r>
    </w:p>
    <w:p>
      <w:pPr/>
      <w:r>
        <w:rPr>
          <w:b/>
        </w:rPr>
        <w:t>POSSIBLE 2017:</w:t>
      </w:r>
      <w:r>
        <w:t xml:space="preserve"> Hazardous waste and health impact: a systematic review of the scientific literature — https://doi.org/10.1186/s12940-017-0311-8</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Waste is part of the agenda of the European Environment and Health Process and included among the topics of the Sixth Ministerial Conference on Environment and Health. Disposal and management of hazardous waste are worldwide challenges. We performed a systematic review to evaluate the evidence of the health impact of hazardous waste exposure, applying transparent and a priori defined methods. The following five steps, based on pre-defined systematic criteria, were applied. 1. Specify the research question, in terms of "Population-Exposure-Comparators-Outcomes" (PECO). POPULATION: people living near hazardous waste sites; Exposure: exposure to hazardous waste; Comparators: all comparators; Outcomes: all diseases/health disorders. 2. Carry out the literature search, in Medline and EMBASE. 3. Select studies for inclusion: original epidemiological studies, published between 1999 and 2015, on populations residentially exposed to hazardous waste. 4. Assess the quality of selected studies, taking into account study design, exposure and outcome assessment, confounding control. 5. Rate the confidence in the body of evidence for each outcome taking into account the reliability of each study, the strength of the association and concordance of results.Fifty-seven papers of epidemiological investigations on the health status of populations living near hazardous waste sites were selected for</w:t>
      </w:r>
    </w:p>
    <w:p>
      <w:pPr>
        <w:pStyle w:val="Heading2"/>
      </w:pPr>
      <w:r>
        <w:t>935.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r>
        <w:rPr>
          <w:b/>
        </w:rPr>
        <w:t>POSSIBLE 2022:</w:t>
      </w:r>
      <w:r>
        <w:t xml:space="preserve"> Depression and anxiety among children and adolescents during the COVID-19 pandemic in Europe: A systematic review protocol — https://doi.org/10.21203/rs.3.rs-1638547/v1</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pPr/>
      <w:r>
        <w:rPr>
          <w:b/>
        </w:rPr>
        <w:t>POSSIBLE 2022:</w:t>
      </w:r>
      <w:r>
        <w:t xml:space="preserve"> Depression and anxiety among children and adolescents during the COVID-19 pandemic in Europe: A systematic review protocol — https://doi.org/10.21203/rs.3.rs-1638547/v2</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pPr/>
      <w:r>
        <w:rPr>
          <w:b/>
        </w:rPr>
        <w:t>POSSIBLE 2022:</w:t>
      </w:r>
      <w:r>
        <w:t xml:space="preserve"> The 2018–2020 Multi‐Year Drought Sets a New Benchmark in Europe — https://doi.org/10.1029/2021ef002394</w:t>
      </w:r>
    </w:p>
    <w:p>
      <w:pPr/>
      <w:r>
        <w:rPr>
          <w:b/>
        </w:rPr>
        <w:t>Shared claim-specific concepts:</w:t>
      </w:r>
      <w:r>
        <w:t xml:space="preserve"> abstract, during, climate, conditions, but;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2021:</w:t>
      </w:r>
      <w:r>
        <w:t xml:space="preserve"> Mapping species richness of plant families in European vegetation — https://doi.org/10.1111/jvs.13035</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pPr/>
      <w:r>
        <w:rPr>
          <w:b/>
        </w:rPr>
        <w:t>POSSIBLE 2021:</w:t>
      </w:r>
      <w:r>
        <w:t xml:space="preserve"> The critical role of tree species and human disturbance in determining the macrofungal diversity in Europe — https://doi.org/10.1111/geb.13372</w:t>
      </w:r>
    </w:p>
    <w:p>
      <w:pPr/>
      <w:r>
        <w:rPr>
          <w:b/>
        </w:rPr>
        <w:t>Shared claim-specific concepts:</w:t>
      </w:r>
      <w:r>
        <w:t xml:space="preserve"> abstract, aim, species, climate, remains; EU scope visible. This is a provisional connection, not an outcome finding.</w:t>
      </w:r>
    </w:p>
    <w:p>
      <w:pPr>
        <w:pStyle w:val="SourceNote"/>
      </w:pPr>
      <w:r>
        <w:rPr>
          <w:b/>
        </w:rPr>
        <w:t>Available abstract (not full text):</w:t>
      </w:r>
      <w:r>
        <w:t xml:space="preserve">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pPr/>
      <w:r>
        <w:rPr>
          <w:b/>
        </w:rPr>
        <w:t>POSSIBLE 2021:</w:t>
      </w:r>
      <w:r>
        <w:t xml:space="preserve"> Introduction, spread, and impacts of invasive alien mammal species in Europe — https://doi.org/10.1111/mam.12277</w:t>
      </w:r>
    </w:p>
    <w:p>
      <w:pPr/>
      <w:r>
        <w:rPr>
          <w:b/>
        </w:rPr>
        <w:t>Shared claim-specific concepts:</w:t>
      </w:r>
      <w:r>
        <w:t xml:space="preserve"> abstract, species, ranges; EU scope visible. This is a provisional connection, not an outcome finding.</w:t>
      </w:r>
    </w:p>
    <w:p>
      <w:pPr>
        <w:pStyle w:val="SourceNote"/>
      </w:pPr>
      <w:r>
        <w:rPr>
          <w:b/>
        </w:rPr>
        <w:t>Available abstract (not full text):</w:t>
      </w:r>
      <w:r>
        <w:t xml:space="preserve">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pPr/>
      <w:r>
        <w:rPr>
          <w:b/>
        </w:rPr>
        <w:t>POSSIBLE 2021:</w:t>
      </w:r>
      <w:r>
        <w:t xml:space="preserve"> Recent pension reforms in Europe: More challenges, new directions. An overview — https://doi.org/10.1111/spol.12712</w:t>
      </w:r>
    </w:p>
    <w:p>
      <w:pPr/>
      <w:r>
        <w:rPr>
          <w:b/>
        </w:rPr>
        <w:t>Shared claim-specific concepts:</w:t>
      </w:r>
      <w:r>
        <w:t xml:space="preserve"> abstract, adapted, during, recent; EU scope visible. This is a provisional connection, not an outcome finding.</w:t>
      </w:r>
    </w:p>
    <w:p>
      <w:pPr>
        <w:pStyle w:val="SourceNote"/>
      </w:pPr>
      <w:r>
        <w:rPr>
          <w:b/>
        </w:rPr>
        <w:t>Available abstract (not full text):</w:t>
      </w:r>
      <w:r>
        <w:t xml:space="preserve">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pPr/>
      <w:r>
        <w:rPr>
          <w:b/>
        </w:rPr>
        <w:t>POSSIBLE 2021:</w:t>
      </w:r>
      <w:r>
        <w:t xml:space="preserve"> Adapting a Circular Economy in Regional Strategies of the European Union — https://doi.org/10.3390/su13031518</w:t>
      </w:r>
    </w:p>
    <w:p>
      <w:pPr/>
      <w:r>
        <w:rPr>
          <w:b/>
        </w:rPr>
        <w:t>Shared claim-specific concepts:</w:t>
      </w:r>
      <w:r>
        <w:t xml:space="preserve"> but, keep; EU scope visible. This is a provisional connection, not an outcome finding.</w:t>
      </w:r>
    </w:p>
    <w:p>
      <w:pPr>
        <w:pStyle w:val="SourceNote"/>
      </w:pPr>
      <w:r>
        <w:rPr>
          <w:b/>
        </w:rPr>
        <w:t>Available abstract (not full text):</w:t>
      </w:r>
      <w:r>
        <w:t xml:space="preserve">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936.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r>
        <w:rPr>
          <w:b/>
        </w:rPr>
        <w:t>POSSIBLE 2023:</w:t>
      </w:r>
      <w:r>
        <w:t xml:space="preserve"> Blockchain and Business Process Management (BPM) Synergy: A Comparative Analysis of Modeling Approaches — https://doi.org/10.3390/info15010009</w:t>
      </w:r>
    </w:p>
    <w:p>
      <w:pPr/>
      <w:r>
        <w:rPr>
          <w:b/>
        </w:rPr>
        <w:t>Shared claim-specific concepts:</w:t>
      </w:r>
      <w:r>
        <w:t xml:space="preserve"> bpm, part, investigating; EU scope not established. This is a provisional connection, not an outcome finding.</w:t>
      </w:r>
    </w:p>
    <w:p>
      <w:pPr>
        <w:pStyle w:val="SourceNote"/>
      </w:pPr>
      <w:r>
        <w:rPr>
          <w:b/>
        </w:rPr>
        <w:t>Available abstract (not full text):</w:t>
      </w:r>
      <w:r>
        <w:t xml:space="preserve">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pPr/>
      <w:r>
        <w:rPr>
          <w:b/>
        </w:rPr>
        <w:t>POSSIBLE 2022:</w:t>
      </w:r>
      <w:r>
        <w:t xml:space="preserve"> Tackling the translational challenges of multi-omics research in the realm of European personalised medicine: A workshop report — https://doi.org/10.3389/fmolb.2022.974799</w:t>
      </w:r>
    </w:p>
    <w:p>
      <w:pPr/>
      <w:r>
        <w:rPr>
          <w:b/>
        </w:rPr>
        <w:t>Shared claim-specific concepts:</w:t>
      </w:r>
      <w:r>
        <w:t xml:space="preserve"> article, reflects, workshop; EU scope visible. This is a provisional connection, not an outcome finding.</w:t>
      </w:r>
    </w:p>
    <w:p>
      <w:pPr>
        <w:pStyle w:val="SourceNote"/>
      </w:pPr>
      <w:r>
        <w:rPr>
          <w:b/>
        </w:rPr>
        <w:t>Available abstract (not full text):</w:t>
      </w:r>
      <w:r>
        <w:t xml:space="preserve">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pPr/>
      <w:r>
        <w:rPr>
          <w:b/>
        </w:rPr>
        <w:t>POSSIBLE 2022:</w:t>
      </w:r>
      <w:r>
        <w:t xml:space="preserve"> The influence of BPM-supportive culture and individual process orientation on process conformance — https://doi.org/10.1108/bpmj-08-2020-0363</w:t>
      </w:r>
    </w:p>
    <w:p>
      <w:pPr/>
      <w:r>
        <w:rPr>
          <w:b/>
        </w:rPr>
        <w:t>Shared claim-specific concepts:</w:t>
      </w:r>
      <w:r>
        <w:t xml:space="preserve"> bpm, conducted, contribute; EU scope not established. This is a provisional connection, not an outcome finding.</w:t>
      </w:r>
    </w:p>
    <w:p>
      <w:pPr>
        <w:pStyle w:val="SourceNote"/>
      </w:pPr>
      <w:r>
        <w:rPr>
          <w:b/>
        </w:rPr>
        <w:t>Available abstract (not full text):</w:t>
      </w:r>
      <w:r>
        <w:t xml:space="preserve">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pPr/>
      <w:r>
        <w:rPr>
          <w:b/>
        </w:rPr>
        <w:t>POSSIBLE 2019:</w:t>
      </w:r>
      <w:r>
        <w:t xml:space="preserve"> Workshop: Developing interventions to improve migrants’ healthcare access in Europe — https://doi.org/10.1093/eurpub/ckz185.089</w:t>
      </w:r>
    </w:p>
    <w:p>
      <w:pPr/>
      <w:r>
        <w:rPr>
          <w:b/>
        </w:rPr>
        <w:t>Shared claim-specific concepts:</w:t>
      </w:r>
      <w:r>
        <w:t xml:space="preserve"> workshop, countries, information; EU scope visible. This is a provisional connection, not an outcome finding.</w:t>
      </w:r>
    </w:p>
    <w:p>
      <w:pPr>
        <w:pStyle w:val="SourceNote"/>
      </w:pPr>
      <w:r>
        <w:rPr>
          <w:b/>
        </w:rPr>
        <w:t>Available abstract (not full text):</w:t>
      </w:r>
      <w:r>
        <w:t xml:space="preserve"> Abstract The proposed workshop “Developing interventions to improve migrants’ healthcare access in Europe” will present interim results from the cross-disciplinary MyHealth project to discuss them and the early lessons with policymakers, academics, funders and practitioners in the area of migration and health. MyHealth (Models to engage migrants and refugees in their health, through community empowerment and learning alliance) is a three-year project coordinated by Fundació Hospital de la Vall d’Hebrón, Institut de Recerca (VHIR), Barcelona, Spain and implemented by a consortium of eleven partners with the CHAFEA support in the framework of the 3rd EU Health Program. The goal of the MyHealth project is to improve the healthcare access of vulnerable migrants and refugees (VMR) newly arrived to Europe, by developing and implementing models based on the knowhow of a European multidisciplinary network. This project strongly relies on a participatory approach to ensure a beneficiary-centred approach in implementing a number of interconnected objectives. To ensure a meaningful involvement of the community we applied the Metaplan technique to identify health concerns and needs perceived by vulnerable immigrants and also by professionals from diverse backgrounds working with them at the four partnering sites (Barcelona, Berlin, Brno and Athens). The Metaplan© is a qualitative technique</w:t>
      </w:r>
    </w:p>
    <w:p>
      <w:pPr/>
      <w:r>
        <w:rPr>
          <w:b/>
        </w:rPr>
        <w:t>POSSIBLE 2019:</w:t>
      </w:r>
      <w:r>
        <w:t xml:space="preserve"> Green BPM as a Business-Oriented Discipline: A Systematic Mapping Study and Research Agenda — https://doi.org/10.3390/su11154200</w:t>
      </w:r>
    </w:p>
    <w:p>
      <w:pPr/>
      <w:r>
        <w:rPr>
          <w:b/>
        </w:rPr>
        <w:t>Shared claim-specific concepts:</w:t>
      </w:r>
      <w:r>
        <w:t xml:space="preserve"> article, bpm, researchers; EU scope not established. This is a provisional connection, not an outcome finding.</w:t>
      </w:r>
    </w:p>
    <w:p>
      <w:pPr>
        <w:pStyle w:val="SourceNote"/>
      </w:pPr>
      <w:r>
        <w:rPr>
          <w:b/>
        </w:rPr>
        <w:t>Available abstract (not full text):</w:t>
      </w:r>
      <w:r>
        <w:t xml:space="preserve"> Green Business Process Management (BPM) focuses on the ecological impact of business processes. This article provides a systematic mapping study of Green BPM literature to evaluate five attributes of the Green BPM research area: (1) scope, (2) disciplines, (3) accountability, (4) researchers and (5) quality control. The results allow developing a research agenda to enhance Green BPM as an approach for environmentally sustainable organizations. We rely on a dichotomy of knowledge production to present research directives relevant for both academics and practitioners in order to help close a rigor-relevance gap. The involvement of both communities is crucial for Green BPM to advance as an applied, business-oriented discipline.</w:t>
      </w:r>
    </w:p>
    <w:p>
      <w:pPr>
        <w:pStyle w:val="Heading2"/>
      </w:pPr>
      <w:r>
        <w:t>937.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2020:</w:t>
      </w:r>
      <w:r>
        <w:t xml:space="preserve"> An annotated checklist of bryophytes of Europe, Macaronesia and Cyprus — https://doi.org/10.1080/03736687.2019.1694329</w:t>
      </w:r>
    </w:p>
    <w:p>
      <w:pPr/>
      <w:r>
        <w:rPr>
          <w:b/>
        </w:rPr>
        <w:t>Shared claim-specific concepts:</w:t>
      </w:r>
      <w:r>
        <w:t xml:space="preserve"> over, next, few, many; EU scope visible. This is a provisional connection, not an outcome finding.</w:t>
      </w:r>
    </w:p>
    <w:p>
      <w:pPr>
        <w:pStyle w:val="SourceNote"/>
      </w:pPr>
      <w:r>
        <w:rPr>
          <w:b/>
        </w:rPr>
        <w:t>Available abstract (not full text):</w:t>
      </w:r>
      <w:r>
        <w:t xml:space="preserve">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pPr/>
      <w:r>
        <w:rPr>
          <w:b/>
        </w:rPr>
        <w:t>POSSIBLE 2020:</w:t>
      </w:r>
      <w:r>
        <w:t xml:space="preserve"> Diverging hydrological drought traits over Europe with global warming — https://doi.org/10.5194/hess-24-5919-2020</w:t>
      </w:r>
    </w:p>
    <w:p>
      <w:pPr/>
      <w:r>
        <w:rPr>
          <w:b/>
        </w:rPr>
        <w:t>Shared claim-specific concepts:</w:t>
      </w:r>
      <w:r>
        <w:t xml:space="preserve"> over, many,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2019:</w:t>
      </w:r>
      <w:r>
        <w:t xml:space="preserve"> Explaining carsharing supply across Western European cities — https://doi.org/10.1080/15568318.2018.1542756</w:t>
      </w:r>
    </w:p>
    <w:p>
      <w:pPr/>
      <w:r>
        <w:rPr>
          <w:b/>
        </w:rPr>
        <w:t>Shared claim-specific concepts:</w:t>
      </w:r>
      <w:r>
        <w:t xml:space="preserve"> many, western, countries, striking; EU scope visible. This is a provisional connection, not an outcome finding.</w:t>
      </w:r>
    </w:p>
    <w:p>
      <w:pPr>
        <w:pStyle w:val="SourceNote"/>
      </w:pPr>
      <w:r>
        <w:rPr>
          <w:b/>
        </w:rPr>
        <w:t>Available abstract (not full text):</w:t>
      </w:r>
      <w:r>
        <w:t xml:space="preserve">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pPr/>
      <w:r>
        <w:rPr>
          <w:b/>
        </w:rPr>
        <w:t>POSSIBLE 2017:</w:t>
      </w:r>
      <w:r>
        <w:t xml:space="preserve"> Prevalence of Age-Related Macular Degeneration in Europe — https://doi.org/10.1016/j.ophtha.2017.05.035</w:t>
      </w:r>
    </w:p>
    <w:p>
      <w:pPr/>
      <w:r>
        <w:rPr>
          <w:b/>
        </w:rPr>
        <w:t>Shared claim-specific concepts:</w:t>
      </w:r>
      <w:r>
        <w:t xml:space="preserve"> over, next, decades, countries; EU scope visible. This is a provisional connection, not an outcome finding.</w:t>
      </w:r>
    </w:p>
    <w:p>
      <w:pPr>
        <w:pStyle w:val="SourceNote"/>
      </w:pPr>
      <w:r>
        <w:rPr>
          <w:b/>
        </w:rPr>
        <w:t>Available abstract (not full text):</w:t>
      </w:r>
      <w:r>
        <w:t xml:space="preserve"> PURPOSE: Age-related macular degeneration (AMD) is a frequent, complex disorder in elderly of European ancestry. Risk profiles and treatment options have changed considerably over the years, which may have affected disease prevalence and outcome. We determined the prevalence of early and late AMD in Europe from 1990 to 2013 using the European Eye Epidemiology (E3) consortium, and made projections for the future. DESIGN: Meta-analysis of prevalence data. PARTICIPANTS: A total of 42 080 individuals 40 years of age and older participating in 14 population-based cohorts from 10 countries in Europe. METHODS: AMD was diagnosed based on fundus photographs using the Rotterdam Classification. Prevalence of early and late AMD was calculated using random-effects meta-analysis stratified for age, birth cohort, gender, geographic region, and time period of the study. Best-corrected visual acuity (BCVA) was compared between late AMD subtypes; geographic atrophy (GA) and choroidal neovascularization (CNV). MAIN OUTCOME MEASURES: Prevalence of early and late AMD, BCVA, and number of AMD cases. RESULTS: Prevalence of early AMD increased from 3.5% (95% confidence interval [CI] 2.1%-5.0%) in those aged 55-59 years to 17.6% (95% CI 13.6%-21.5%) in those aged ≥85 years; for late AMD these figures were 0.1% (95% CI 0.04%-0.3%) and 9.8% (95% CI 6.3%-13.3%), respectively. We observed a decreasing prev</w:t>
      </w:r>
    </w:p>
    <w:p>
      <w:pPr/>
      <w:r>
        <w:rPr>
          <w:b/>
        </w:rPr>
        <w:t>POSSIBLE 2017:</w:t>
      </w:r>
      <w:r>
        <w:t xml:space="preserve"> Children’s health in Europe - challenges for the next decades — https://doi.org/10.1093/heapro/dax023</w:t>
      </w:r>
    </w:p>
    <w:p>
      <w:pPr/>
      <w:r>
        <w:rPr>
          <w:b/>
        </w:rPr>
        <w:t>Shared claim-specific concepts:</w:t>
      </w:r>
      <w:r>
        <w:t xml:space="preserve"> over, next, decades, many; EU scope visible. This is a provisional connection, not an outcome finding.</w:t>
      </w:r>
    </w:p>
    <w:p>
      <w:pPr>
        <w:pStyle w:val="SourceNote"/>
      </w:pPr>
      <w:r>
        <w:rPr>
          <w:b/>
        </w:rPr>
        <w:t>Available abstract (not full text):</w:t>
      </w:r>
      <w:r>
        <w:t xml:space="preserve"> These reflections from a Child Public Health perspective underline the dramatic changes in children's conditions in Europe over this last century, including a considerable improvement in health. However, we still face problems, disturbing facts and alarming signs. There are important gaps in our knowledge about essential areas of children's health panorama and about particularly vulnerable sub-groups of children, which are less healthy, less well cared for and not enjoying the good conditions of life. We also see an evident lack of the child's perspective, implying acknowledgement and action on the views of the children themselves. Moreover, in spite of the generally improving standard, societal inequity in economy, education and health is increasing and the recent economic crises have struck hard on families with children. There are many good signs implying continuing progress for children and their conditions and also an improved respect for their rights. But with the increasing segregation in our societies, the risk is imminent that the health problems will increase, and that some groups get left far behind. Although actions on this field are primarily a political responsibility, people working with children can make a difference. There are also many examples of projects, particularly on local levels, where professionals act to promote children's health, prevent their ill-he</w:t>
      </w:r>
    </w:p>
    <w:p>
      <w:pPr/>
      <w:r>
        <w:rPr>
          <w:b/>
        </w:rPr>
        <w:t>POSSIBLE 2016:</w:t>
      </w:r>
      <w:r>
        <w:t xml:space="preserve"> Understanding the rapid summer warming and changes in temperature extremes since the mid-1990s over Western Europe — https://doi.org/10.1007/s00382-016-3158-8</w:t>
      </w:r>
    </w:p>
    <w:p>
      <w:pPr/>
      <w:r>
        <w:rPr>
          <w:b/>
        </w:rPr>
        <w:t>Shared claim-specific concepts:</w:t>
      </w:r>
      <w:r>
        <w:t xml:space="preserve"> over, next, few, decades, many, western; EU scope visible. This is a provisional connection, not an outcome finding.</w:t>
      </w:r>
    </w:p>
    <w:p>
      <w:pPr>
        <w:pStyle w:val="SourceNote"/>
      </w:pPr>
      <w:r>
        <w:rPr>
          <w:b/>
        </w:rPr>
        <w:t>Available abstract (not full text):</w:t>
      </w:r>
      <w:r>
        <w:t xml:space="preserve"> Analysis of observations indicates that there was a rapid increase in summer (June–August) mean surface air temperature (SAT) since the mid-1990s over Western Europe. Accompanying this rapid warming are significant increases in summer mean daily maximum temperature, daily minimum temperature, annual hottest day temperature and warmest night temperature, and an increase in frequency of summer days and tropical nights, while the change in the diurnal temperature range (DTR) is small. This study focuses on understanding causes of the rapid summer warming and associated temperature extreme changes. A set of experiments using the atmospheric component of the state-of-the-art HadGEM3 global climate model have been carried out to quantify relative roles of changes in sea surface temperature (SST)/sea ice extent (SIE), anthropogenic greenhouse gases (GHGs), and anthropogenic aerosols (AAer). Results indicate that the model forced by changes in all forcings reproduces many of the observed changes since the mid-1990s over Western Europe. Changes in SST/SIE explain 62.2 ± 13.0 % of the area averaged seasonal mean warming signal over Western Europe, with the remaining 37.8 ± 13.6 % of the warming explained by the direct impact of changes in GHGs and AAer. Results further indicate that the direct impact of the reduction of AAer precursor emissions over Europe, mainly through aerosol-radiati</w:t>
      </w:r>
    </w:p>
    <w:p>
      <w:pPr/>
      <w:r>
        <w:rPr>
          <w:b/>
        </w:rPr>
        <w:t>POSSIBLE 2016:</w:t>
      </w:r>
      <w:r>
        <w:t xml:space="preserve"> An overview of the progress and challenges of peatland restoration in Western Europe — https://doi.org/10.1111/rec.12415</w:t>
      </w:r>
    </w:p>
    <w:p>
      <w:pPr/>
      <w:r>
        <w:rPr>
          <w:b/>
        </w:rPr>
        <w:t>Shared claim-specific concepts:</w:t>
      </w:r>
      <w:r>
        <w:t xml:space="preserve"> over, many, western, countries; EU scope visible. This is a provisional connection, not an outcome finding.</w:t>
      </w:r>
    </w:p>
    <w:p>
      <w:pPr>
        <w:pStyle w:val="SourceNote"/>
      </w:pPr>
      <w:r>
        <w:rPr>
          <w:b/>
        </w:rPr>
        <w:t>Available abstract (not full text):</w:t>
      </w:r>
      <w:r>
        <w:t xml:space="preserve"> Abstract Peatlands are the most efficient terrestrial carbon store on Earth, and deliver multiple other ecosystem services including climate regulation, water purification, preservation of ecological and archaeological records, etc. Disturbed and degraded peatlands do not provide the same ecological services and thus bear a significant cost to society. Because this cost may be alleviated by appropriate restoration measures, money is being invested in peatland restoration projects around the world. Here, we review over 25 years of restoration in Western Europe. First, we provide an overview of techniques used in different contexts and evaluate the status of the evidence base for restoration outcomes. Between 1993 and 2015, the EU‐LIFE nature programme alone invested 167.6M € in 80 projects, which aim to restore over 913 km2 of peatland habitats in Western European countries, mostly in protected sites part of the Natura 2000 EU network. This represents less than 2% of the total remaining area of peatlands in these countries, most of which have been impacted to some degree by anthropogenic disturbances. Potential for restoration should be considered in nondesignated sites. We reviewed a number of case studies covering a range of restoration approaches used in different parts of Western Europe. We found that published evidence of restoration progress was limited to specific sites/a</w:t>
      </w:r>
    </w:p>
    <w:p>
      <w:pPr/>
      <w:r>
        <w:rPr>
          <w:b/>
        </w:rPr>
        <w:t>POSSIBLE 2015:</w:t>
      </w:r>
      <w:r>
        <w:t xml:space="preserve"> Pneumococcal serotype evolution in Western Europe — https://doi.org/10.1186/s12879-015-1147-x</w:t>
      </w:r>
    </w:p>
    <w:p>
      <w:pPr/>
      <w:r>
        <w:rPr>
          <w:b/>
        </w:rPr>
        <w:t>Shared claim-specific concepts:</w:t>
      </w:r>
      <w:r>
        <w:t xml:space="preserve"> many, western, countries, introduced; EU scope visible. This is a provisional connection, not an outcome finding.</w:t>
      </w:r>
    </w:p>
    <w:p>
      <w:pPr>
        <w:pStyle w:val="SourceNote"/>
      </w:pPr>
      <w:r>
        <w:rPr>
          <w:b/>
        </w:rPr>
        <w:t>Available abstract (not full text):</w:t>
      </w:r>
      <w:r>
        <w:t xml:space="preserve"> BACKGROUND: Pneumococcal diseases remain a leading cause of vaccine-preventable death worldwide in children &lt;5 years of age. The seven-valent pneumococcal conjugate vaccine (PCV7) was approved in 2001 in Europe and was introduced into the national immunization programmes of many European countries from 2006-2008. In 2009, higher-valent PCVs (PCV10 and PCV13) became available, replacing PCV7 from 2009-2011. This article describes the evolution of vaccine and non-vaccine serotypes causing invasive pneumococcal disease (IPD) following the introduction of PCVs in Western Europe, based on data from publicly-available medical publications and national surveillance systems from January 2010 to May 2015. DISCUSSION: In countries with high vaccine uptake, 5-7 years after PCV7 introduction IPD caused by vaccine serotypes has almost disappeared in children. Non-PCV7 serotypes have emerged, particularly serotypes 19A, 7 F, 3 and 1. A rapid and significant reduction of the additional serotypes included in higher-valent vaccines has been observed consistently following the introduction of these vaccines. A significant and rapid decline of serotypes 19A, 7 F, 1 and 6A in both vaccine-eligible and older age groups has been observed in countries using PCV13 while serotype 19A and 3 has increased in countries using PCV10. Serotype 3 has become one of the most prevalent serotypes in adults, with </w:t>
      </w:r>
    </w:p>
    <w:p>
      <w:pPr>
        <w:pStyle w:val="Heading2"/>
      </w:pPr>
      <w:r>
        <w:t>938.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r>
        <w:rPr>
          <w:b/>
        </w:rPr>
        <w:t>POSSIBLE 2021:</w:t>
      </w:r>
      <w:r>
        <w:t xml:space="preserve"> S26 An assessment of short-acting β2-agonist (SABA) use and subsequent greenhouse gas (GHG) emissions in five European countries and the consequence of their potential overuse for asthma in the UK — https://doi.org/10.1136/thorax-2020-btsabstracts.32</w:t>
      </w:r>
    </w:p>
    <w:p>
      <w:pPr/>
      <w:r>
        <w:rPr>
          <w:b/>
        </w:rPr>
        <w:t>Shared claim-specific concepts:</w:t>
      </w:r>
      <w:r>
        <w:t xml:space="preserve"> consequence, ghg, emissions, compared, reference, period; EU scope visible. This is a provisional connection, not an outcome finding.</w:t>
      </w:r>
    </w:p>
    <w:p>
      <w:pPr>
        <w:pStyle w:val="SourceNote"/>
      </w:pPr>
      <w:r>
        <w:rPr>
          <w:b/>
        </w:rPr>
        <w:t>Available abstract (not full text):</w:t>
      </w:r>
      <w:r>
        <w:t xml:space="preserve">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pPr/>
      <w:r>
        <w:rPr>
          <w:b/>
        </w:rPr>
        <w:t>POSSIBLE 2021:</w:t>
      </w:r>
      <w:r>
        <w:t xml:space="preserve"> Perceptions of GHG emissions and renewable energy sources in Europe, Australia and the USA — https://doi.org/10.1007/s11356-021-15935-7</w:t>
      </w:r>
    </w:p>
    <w:p>
      <w:pPr/>
      <w:r>
        <w:rPr>
          <w:b/>
        </w:rPr>
        <w:t>Shared claim-specific concepts:</w:t>
      </w:r>
      <w:r>
        <w:t xml:space="preserve"> ghg, emissions,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Assessment of the Dependence of GHG Emissions on the Support and Taxes in the EU Countries — https://doi.org/10.3390/su13147650</w:t>
      </w:r>
    </w:p>
    <w:p>
      <w:pPr/>
      <w:r>
        <w:rPr>
          <w:b/>
        </w:rPr>
        <w:t>Shared claim-specific concepts:</w:t>
      </w:r>
      <w:r>
        <w:t xml:space="preserve"> ghg, emissions, compared, applied, energy; EU scope visible. This is a provisional connection, not an outcome finding.</w:t>
      </w:r>
    </w:p>
    <w:p>
      <w:pPr>
        <w:pStyle w:val="SourceNote"/>
      </w:pPr>
      <w:r>
        <w:rPr>
          <w:b/>
        </w:rPr>
        <w:t>Available abstract (not full text):</w:t>
      </w:r>
      <w:r>
        <w:t xml:space="preserve"> The reduction of GHG emissions is one of the priorities of the EU countries. The majority of studies show that financial support and environmental taxes are one of the most effective measures for the mitigation of the negative consequences of climate change. The EU countries employ different environmental support measures and environmental taxes to reduce GHG emissions. There is a shortage of new studies on these measures. The aim of the present study is to compare the effectiveness of the environmental support measures of the EU countries with the effectiveness of environmental taxes in relation to the reduction of GHG emissions. This study is characterized by the broad scope of its data analysis and its systematic approach to the EU’s environmental policy measures. An empirical study was performed for the EU countries with the aim of addressing this research problem and substantiating theoretical insights. A total of 27 EU member states from 2009 to 2018 were selected as research samples. The research is based on a cause-and-effect relationship, where the factors affecting environmental pollution (environmental taxes and subsidies) are the cause, and GHG emissions are the effect. Statistical research methods were used in the empirical study: descriptive statistics, the Shapiro–Wilk test, one-way analysis of variance (ANOVA), simple regression and cluster analysis. The results</w:t>
      </w:r>
    </w:p>
    <w:p>
      <w:pPr/>
      <w:r>
        <w:rPr>
          <w:b/>
        </w:rPr>
        <w:t>POSSIBLE 2021:</w:t>
      </w:r>
      <w:r>
        <w:t xml:space="preserve"> Greenhouse Gas Emissions and Health in the Countries of the European Union — https://doi.org/10.3389/fpubh.2021.756652</w:t>
      </w:r>
    </w:p>
    <w:p>
      <w:pPr/>
      <w:r>
        <w:rPr>
          <w:b/>
        </w:rPr>
        <w:t>Shared claim-specific concepts:</w:t>
      </w:r>
      <w:r>
        <w:t xml:space="preserve"> ghg, emissions, compared, expected; EU scope visible. This is a provisional connection, not an outcome finding.</w:t>
      </w:r>
    </w:p>
    <w:p>
      <w:pPr>
        <w:pStyle w:val="SourceNote"/>
      </w:pPr>
      <w:r>
        <w:rPr>
          <w:b/>
        </w:rPr>
        <w:t>Available abstract (not full text):</w:t>
      </w:r>
      <w:r>
        <w:t xml:space="preserve">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r>
        <w:rPr>
          <w:b/>
        </w:rPr>
        <w:t>POSSIBLE 2021:</w:t>
      </w:r>
      <w:r>
        <w:t xml:space="preserve"> Economic Analysis of Measures for GHG Emission Reduction — https://doi.org/10.3390/su13041712</w:t>
      </w:r>
    </w:p>
    <w:p>
      <w:pPr/>
      <w:r>
        <w:rPr>
          <w:b/>
        </w:rPr>
        <w:t>Shared claim-specific concepts:</w:t>
      </w:r>
      <w:r>
        <w:t xml:space="preserve"> ghg, emissions, period, expected, energy; EU scope visible. This is a provisional connection, not an outcome finding.</w:t>
      </w:r>
    </w:p>
    <w:p>
      <w:pPr>
        <w:pStyle w:val="SourceNote"/>
      </w:pPr>
      <w:r>
        <w:rPr>
          <w:b/>
        </w:rPr>
        <w:t>Available abstract (not full text):</w:t>
      </w:r>
      <w:r>
        <w:t xml:space="preserve"> The European Union, as a signatory to the Paris Agreement, has approached the action against greenhouse gas (GHG) emissions and climate change quite ambitiously, striving to achieve climate neutrality by 2050. Extension of the European Green Deal policy implementation to the Western Balkans can only increase the chances of the climate neutral agenda. Expectations from Montenegro in the coming period are transposable to other Western Balkans countries as they are urged to start implementing the Paris Agreement by establishing appropriate policies and measures. In this regard, this paper presents the analysis of the financial and economic analysis results of measures to reduce GHG emissions in Montenegro. With this respect, least cost analysis—cost effectiveness analysis and cost–benefit analysis were conducted. The analysis results indicated that due to the thermal power plant reconstruction, increased use of renewable energy sources and measures to increase energy efficiency, the largest reduction in GHG emissions in Montenegro in the next 10 years is expected in the energy sector.</w:t>
      </w:r>
    </w:p>
    <w:p>
      <w:pPr/>
      <w:r>
        <w:rPr>
          <w:b/>
        </w:rPr>
        <w:t>POSSIBLE 2021:</w:t>
      </w:r>
      <w:r>
        <w:t xml:space="preserve"> The influence of ore grade decline on energy consumption and GhG emissions: The case of gold — https://doi.org/10.1016/j.envdev.2021.100683</w:t>
      </w:r>
    </w:p>
    <w:p>
      <w:pPr/>
      <w:r>
        <w:rPr>
          <w:b/>
        </w:rPr>
        <w:t>Shared claim-specific concepts:</w:t>
      </w:r>
      <w:r>
        <w:t xml:space="preserve"> ghg, emissions, decline, energy;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GHG Emissions Performance: Alternative Accounting Approaches for the European Union — https://doi.org/10.18267/j.pep.761</w:t>
      </w:r>
    </w:p>
    <w:p>
      <w:pPr/>
      <w:r>
        <w:rPr>
          <w:b/>
        </w:rPr>
        <w:t>Shared claim-specific concepts:</w:t>
      </w:r>
      <w:r>
        <w:t xml:space="preserve"> ghg, emissions, period; EU scope visible. This is a provisional connection, not an outcome finding.</w:t>
      </w:r>
    </w:p>
    <w:p>
      <w:pPr>
        <w:pStyle w:val="SourceNote"/>
      </w:pPr>
      <w:r>
        <w:rPr>
          <w:b/>
        </w:rPr>
        <w:t>Available abstract (not full text):</w:t>
      </w:r>
      <w:r>
        <w:t xml:space="preserve"> This study provides evidence on the probability of adopting an accounting approach for emission allowances and greenhouse gas emissions as a function of each company's GHG emissions performance. The different accounting treatments adopted by national standard-setters and the lack of specific guidance from the International Accounting Standard Board (IASB) allow identification of the use of multiple accounting approaches. Based on a sample of 85 companies registered with the Portuguese, Spanish, and French National Plans of Allocation, data collected from the annual reports were analysed for the period 2008-2014. The results suggest that the probability of adopting omission strategies is positively associated with better GHG emissions performances. It addresses the importance of introducing the transactions of the European Union Emissions Trading Scheme (EU ETS) in financial reporting as the visibility of the costs of polluting is one of the purposes of the market mechanism.</w:t>
      </w:r>
    </w:p>
    <w:p>
      <w:pPr/>
      <w:r>
        <w:rPr>
          <w:b/>
        </w:rPr>
        <w:t>POSSIBLE 2020:</w:t>
      </w:r>
      <w:r>
        <w:t xml:space="preserve"> How photovoltaics can contribute to GHG emission reductions of 55% in the EU by 2030 — https://doi.org/10.1016/j.rser.2020.109836</w:t>
      </w:r>
    </w:p>
    <w:p>
      <w:pPr/>
      <w:r>
        <w:rPr>
          <w:b/>
        </w:rPr>
        <w:t>Shared claim-specific concepts:</w:t>
      </w:r>
      <w:r>
        <w:t xml:space="preserve"> ghg, emissions, long-term, energy; EU scope visible. This is a provisional connection, not an outcome finding.</w:t>
      </w:r>
    </w:p>
    <w:p>
      <w:pPr>
        <w:pStyle w:val="SourceNote"/>
      </w:pPr>
      <w:r>
        <w:rPr>
          <w:b/>
        </w:rPr>
        <w:t>Available abstract (not full text):</w:t>
      </w:r>
      <w:r>
        <w:t xml:space="preserve"> The new European Commission plans to raise the greenhouse gas (GHG) emissions reduction target from 40% towards 55% by 2030 and make Europe the first climate-neutral continent by 2050. Achieving this will require accelerated energy efficiency measures, deeper electrification of sectors currently consuming conventional fuels and the deployment of more renewables, faster. This opinion article looks specifically at the role of photovoltaics (PV), based on scenarios from the Commission's 2018 long-term strategy (LTS) for energy and climate. To reach a 55% GHG emissions reduction, the cumulative PV capacity in the EU and the UK would need to surge to 455–605 GW, depending on the strategic policy scenario. This implies a compound annual growth rate between 12 and 15% in the timeframe 2020–203 to increase the annual PV market from approximately 16.5 GW in 2019 to 50–80 GW by 2030. Such a volume can provide the basis for reviving the European solar manufacturing industry as well as creating more than 100 000 jobs along the value chain.</w:t>
      </w:r>
    </w:p>
    <w:p>
      <w:pPr>
        <w:pStyle w:val="Heading2"/>
      </w:pPr>
      <w:r>
        <w:t>939.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2017:</w:t>
      </w:r>
      <w:r>
        <w:t xml:space="preserve"> Stakeholder Participation in European Standardization: A Mapping and an Assessment of Three Categories of Regulation — https://doi.org/10.54648/leie2017021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pPr/>
      <w:r>
        <w:rPr>
          <w:b/>
        </w:rPr>
        <w:t>POSSIBLE 2016:</w:t>
      </w:r>
      <w:r>
        <w:t xml:space="preserve"> Different antisemitisms: on three distinct forms of antisemitism in contemporary Europe. With special focus on Sweden — https://doi.org/10.30752/nj.67611</w:t>
      </w:r>
    </w:p>
    <w:p>
      <w:pPr/>
      <w:r>
        <w:rPr>
          <w:b/>
        </w:rPr>
        <w:t>Shared claim-specific concepts:</w:t>
      </w:r>
      <w:r>
        <w:t xml:space="preserve"> three, different, kinds, based, country; EU scope visible. This is a provisional connection, not an outcome finding.</w:t>
      </w:r>
    </w:p>
    <w:p>
      <w:pPr>
        <w:pStyle w:val="SourceNote"/>
      </w:pPr>
      <w:r>
        <w:rPr>
          <w:b/>
        </w:rPr>
        <w:t>Available abstract (not full text):</w:t>
      </w:r>
      <w:r>
        <w:t xml:space="preserve">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pPr/>
      <w:r>
        <w:rPr>
          <w:b/>
        </w:rPr>
        <w:t>POSSIBLE 2015:</w:t>
      </w:r>
      <w:r>
        <w:t xml:space="preserve"> Educational Genres in Eastern Europe: A Comparison of the Genres in the Humanities Departments of three Countries of Three Different Universities in Three Different Countries — https://doi.org/10.18552/joaw.v5i1.164</w:t>
      </w:r>
    </w:p>
    <w:p>
      <w:pPr/>
      <w:r>
        <w:rPr>
          <w:b/>
        </w:rPr>
        <w:t>Shared claim-specific concepts:</w:t>
      </w:r>
      <w:r>
        <w:t xml:space="preserve"> three, different, country; EU scope visible. This is a provisional connection, not an outcome finding.</w:t>
      </w:r>
    </w:p>
    <w:p>
      <w:pPr>
        <w:pStyle w:val="SourceNote"/>
      </w:pPr>
      <w:r>
        <w:rPr>
          <w:b/>
        </w:rPr>
        <w:t>Available abstract (not full text):</w:t>
      </w:r>
      <w:r>
        <w:t xml:space="preserve">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pPr/>
      <w:r>
        <w:rPr>
          <w:b/>
        </w:rPr>
        <w:t>POSSIBLE 2015:</w:t>
      </w:r>
      <w:r>
        <w:t xml:space="preserve"> A process-based 222 radon flux map for Europe and its comparison to long-term observations — https://doi.org/10.5194/acp-15-12845-2015</w:t>
      </w:r>
    </w:p>
    <w:p>
      <w:pPr/>
      <w:r>
        <w:rPr>
          <w:b/>
        </w:rPr>
        <w:t>Shared claim-specific concepts:</w:t>
      </w:r>
      <w:r>
        <w:t xml:space="preserve"> different, based, transport; EU scope visible. This is a provisional connection, not an outcome finding.</w:t>
      </w:r>
    </w:p>
    <w:p>
      <w:pPr>
        <w:pStyle w:val="SourceNote"/>
      </w:pPr>
      <w:r>
        <w:rPr>
          <w:b/>
        </w:rPr>
        <w:t>Available abstract (not full text):</w:t>
      </w:r>
      <w:r>
        <w:t xml:space="preserve">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940.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2018:</w:t>
      </w:r>
      <w:r>
        <w:t xml:space="preserve"> Europe since 1970 — https://doi.org/10.5040/9781474207775.093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2017:</w:t>
      </w:r>
      <w:r>
        <w:t xml:space="preserve"> Benchmarking Framework to Encourage Energy Efficiency Investments in South Europe. The Trust EPC South Approach — https://doi.org/10.1016/j.proenv.2017.03.125</w:t>
      </w:r>
    </w:p>
    <w:p>
      <w:pPr/>
      <w:r>
        <w:rPr>
          <w:b/>
        </w:rPr>
        <w:t>Shared claim-specific concepts:</w:t>
      </w:r>
      <w:r>
        <w:t xml:space="preserve"> all, since, order, national, large; EU scope visible. This is a provisional connection, not an outcome finding.</w:t>
      </w:r>
    </w:p>
    <w:p>
      <w:pPr>
        <w:pStyle w:val="SourceNote"/>
      </w:pPr>
      <w:r>
        <w:rPr>
          <w:b/>
        </w:rPr>
        <w:t>Available abstract (not full text):</w:t>
      </w:r>
      <w:r>
        <w:t xml:space="preserve">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pPr/>
      <w:r>
        <w:rPr>
          <w:b/>
        </w:rPr>
        <w:t>POSSIBLE 2015:</w:t>
      </w:r>
      <w:r>
        <w:t xml:space="preserve"> Modelling recent and future climatic suitability for fasciolosis in Europe — https://doi.org/10.4081/gh.2015.352</w:t>
      </w:r>
    </w:p>
    <w:p>
      <w:pPr/>
      <w:r>
        <w:rPr>
          <w:b/>
        </w:rPr>
        <w:t>Shared claim-specific concepts:</w:t>
      </w:r>
      <w:r>
        <w:t xml:space="preserve"> all, since, appears, order, programmes; EU scope visible. This is a provisional connection, not an outcome finding.</w:t>
      </w:r>
    </w:p>
    <w:p>
      <w:pPr>
        <w:pStyle w:val="SourceNote"/>
      </w:pPr>
      <w:r>
        <w:rPr>
          <w:b/>
        </w:rPr>
        <w:t>Available abstract (not full text):</w:t>
      </w:r>
      <w:r>
        <w:t xml:space="preserve">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pPr/>
      <w:r>
        <w:rPr>
          <w:b/>
        </w:rPr>
        <w:t>POSSIBLE 2014:</w:t>
      </w:r>
      <w:r>
        <w:t xml:space="preserve"> Fauna Europaea – all European animal species on the web — https://doi.org/10.3897/bdj.2.e4034</w:t>
      </w:r>
    </w:p>
    <w:p>
      <w:pPr/>
      <w:r>
        <w:rPr>
          <w:b/>
        </w:rPr>
        <w:t>Shared claim-specific concepts:</w:t>
      </w:r>
      <w:r>
        <w:t xml:space="preserve"> all, governments, large; EU scope visible. This is a provisional connection, not an outcome finding.</w:t>
      </w:r>
    </w:p>
    <w:p>
      <w:pPr>
        <w:pStyle w:val="SourceNote"/>
      </w:pPr>
      <w:r>
        <w:rPr>
          <w:b/>
        </w:rPr>
        <w:t>Available abstract (not full text):</w:t>
      </w:r>
      <w:r>
        <w:t xml:space="preserve">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pPr/>
      <w:r>
        <w:rPr>
          <w:b/>
        </w:rPr>
        <w:t>POSSIBLE 2014:</w:t>
      </w:r>
      <w:r>
        <w:t xml:space="preserve"> Benchmarking Beam Envelope Models for the European Spallation Source — https://doi.org/10.18429/jacow-ipac2014-tupro061</w:t>
      </w:r>
    </w:p>
    <w:p>
      <w:pPr/>
      <w:r>
        <w:rPr>
          <w:b/>
        </w:rPr>
        <w:t>Shared claim-specific concepts:</w:t>
      </w:r>
      <w:r>
        <w:t xml:space="preserve"> all, since, benchmark, order; EU scope visible. This is a provisional connection, not an outcome finding.</w:t>
      </w:r>
    </w:p>
    <w:p>
      <w:pPr>
        <w:pStyle w:val="SourceNote"/>
      </w:pPr>
      <w:r>
        <w:rPr>
          <w:b/>
        </w:rPr>
        <w:t>Available abstract (not full text):</w:t>
      </w:r>
      <w:r>
        <w:t xml:space="preserve"> TraceWin is used at the European Spallation Source (ESS) as the design tool, while fast and accurate on-line models will be needed during the operations. Three models are compared: the ESS Linac Simulator (ELS), TraceWin and the OpenXAL. In all of the benchmarked models, dynamics of each beam-line element is, to the first order, represented by a transfer matrix. Differences in the matrices occur, since different reference frames are used and as well different assumptions about the energy of the particles are made. General transformations of the reference frames will be presented. Using those, the comparison of transfer maps among TraceWin and OpenXAL are given. When the differences between TraceWin and OpenXAL were unclear, the benchmark versus other code, like MAD-X and Dynac was done. The best implementations were combined into a new on-line model implementation Java ELS (or JELS) and at last the comparison of the latter with TraceWin is given.</w:t>
      </w:r>
    </w:p>
    <w:p>
      <w:pPr/>
      <w:r>
        <w:rPr>
          <w:b/>
        </w:rPr>
        <w:t>POSSIBLE 2014:</w:t>
      </w:r>
      <w:r>
        <w:t xml:space="preserve"> The Multimodal Brain Tumor Image Segmentation Benchmark (BRATS) — https://doi.org/10.1109/tmi.2014.2377694</w:t>
      </w:r>
    </w:p>
    <w:p>
      <w:pPr/>
      <w:r>
        <w:rPr>
          <w:b/>
        </w:rPr>
        <w:t>Shared claim-specific concepts:</w:t>
      </w:r>
      <w:r>
        <w:t xml:space="preserve"> all, good, benchmark; EU scope not established. This is a provisional connection, not an outcome finding.</w:t>
      </w:r>
    </w:p>
    <w:p>
      <w:pPr>
        <w:pStyle w:val="SourceNote"/>
      </w:pPr>
      <w:r>
        <w:rPr>
          <w:b/>
        </w:rPr>
        <w:t>Available abstract (not full text):</w:t>
      </w:r>
      <w:r>
        <w:t xml:space="preserve"> In this paper we report the set-up and results of the Multimodal Brain Tumor Image Segmentation Benchmark (BRATS) organized in conjunction with the MICCAI 2012 and 2013 conferences. Twenty state-of-the-art tumor segmentation algorithms were applied to a set of 65 multi-contrast MR scans of low- and high-grade glioma patients-manually annotated by up to four raters-and to 65 comparable scans generated using tumor image simulation software. Quantitative evaluations revealed considerable disagreement between the human raters in segmenting various tumor sub-regions (Dice scores in the range 74%-85%), illustrating the difficulty of this task. We found that different algorithms worked best for different sub-regions (reaching performance comparable to human inter-rater variability), but that no single algorithm ranked in the top for all sub-regions simultaneously. Fusing several good algorithms using a hierarchical majority vote yielded segmentations that consistently ranked above all individual algorithms, indicating remaining opportunities for further methodological improvements. The BRATS image data and manual annotations continue to be publicly available through an online evaluation system as an ongoing benchmarking resource.</w:t>
      </w:r>
    </w:p>
    <w:p>
      <w:pPr/>
      <w:r>
        <w:rPr>
          <w:b/>
        </w:rPr>
        <w:t>POSSIBLE 2012:</w:t>
      </w:r>
      <w:r>
        <w:t xml:space="preserve"> Income Inequality in the European Union — https://doi.org/10.1787/5k9bdt47q5zt-en</w:t>
      </w:r>
    </w:p>
    <w:p>
      <w:pPr/>
      <w:r>
        <w:rPr>
          <w:b/>
        </w:rPr>
        <w:t>Shared claim-specific concepts:</w:t>
      </w:r>
      <w:r>
        <w:t xml:space="preserve"> all, since, appears, reduce, national, large; EU scope visible. This is a provisional connection, not an outcome finding.</w:t>
      </w:r>
    </w:p>
    <w:p>
      <w:pPr>
        <w:pStyle w:val="SourceNote"/>
      </w:pPr>
      <w:r>
        <w:rPr>
          <w:b/>
        </w:rPr>
        <w:t>Available abstract (not full text):</w:t>
      </w:r>
      <w:r>
        <w:t xml:space="preserve"> Poor growth performance over the past decades in Europe has increased concerns for rising income dispersion and social exclusion. European authorities have recently launched the Europe 2020 strategy which aims to improve social inclusion in Europe on top of already existing European regional policies aiming to reduce regional disparities through stimulating growth in areas where incomes are relatively low. While it is most common to confine measures of inequality to national borders, the existence of such union-wide objectives and policies motivates measuring income dispersion among all Europeans in this paper. Towards the end of the 2000s the income distribution in Europe was more unequal than in the average OECD country, albeit notably less so than in the United States. It is the within-country, not the between-country dimension, which appears to be most important. Inequality in Europe has risen quite substantially since the mid 1980s. While the EU enlargement process has contributed to this, it is not the only explanation since inequality has also increased within a “core” of 8 European countries. Large income gains among the 10% top earners appear to be a main driver behind this evolution.</w:t>
      </w:r>
    </w:p>
    <w:p>
      <w:pPr/>
      <w:r>
        <w:rPr>
          <w:b/>
        </w:rPr>
        <w:t>POSSIBLE 2012:</w:t>
      </w:r>
      <w:r>
        <w:t xml:space="preserve"> Management, regulation and environmental impacts of nitrogen fertilization in northwestern Europe under the Nitrates Directive; a benchmark study — https://doi.org/10.5194/bg-9-5143-2012</w:t>
      </w:r>
    </w:p>
    <w:p>
      <w:pPr/>
      <w:r>
        <w:rPr>
          <w:b/>
        </w:rPr>
        <w:t>Shared claim-specific concepts:</w:t>
      </w:r>
      <w:r>
        <w:t xml:space="preserve"> since, benchmark, national; EU scope visible. This is a provisional connection, not an outcome finding.</w:t>
      </w:r>
    </w:p>
    <w:p>
      <w:pPr>
        <w:pStyle w:val="SourceNote"/>
      </w:pPr>
      <w:r>
        <w:rPr>
          <w:b/>
        </w:rPr>
        <w:t>Available abstract (not full text):</w:t>
      </w:r>
      <w:r>
        <w:t xml:space="preserve"> Abstract. Implementation of the Nitrates Directive (NiD) and its environmental impacts were compared for member states in the Northwest of the European Union (Ireland, UK, Denmark, The Netherlands, Belgium, Northern France and Germany). The main sources of data were national reports for the third reporting period for the NiD (2004–2007) and results of the MITERRA-EUROPE model. Implementation of the NiD in the considered member states is fairly comparable regarding restrictions for where and when to apply fertilizer and manure, but very different regarding application limits for N fertilization. Issues of concern and improvement of the implementation of the NiD are accounting for the fertilizer value of nitrogen in manure, and relating application limits for total nitrogen (N) to potential crop yield and N removal. The most significant environmental effect of the implementation of the NiD since 1995 is a major contribution to the decrease of the soil N balance (N surplus), particularly in Belgium, Denmark, Ireland, The Netherlands and the UK. This decrease is accompanied by a modest decrease of nitrate concentrations since 2000 in fresh surface waters in most countries. This decrease is less prominent for groundwater in view of delayed response of nitrate in deep aquifers. In spite of improved fertilization practices, the southeast of The Netherlands, the Flemish Region and Brit</w:t>
      </w:r>
    </w:p>
    <w:p>
      <w:pPr>
        <w:pStyle w:val="Heading2"/>
      </w:pPr>
      <w:r>
        <w:t>941.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942.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2020:</w:t>
      </w:r>
      <w:r>
        <w:t xml:space="preserve"> The Humanistic and Economic Burden of Migraine in Europe: A Cross-Sectional Survey in Five Countries — https://doi.org/10.1007/s40120-020-00196-2</w:t>
      </w:r>
    </w:p>
    <w:p>
      <w:pPr/>
      <w:r>
        <w:rPr>
          <w:b/>
        </w:rPr>
        <w:t>Shared claim-specific concepts:</w:t>
      </w:r>
      <w:r>
        <w:t xml:space="preserve"> aim, five, methods; EU scope visible. This is a provisional connection, not an outcome finding.</w:t>
      </w:r>
    </w:p>
    <w:p>
      <w:pPr>
        <w:pStyle w:val="SourceNote"/>
      </w:pPr>
      <w:r>
        <w:rPr>
          <w:b/>
        </w:rPr>
        <w:t>Available abstract (not full text):</w:t>
      </w:r>
      <w:r>
        <w:t xml:space="preserve">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pPr/>
      <w:r>
        <w:rPr>
          <w:b/>
        </w:rPr>
        <w:t>POSSIBLE 2018:</w:t>
      </w:r>
      <w:r>
        <w:t xml:space="preserve"> European In-Situ Snow Measurements: Practices and Purposes — https://doi.org/10.3390/s18072016</w:t>
      </w:r>
    </w:p>
    <w:p>
      <w:pPr/>
      <w:r>
        <w:rPr>
          <w:b/>
        </w:rPr>
        <w:t>Shared claim-specific concepts:</w:t>
      </w:r>
      <w:r>
        <w:t xml:space="preserve"> describe, methods, range; EU scope visible. This is a provisional connection, not an outcome finding.</w:t>
      </w:r>
    </w:p>
    <w:p>
      <w:pPr>
        <w:pStyle w:val="SourceNote"/>
      </w:pPr>
      <w:r>
        <w:rPr>
          <w:b/>
        </w:rPr>
        <w:t>Available abstract (not full text):</w:t>
      </w:r>
      <w:r>
        <w:t xml:space="preserve">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pPr/>
      <w:r>
        <w:rPr>
          <w:b/>
        </w:rPr>
        <w:t>POSSIBLE 2018:</w:t>
      </w:r>
      <w:r>
        <w:t xml:space="preserve"> A longitudinal and comparative analysis of competitive balance in five European football leagues — https://doi.org/10.1108/tpm-09-2017-0055</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pPr/>
      <w:r>
        <w:rPr>
          <w:b/>
        </w:rPr>
        <w:t>POSSIBLE 2017:</w:t>
      </w:r>
      <w:r>
        <w:t xml:space="preserve"> The search for an appropriate end-of-life formula for the purpose of the European Commission Environmental Footprint initiative — https://doi.org/10.1007/s11367-016-1244-0</w:t>
      </w:r>
    </w:p>
    <w:p>
      <w:pPr/>
      <w:r>
        <w:rPr>
          <w:b/>
        </w:rPr>
        <w:t>Shared claim-specific concepts:</w:t>
      </w:r>
      <w:r>
        <w:t xml:space="preserve"> purpose, aim, methods, approach; EU scope visible. This is a provisional connection, not an outcome finding.</w:t>
      </w:r>
    </w:p>
    <w:p>
      <w:pPr>
        <w:pStyle w:val="SourceNote"/>
      </w:pPr>
      <w:r>
        <w:rPr>
          <w:b/>
        </w:rPr>
        <w:t>Available abstract (not full text):</w:t>
      </w:r>
      <w:r>
        <w:t xml:space="preserve">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pPr/>
      <w:r>
        <w:rPr>
          <w:b/>
        </w:rPr>
        <w:t>POSSIBLE 2017:</w:t>
      </w:r>
      <w:r>
        <w:t xml:space="preserve"> Regional differences in insulin therapy regimens in five European countries — https://doi.org/10.5414/cp202906</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pPr/>
      <w:r>
        <w:rPr>
          <w:b/>
        </w:rPr>
        <w:t>POSSIBLE 2016:</w:t>
      </w:r>
      <w:r>
        <w:t xml:space="preserve"> Forestry applications of UAVs in Europe: a review — https://doi.org/10.1080/01431161.2016.1252477</w:t>
      </w:r>
    </w:p>
    <w:p>
      <w:pPr/>
      <w:r>
        <w:rPr>
          <w:b/>
        </w:rPr>
        <w:t>Shared claim-specific concepts:</w:t>
      </w:r>
      <w:r>
        <w:t xml:space="preserve"> aim, use, used; EU scope visible. This is a provisional connection, not an outcome finding.</w:t>
      </w:r>
    </w:p>
    <w:p>
      <w:pPr>
        <w:pStyle w:val="SourceNote"/>
      </w:pPr>
      <w:r>
        <w:rPr>
          <w:b/>
        </w:rPr>
        <w:t>Available abstract (not full text):</w:t>
      </w:r>
      <w:r>
        <w:t xml:space="preserve">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pPr/>
      <w:r>
        <w:rPr>
          <w:b/>
        </w:rPr>
        <w:t>POSSIBLE 2016:</w:t>
      </w:r>
      <w:r>
        <w:t xml:space="preserve"> Moving beyond the “Five Freedoms” by Updating the “Five Provisions” and Introducing Aligned “Animal Welfare Aims” — https://doi.org/10.3390/ani6100059</w:t>
      </w:r>
    </w:p>
    <w:p>
      <w:pPr/>
      <w:r>
        <w:rPr>
          <w:b/>
        </w:rPr>
        <w:t>Shared claim-specific concepts:</w:t>
      </w:r>
      <w:r>
        <w:t xml:space="preserve"> five, application, range, first; EU scope visible. This is a provisional connection, not an outcome finding.</w:t>
      </w:r>
    </w:p>
    <w:p>
      <w:pPr>
        <w:pStyle w:val="SourceNote"/>
      </w:pPr>
      <w:r>
        <w:rPr>
          <w:b/>
        </w:rPr>
        <w:t>Available abstract (not full text):</w:t>
      </w:r>
      <w:r>
        <w:t xml:space="preserve">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943.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r>
        <w:rPr>
          <w:b/>
        </w:rPr>
        <w:t>POSSIBLE 2023:</w:t>
      </w:r>
      <w:r>
        <w:t xml:space="preserve"> Four ways blue foods can help achieve food system ambitions across nations — https://doi.org/10.1038/s41586-023-05737-x</w:t>
      </w:r>
    </w:p>
    <w:p>
      <w:pPr/>
      <w:r>
        <w:rPr>
          <w:b/>
        </w:rPr>
        <w:t>Shared claim-specific concepts:</w:t>
      </w:r>
      <w:r>
        <w:t xml:space="preserve"> findings, four, help, people, south; EU scope not established. This is a provisional connection, not an outcome finding.</w:t>
      </w:r>
    </w:p>
    <w:p>
      <w:pPr>
        <w:pStyle w:val="SourceNote"/>
      </w:pPr>
      <w:r>
        <w:rPr>
          <w:b/>
        </w:rPr>
        <w:t>Available abstract (not full text):</w:t>
      </w:r>
      <w:r>
        <w:t xml:space="preserve">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pPr/>
      <w:r>
        <w:rPr>
          <w:b/>
        </w:rPr>
        <w:t>POSSIBLE 2023:</w:t>
      </w:r>
      <w:r>
        <w:t xml:space="preserve"> Current Antibiotic Use Among Hospitals in the sub-Saharan Africa Region; Findings and Implications — https://doi.org/10.2147/idr.s398223</w:t>
      </w:r>
    </w:p>
    <w:p>
      <w:pPr/>
      <w:r>
        <w:rPr>
          <w:b/>
        </w:rPr>
        <w:t>Shared claim-specific concepts:</w:t>
      </w:r>
      <w:r>
        <w:t xml:space="preserve"> findings, region, longer, south; EU scope not established. This is a provisional connection, not an outcome finding.</w:t>
      </w:r>
    </w:p>
    <w:p>
      <w:pPr>
        <w:pStyle w:val="SourceNote"/>
      </w:pPr>
      <w:r>
        <w:rPr>
          <w:b/>
        </w:rPr>
        <w:t>Available abstract (not full text):</w:t>
      </w:r>
      <w:r>
        <w:t xml:space="preserve">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pPr/>
      <w:r>
        <w:rPr>
          <w:b/>
        </w:rPr>
        <w:t>POSSIBLE 2022:</w:t>
      </w:r>
      <w:r>
        <w:t xml:space="preserve"> Developing a scale to measure problems in finding a good fit — https://doi.org/10.1108/jfmm-11-2021-0302</w:t>
      </w:r>
    </w:p>
    <w:p>
      <w:pPr/>
      <w:r>
        <w:rPr>
          <w:b/>
        </w:rPr>
        <w:t>Shared claim-specific concepts:</w:t>
      </w:r>
      <w:r>
        <w:t xml:space="preserve"> findings, four, purpose; EU scope not established. This is a provisional connection, not an outcome finding.</w:t>
      </w:r>
    </w:p>
    <w:p>
      <w:pPr>
        <w:pStyle w:val="SourceNote"/>
      </w:pPr>
      <w:r>
        <w:rPr>
          <w:b/>
        </w:rPr>
        <w:t>Available abstract (not full text):</w:t>
      </w:r>
      <w:r>
        <w:t xml:space="preserve">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pPr/>
      <w:r>
        <w:rPr>
          <w:b/>
        </w:rPr>
        <w:t>POSSIBLE 2020:</w:t>
      </w:r>
      <w:r>
        <w:t xml:space="preserve"> Region-specific sex differences in the hippocampus — https://doi.org/10.1016/j.neuroimage.2020.116781</w:t>
      </w:r>
    </w:p>
    <w:p>
      <w:pPr/>
      <w:r>
        <w:rPr>
          <w:b/>
        </w:rPr>
        <w:t>Shared claim-specific concepts:</w:t>
      </w:r>
      <w:r>
        <w:t xml:space="preserve"> findings, four, region, help, young; EU scope not established. This is a provisional connection, not an outcome finding.</w:t>
      </w:r>
    </w:p>
    <w:p>
      <w:pPr>
        <w:pStyle w:val="SourceNote"/>
      </w:pPr>
      <w:r>
        <w:rPr>
          <w:b/>
        </w:rPr>
        <w:t>Available abstract (not full text):</w:t>
      </w:r>
      <w:r>
        <w:t xml:space="preserve">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pPr/>
      <w:r>
        <w:rPr>
          <w:b/>
        </w:rPr>
        <w:t>POSSIBLE 2020:</w:t>
      </w:r>
      <w:r>
        <w:t xml:space="preserve"> Variations in newspaper reporting of suicidal behavior in the WHO–South-East Asian region — https://doi.org/10.1093/pubmed/fdaa139</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pPr/>
      <w:r>
        <w:rPr>
          <w:b/>
        </w:rPr>
        <w:t>POSSIBLE 2019:</w:t>
      </w:r>
      <w:r>
        <w:t xml:space="preserve"> Seeking help for sexual difficulties: findings from a study with older adults in four European countries — https://doi.org/10.1007/s10433-019-00536-8</w:t>
      </w:r>
    </w:p>
    <w:p>
      <w:pPr/>
      <w:r>
        <w:rPr>
          <w:b/>
        </w:rPr>
        <w:t>Shared claim-specific concepts:</w:t>
      </w:r>
      <w:r>
        <w:t xml:space="preserve"> findings, four, help, inform; EU scope visible. This is a provisional connection, not an outcome finding.</w:t>
      </w:r>
    </w:p>
    <w:p>
      <w:pPr>
        <w:pStyle w:val="SourceNote"/>
      </w:pPr>
      <w:r>
        <w:rPr>
          <w:b/>
        </w:rPr>
        <w:t>Available abstract (not full text):</w:t>
      </w:r>
      <w:r>
        <w:t xml:space="preserve">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pPr/>
      <w:r>
        <w:rPr>
          <w:b/>
        </w:rPr>
        <w:t>POSSIBLE 2018:</w:t>
      </w:r>
      <w:r>
        <w:t xml:space="preserve"> Applying GRADE-CERQual to qualitative evidence synthesis findings—paper 2: how to make an overall CERQual assessment of confidence and create a Summary of Qualitative Findings table — https://doi.org/10.1186/s13012-017-0689-2</w:t>
      </w:r>
    </w:p>
    <w:p>
      <w:pPr/>
      <w:r>
        <w:rPr>
          <w:b/>
        </w:rPr>
        <w:t>Shared claim-specific concepts:</w:t>
      </w:r>
      <w:r>
        <w:t xml:space="preserve"> findings, four, developed, making; EU scope not established. This is a provisional connection, not an outcome finding.</w:t>
      </w:r>
    </w:p>
    <w:p>
      <w:pPr>
        <w:pStyle w:val="SourceNote"/>
      </w:pPr>
      <w:r>
        <w:rPr>
          <w:b/>
        </w:rPr>
        <w:t>Available abstract (not full text):</w:t>
      </w:r>
      <w:r>
        <w:t xml:space="preserve">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pPr/>
      <w:r>
        <w:rPr>
          <w:b/>
        </w:rPr>
        <w:t>POSSIBLE 2018:</w:t>
      </w:r>
      <w:r>
        <w:t xml:space="preserve"> Real time four channel phase comparison direction finding method — https://doi.org/10.1109/siu.2018.8404590</w:t>
      </w:r>
    </w:p>
    <w:p>
      <w:pPr/>
      <w:r>
        <w:rPr>
          <w:b/>
        </w:rPr>
        <w:t>Shared claim-specific concepts:</w:t>
      </w:r>
      <w:r>
        <w:t xml:space="preserve"> four, developed, possible; EU scope not established. This is a provisional connection, not an outcome finding.</w:t>
      </w:r>
    </w:p>
    <w:p>
      <w:pPr>
        <w:pStyle w:val="SourceNote"/>
      </w:pPr>
      <w:r>
        <w:rPr>
          <w:b/>
        </w:rPr>
        <w:t>Available abstract (not full text):</w:t>
      </w:r>
      <w:r>
        <w:t xml:space="preserve">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944.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r>
        <w:rPr>
          <w:b/>
        </w:rPr>
        <w:t>POSSIBLE 2015:</w:t>
      </w:r>
      <w:r>
        <w:t xml:space="preserve"> Modelling the Potential Biogas Productivity Range from a MSW Landfill for Its Sustainable Exploitation — https://doi.org/10.3390/su7010482</w:t>
      </w:r>
    </w:p>
    <w:p>
      <w:pPr/>
      <w:r>
        <w:rPr>
          <w:b/>
        </w:rPr>
        <w:t>Shared claim-specific concepts:</w:t>
      </w:r>
      <w:r>
        <w:t xml:space="preserve"> then, countries, italy; EU scope visible. This is a provisional connection, not an outcome finding.</w:t>
      </w:r>
    </w:p>
    <w:p>
      <w:pPr>
        <w:pStyle w:val="SourceNote"/>
      </w:pPr>
      <w:r>
        <w:rPr>
          <w:b/>
        </w:rPr>
        <w:t>Available abstract (not full text):</w:t>
      </w:r>
      <w:r>
        <w:t xml:space="preserve">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pPr/>
      <w:r>
        <w:rPr>
          <w:b/>
        </w:rPr>
        <w:t>POSSIBLE 2013:</w:t>
      </w:r>
      <w:r>
        <w:t xml:space="preserve"> Maintenance strategies and local impact of MSW incinerators — https://doi.org/10.2495/esus130201</w:t>
      </w:r>
    </w:p>
    <w:p>
      <w:pPr/>
      <w:r>
        <w:rPr>
          <w:b/>
        </w:rPr>
        <w:t>Shared claim-specific concepts:</w:t>
      </w:r>
      <w:r>
        <w:t xml:space="preserve"> incinerators, italy; EU scope visible. This is a provisional connection, not an outcome finding.</w:t>
      </w:r>
    </w:p>
    <w:p>
      <w:pPr>
        <w:pStyle w:val="SourceNote"/>
      </w:pPr>
      <w:r>
        <w:rPr>
          <w:b/>
        </w:rPr>
        <w:t>Available abstract (not full text):</w:t>
      </w:r>
      <w:r>
        <w:t xml:space="preserve">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pPr/>
      <w:r>
        <w:rPr>
          <w:b/>
        </w:rPr>
        <w:t>POSSIBLE 2013:</w:t>
      </w:r>
      <w:r>
        <w:t xml:space="preserve"> The ultimate sacrifice : a comparative study of self-immolation as a tactic of political protest in India and South Korea. — https://doi.org/10.18297/etd/508</w:t>
      </w:r>
    </w:p>
    <w:p>
      <w:pPr/>
      <w:r>
        <w:rPr>
          <w:b/>
        </w:rPr>
        <w:t>Shared claim-specific concepts:</w:t>
      </w:r>
      <w:r>
        <w:t xml:space="preserve"> moderately, three; EU scope not established. This is a provisional connection, not an outcome finding.</w:t>
      </w:r>
    </w:p>
    <w:p>
      <w:pPr>
        <w:pStyle w:val="SourceNote"/>
      </w:pPr>
      <w:r>
        <w:rPr>
          <w:b/>
        </w:rPr>
        <w:t>Available abstract (not full text):</w:t>
      </w:r>
      <w:r>
        <w:t xml:space="preserve">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pPr/>
      <w:r>
        <w:rPr>
          <w:b/>
        </w:rPr>
        <w:t>POSSIBLE 2012:</w:t>
      </w:r>
      <w:r>
        <w:t xml:space="preserve"> Cancer mortality in towns in the vicinity of incinerators and installations for the recovery or disposal of hazardous waste — https://doi.org/10.1016/j.envint.2012.10.003</w:t>
      </w:r>
    </w:p>
    <w:p>
      <w:pPr/>
      <w:r>
        <w:rPr>
          <w:b/>
        </w:rPr>
        <w:t>Shared claim-specific concepts:</w:t>
      </w:r>
      <w:r>
        <w:t xml:space="preserve"> incinerators, cancer, due, exposure; EU scope not established. This is a provisional connection, not an outcome finding.</w:t>
      </w:r>
    </w:p>
    <w:p>
      <w:pPr>
        <w:pStyle w:val="SourceNote"/>
      </w:pPr>
      <w:r>
        <w:rPr>
          <w:b/>
        </w:rPr>
        <w:t>Available abstract (not full text):</w:t>
      </w:r>
      <w:r>
        <w:t xml:space="preserve">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945.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2020:</w:t>
      </w:r>
      <w:r>
        <w:t xml:space="preserve"> Broadsides as Sources: A Methodological Discussion and Overview of Key Findings — https://doi.org/10.1057/978-1-137-59789-2_2</w:t>
      </w:r>
    </w:p>
    <w:p>
      <w:pPr/>
      <w:r>
        <w:rPr>
          <w:b/>
        </w:rPr>
        <w:t>Shared claim-specific concepts:</w:t>
      </w:r>
      <w:r>
        <w:t xml:space="preserve"> findings, several, people; EU scope not established. This is a provisional connection, not an outcome finding.</w:t>
      </w:r>
    </w:p>
    <w:p>
      <w:pPr>
        <w:pStyle w:val="SourceNote"/>
      </w:pPr>
      <w:r>
        <w:rPr>
          <w:b/>
        </w:rPr>
        <w:t>Available abstract (not full text):</w:t>
      </w:r>
      <w:r>
        <w:t xml:space="preserve">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pPr/>
      <w:r>
        <w:rPr>
          <w:b/>
        </w:rPr>
        <w:t>POSSIBLE 2020:</w:t>
      </w:r>
      <w:r>
        <w:t xml:space="preserve"> Cloud Migration Methodologies Preliminary Findings — https://openalex.org/W3019771303</w:t>
      </w:r>
    </w:p>
    <w:p>
      <w:pPr/>
      <w:r>
        <w:rPr>
          <w:b/>
        </w:rPr>
        <w:t>Shared claim-specific concepts:</w:t>
      </w:r>
      <w:r>
        <w:t xml:space="preserve"> findings, several, methodologies; EU scope not established. This is a provisional connection, not an outcome finding.</w:t>
      </w:r>
    </w:p>
    <w:p>
      <w:pPr>
        <w:pStyle w:val="SourceNote"/>
      </w:pPr>
      <w:r>
        <w:rPr>
          <w:b/>
        </w:rPr>
        <w:t>Available abstract (not full text):</w:t>
      </w:r>
      <w:r>
        <w:t xml:space="preserve">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pPr/>
      <w:r>
        <w:rPr>
          <w:b/>
        </w:rPr>
        <w:t>POSSIBLE 2019:</w:t>
      </w:r>
      <w:r>
        <w:t xml:space="preserve"> Transcriptome-wide association study of attention deficit hyperactivity disorder identifies associated genes and phenotypes — https://doi.org/10.1038/s41467-019-12450-9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pPr/>
      <w:r>
        <w:rPr>
          <w:b/>
        </w:rPr>
        <w:t>POSSIBLE 2017:</w:t>
      </w:r>
      <w:r>
        <w:t xml:space="preserve"> Genome-wide association meta-analysis of 78,308 individuals identifies new loci and genes influencing human intelligence — https://doi.org/10.1038/ng.3869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pPr/>
      <w:r>
        <w:rPr>
          <w:b/>
        </w:rPr>
        <w:t>POSSIBLE 2016:</w:t>
      </w:r>
      <w:r>
        <w:t xml:space="preserve"> Disaster Mental Health Epidemiology: Methodological Review and Interpretation of Research Findings — https://doi.org/10.1080/00332747.2016.1155926</w:t>
      </w:r>
    </w:p>
    <w:p>
      <w:pPr/>
      <w:r>
        <w:rPr>
          <w:b/>
        </w:rPr>
        <w:t>Shared claim-specific concepts:</w:t>
      </w:r>
      <w:r>
        <w:t xml:space="preserve"> findings, several; EU scope not established. This is a provisional connection, not an outcome finding.</w:t>
      </w:r>
    </w:p>
    <w:p>
      <w:pPr>
        <w:pStyle w:val="SourceNote"/>
      </w:pPr>
      <w:r>
        <w:rPr>
          <w:b/>
        </w:rPr>
        <w:t>Available abstract (not full text):</w:t>
      </w:r>
      <w:r>
        <w:t xml:space="preserve">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pPr/>
      <w:r>
        <w:rPr>
          <w:b/>
        </w:rPr>
        <w:t>POSSIBLE 2016:</w:t>
      </w:r>
      <w:r>
        <w:t xml:space="preserve"> Auditory Hallucinations and the Brain’s Resting-State Networks: Findings and Methodological Observations — https://doi.org/10.1093/schbul/sbw078</w:t>
      </w:r>
    </w:p>
    <w:p>
      <w:pPr/>
      <w:r>
        <w:rPr>
          <w:b/>
        </w:rPr>
        <w:t>Shared claim-specific concepts:</w:t>
      </w:r>
      <w:r>
        <w:t xml:space="preserve"> findings, control, well; EU scope not established. This is a provisional connection, not an outcome finding.</w:t>
      </w:r>
    </w:p>
    <w:p>
      <w:pPr>
        <w:pStyle w:val="SourceNote"/>
      </w:pPr>
      <w:r>
        <w:rPr>
          <w:b/>
        </w:rPr>
        <w:t>Available abstract (not full text):</w:t>
      </w:r>
      <w:r>
        <w:t xml:space="preserve">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pPr/>
      <w:r>
        <w:rPr>
          <w:b/>
        </w:rPr>
        <w:t>POSSIBLE 2016:</w:t>
      </w:r>
      <w:r>
        <w:t xml:space="preserve"> Methodological support for the further abstraction of and philosophical examination of empirical findings in the context of caring science — https://doi.org/10.3402/qhw.v11.30482</w:t>
      </w:r>
    </w:p>
    <w:p>
      <w:pPr/>
      <w:r>
        <w:rPr>
          <w:b/>
        </w:rPr>
        <w:t>Shared claim-specific concepts:</w:t>
      </w:r>
      <w:r>
        <w:t xml:space="preserve"> findings, several, present, well; EU scope not established. This is a provisional connection, not an outcome finding.</w:t>
      </w:r>
    </w:p>
    <w:p>
      <w:pPr>
        <w:pStyle w:val="SourceNote"/>
      </w:pPr>
      <w:r>
        <w:rPr>
          <w:b/>
        </w:rPr>
        <w:t>Available abstract (not full text):</w:t>
      </w:r>
      <w:r>
        <w:t xml:space="preserve">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946.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947.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civil, because, they, guide, safety;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2018:</w:t>
      </w:r>
      <w:r>
        <w:t xml:space="preserve"> A changing economic vote in Western Europe? Long-term vs. short-term forces — https://doi.org/10.1017/s1755773918000231</w:t>
      </w:r>
    </w:p>
    <w:p>
      <w:pPr/>
      <w:r>
        <w:rPr>
          <w:b/>
        </w:rPr>
        <w:t>Shared claim-specific concepts:</w:t>
      </w:r>
      <w:r>
        <w:t xml:space="preserve"> long-term, against, because; EU scope visible. This is a provisional connection, not an outcome finding.</w:t>
      </w:r>
    </w:p>
    <w:p>
      <w:pPr>
        <w:pStyle w:val="SourceNote"/>
      </w:pPr>
      <w:r>
        <w:rPr>
          <w:b/>
        </w:rPr>
        <w:t>Available abstract (not full text):</w:t>
      </w:r>
      <w:r>
        <w:t xml:space="preserve">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pPr/>
      <w:r>
        <w:rPr>
          <w:b/>
        </w:rPr>
        <w:t>POSSIBLE 2018:</w:t>
      </w:r>
      <w:r>
        <w:t xml:space="preserve"> Mediterranean Civil Economy and the European System — https://doi.org/10.23756/sp.v6i1.403</w:t>
      </w:r>
    </w:p>
    <w:p>
      <w:pPr/>
      <w:r>
        <w:rPr>
          <w:b/>
        </w:rPr>
        <w:t>Shared claim-specific concepts:</w:t>
      </w:r>
      <w:r>
        <w:t xml:space="preserve"> currently, civil, against; EU scope visible. This is a provisional connection, not an outcome finding.</w:t>
      </w:r>
    </w:p>
    <w:p>
      <w:pPr>
        <w:pStyle w:val="SourceNote"/>
      </w:pPr>
      <w:r>
        <w:rPr>
          <w:b/>
        </w:rPr>
        <w:t>Available abstract (not full text):</w:t>
      </w:r>
      <w:r>
        <w:t xml:space="preserve">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948.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2021:</w:t>
      </w:r>
      <w:r>
        <w:t xml:space="preserve"> The role of land cover in the climate of glacial Europe — https://doi.org/10.5194/cp-17-1161-2021</w:t>
      </w:r>
    </w:p>
    <w:p>
      <w:pPr/>
      <w:r>
        <w:rPr>
          <w:b/>
        </w:rPr>
        <w:t>Shared claim-specific concepts:</w:t>
      </w:r>
      <w:r>
        <w:t xml:space="preserve"> climate, land, cover, vegetation, used, over; EU scope visible. This is a provisional connection, not an outcome finding.</w:t>
      </w:r>
    </w:p>
    <w:p>
      <w:pPr>
        <w:pStyle w:val="SourceNote"/>
      </w:pPr>
      <w:r>
        <w:rPr>
          <w:b/>
        </w:rPr>
        <w:t>Available abstract (not full text):</w:t>
      </w:r>
      <w:r>
        <w:t xml:space="preserve">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2020:</w:t>
      </w:r>
      <w:r>
        <w:t xml:space="preserve"> Influence of climate, soil, and land cover on plant species distribution in the European Alps — https://doi.org/10.1002/ecm.1433</w:t>
      </w:r>
    </w:p>
    <w:p>
      <w:pPr/>
      <w:r>
        <w:rPr>
          <w:b/>
        </w:rPr>
        <w:t>Shared claim-specific concepts:</w:t>
      </w:r>
      <w:r>
        <w:t xml:space="preserve"> climate, land, cover; EU scope visible. This is a provisional connection, not an outcome finding.</w:t>
      </w:r>
    </w:p>
    <w:p>
      <w:pPr>
        <w:pStyle w:val="SourceNote"/>
      </w:pPr>
      <w:r>
        <w:rPr>
          <w:b/>
        </w:rPr>
        <w:t>Available abstract (not full text):</w:t>
      </w:r>
      <w:r>
        <w:t xml:space="preserve">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pPr/>
      <w:r>
        <w:rPr>
          <w:b/>
        </w:rPr>
        <w:t>POSSIBLE 2020:</w:t>
      </w:r>
      <w:r>
        <w:t xml:space="preserve"> Climate change will affect global water availability through compounding changes in seasonal precipitation and evaporation — https://doi.org/10.1038/s41467-020-16757-w</w:t>
      </w:r>
    </w:p>
    <w:p>
      <w:pPr/>
      <w:r>
        <w:rPr>
          <w:b/>
        </w:rPr>
        <w:t>Shared claim-specific concepts:</w:t>
      </w:r>
      <w:r>
        <w:t xml:space="preserve"> climate, land, precipitation, used; EU scope not established. This is a provisional connection, not an outcome finding.</w:t>
      </w:r>
    </w:p>
    <w:p>
      <w:pPr>
        <w:pStyle w:val="SourceNote"/>
      </w:pPr>
      <w:r>
        <w:rPr>
          <w:b/>
        </w:rPr>
        <w:t>Available abstract (not full text):</w:t>
      </w:r>
      <w:r>
        <w:t xml:space="preserve">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pPr/>
      <w:r>
        <w:rPr>
          <w:b/>
        </w:rPr>
        <w:t>POSSIBLE 2020:</w:t>
      </w:r>
      <w:r>
        <w:t xml:space="preserve"> Climate change impact on flood and extreme precipitation increases with water availability — https://doi.org/10.1038/s41598-020-70816-2</w:t>
      </w:r>
    </w:p>
    <w:p>
      <w:pPr/>
      <w:r>
        <w:rPr>
          <w:b/>
        </w:rPr>
        <w:t>Shared claim-specific concepts:</w:t>
      </w:r>
      <w:r>
        <w:t xml:space="preserve"> climate, precipitation, over; EU scope not established. This is a provisional connection, not an outcome finding.</w:t>
      </w:r>
    </w:p>
    <w:p>
      <w:pPr>
        <w:pStyle w:val="SourceNote"/>
      </w:pPr>
      <w:r>
        <w:rPr>
          <w:b/>
        </w:rPr>
        <w:t>Available abstract (not full text):</w:t>
      </w:r>
      <w:r>
        <w:t xml:space="preserve">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pPr/>
      <w:r>
        <w:rPr>
          <w:b/>
        </w:rPr>
        <w:t>POSSIBLE 2019:</w:t>
      </w:r>
      <w:r>
        <w:t xml:space="preserve"> Satellite Remote Sensing of Precipitation and the Terrestrial Water Cycle in a Changing Climate — https://doi.org/10.3390/rs11192301</w:t>
      </w:r>
    </w:p>
    <w:p>
      <w:pPr/>
      <w:r>
        <w:rPr>
          <w:b/>
        </w:rPr>
        <w:t>Shared claim-specific concepts:</w:t>
      </w:r>
      <w:r>
        <w:t xml:space="preserve"> climate, land, precipitation, environmental; EU scope not established. This is a provisional connection, not an outcome finding.</w:t>
      </w:r>
    </w:p>
    <w:p>
      <w:pPr>
        <w:pStyle w:val="SourceNote"/>
      </w:pPr>
      <w:r>
        <w:rPr>
          <w:b/>
        </w:rPr>
        <w:t>Available abstract (not full text):</w:t>
      </w:r>
      <w:r>
        <w:t xml:space="preserve">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949.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r>
        <w:rPr>
          <w:b/>
        </w:rPr>
        <w:t>POSSIBLE 2022:</w:t>
      </w:r>
      <w:r>
        <w:t xml:space="preserve"> Strategic partnerships and China’s diplomacy in Europe: Insights from Italy — https://doi.org/10.1177/13691481221127571</w:t>
      </w:r>
    </w:p>
    <w:p>
      <w:pPr/>
      <w:r>
        <w:rPr>
          <w:b/>
        </w:rPr>
        <w:t>Shared claim-specific concepts:</w:t>
      </w:r>
      <w:r>
        <w:t xml:space="preserve"> insights, strategic, ideational; EU scope visible. This is a provisional connection, not an outcome finding.</w:t>
      </w:r>
    </w:p>
    <w:p>
      <w:pPr>
        <w:pStyle w:val="SourceNote"/>
      </w:pPr>
      <w:r>
        <w:rPr>
          <w:b/>
        </w:rPr>
        <w:t>Available abstract (not full text):</w:t>
      </w:r>
      <w:r>
        <w:t xml:space="preserve">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pPr/>
      <w:r>
        <w:rPr>
          <w:b/>
        </w:rPr>
        <w:t>POSSIBLE 2022:</w:t>
      </w:r>
      <w:r>
        <w:t xml:space="preserve"> Strategic European counterterrorism? An empirical analysis — https://doi.org/10.1080/09662839.2022.2029847</w:t>
      </w:r>
    </w:p>
    <w:p>
      <w:pPr/>
      <w:r>
        <w:rPr>
          <w:b/>
        </w:rPr>
        <w:t>Shared claim-specific concepts:</w:t>
      </w:r>
      <w:r>
        <w:t xml:space="preserve"> insights, strategic, assessment;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2021:</w:t>
      </w:r>
      <w:r>
        <w:t xml:space="preserve"> Demystifying the modernized European data protection regime: Cross‐disciplinary insights from legal and regulatory governance scholarship — https://doi.org/10.1111/rego.12401</w:t>
      </w:r>
    </w:p>
    <w:p>
      <w:pPr/>
      <w:r>
        <w:rPr>
          <w:b/>
        </w:rPr>
        <w:t>Shared claim-specific concepts:</w:t>
      </w:r>
      <w:r>
        <w:t xml:space="preserve"> insights, key, uncertainties; EU scope visible. This is a provisional connection, not an outcome finding.</w:t>
      </w:r>
    </w:p>
    <w:p>
      <w:pPr>
        <w:pStyle w:val="SourceNote"/>
      </w:pPr>
      <w:r>
        <w:rPr>
          <w:b/>
        </w:rPr>
        <w:t>Available abstract (not full text):</w:t>
      </w:r>
      <w:r>
        <w:t xml:space="preserve">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950.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2022:</w:t>
      </w:r>
      <w:r>
        <w:t xml:space="preserve"> Supplying Critical Materials in a Time of Uncertainty — https://doi.org/10.31410/limen.2022.315</w:t>
      </w:r>
    </w:p>
    <w:p>
      <w:pPr/>
      <w:r>
        <w:rPr>
          <w:b/>
        </w:rPr>
        <w:t>Shared claim-specific concepts:</w:t>
      </w:r>
      <w:r>
        <w:t xml:space="preserve"> so-called, critical, climate; EU scope not established. This is a provisional connection, not an outcome finding.</w:t>
      </w:r>
    </w:p>
    <w:p>
      <w:pPr>
        <w:pStyle w:val="SourceNote"/>
      </w:pPr>
      <w:r>
        <w:rPr>
          <w:b/>
        </w:rPr>
        <w:t>Available abstract (not full text):</w:t>
      </w:r>
      <w:r>
        <w:t xml:space="preserve">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pPr/>
      <w:r>
        <w:rPr>
          <w:b/>
        </w:rPr>
        <w:t>POSSIBLE 2022:</w:t>
      </w:r>
      <w:r>
        <w:t xml:space="preserve"> Truth and uncertainty. A critical discussion of the error concept versus the uncertainty concept — https://doi.org/10.5194/amt-15-1145-2022</w:t>
      </w:r>
    </w:p>
    <w:p>
      <w:pPr/>
      <w:r>
        <w:rPr>
          <w:b/>
        </w:rPr>
        <w:t>Shared claim-specific concepts:</w:t>
      </w:r>
      <w:r>
        <w:t xml:space="preserve"> critical, uncertainties, found; EU scope not established. This is a provisional connection, not an outcome finding.</w:t>
      </w:r>
    </w:p>
    <w:p>
      <w:pPr>
        <w:pStyle w:val="SourceNote"/>
      </w:pPr>
      <w:r>
        <w:rPr>
          <w:b/>
        </w:rPr>
        <w:t>Available abstract (not full text):</w:t>
      </w:r>
      <w:r>
        <w:t xml:space="preserve">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p>
      <w:pPr/>
      <w:r>
        <w:rPr>
          <w:b/>
        </w:rPr>
        <w:t>POSSIBLE 2022:</w:t>
      </w:r>
      <w:r>
        <w:t xml:space="preserve"> Last Call for 1.5 Degrees: — https://doi.org/10.21552/cclr/2022/4/4</w:t>
      </w:r>
    </w:p>
    <w:p>
      <w:pPr/>
      <w:r>
        <w:rPr>
          <w:b/>
        </w:rPr>
        <w:t>Shared claim-specific concepts:</w:t>
      </w:r>
      <w:r>
        <w:t xml:space="preserve"> degrees, climate; EU scope not established. This is a provisional connection, not an outcome finding.</w:t>
      </w:r>
    </w:p>
    <w:p>
      <w:pPr>
        <w:pStyle w:val="SourceNote"/>
      </w:pPr>
      <w:r>
        <w:rPr>
          <w:b/>
        </w:rPr>
        <w:t>Available abstract (not full text):</w:t>
      </w:r>
      <w:r>
        <w:t xml:space="preserve"> The twenty-seventh Conference of the Parties (COP27) to the United Nations Framework Convention on Climate Change (UNFCCC) in Sharm el-Sheikh made history by for the first time ever discussing and ultimately even agreeing to establish a fund to address loss and damage caused by climate change. However, the conference did little to limit the occurrence of loss and damage in the first place by containing the extent of climate change. This article discusses the conference's outcomes in the areas of mitigation and adaptation, loss and damage, the Global Stocktake, cooperation under Article 6 of the Paris Agreement, climate finance, and gender-responsiveness. While modest progress can be observed, it is too slow to actually achieve the objectives of the Paris Agreement. This pace is leading many, not least the most vulnerable countries, to search for parallel arenas of cooperation.</w:t>
      </w:r>
    </w:p>
    <w:p>
      <w:pPr/>
      <w:r>
        <w:rPr>
          <w:b/>
        </w:rPr>
        <w:t>POSSIBLE 2021:</w:t>
      </w:r>
      <w:r>
        <w:t xml:space="preserve"> Responsible prediction under critical uncertainty: an epistemic analysis of neuroprognostic innovation practices after cardiac arrest — https://doi.org/10.3990/1.9789036552349</w:t>
      </w:r>
    </w:p>
    <w:p>
      <w:pPr/>
      <w:r>
        <w:rPr>
          <w:b/>
        </w:rPr>
        <w:t>Shared claim-specific concepts:</w:t>
      </w:r>
      <w:r>
        <w:t xml:space="preserve"> critical, uncertainties, preferences; EU scope not established. This is a provisional connection, not an outcome finding.</w:t>
      </w:r>
    </w:p>
    <w:p>
      <w:pPr>
        <w:pStyle w:val="SourceNote"/>
      </w:pPr>
      <w:r>
        <w:rPr>
          <w:b/>
        </w:rPr>
        <w:t>Available abstract (not full text):</w:t>
      </w:r>
      <w:r>
        <w:t xml:space="preserve"> Preferences for prognostication of coma after cardiac arrest: the Dutch societal perspective on physiological and normative futility "Deciding whether and when to use a new tool can be one of the most difficult challenges in clinical practice."Kenneth W. Goodman -Ethics, Medicine, and Information Technology "The only certainty, whether spoken or not, is that the doctors, nurses, and technicians are fighting not only death, but their own uncertainties as well.In most resuscitations, those uncertainties can be narrowed down to two main questions: Are we doing the right things?and, Should we be doing anything at all?" Sherwin B. Nuland -How We Die … to my mother and the one we lost Unfortunately, a degree of uncertainty always remains in prognosis (Smith et al. 2013) and neuroprognostication after cardiac arrest is especially precarious.Predicting how much damage the brain suffered is very difficult and the implications for the patient' s mental and physical recovery are only really apparent after the patient regains consciousness-if they regain consciousness at all.Better prognostic tools are needed but each tool has its own epistemological and ethical shortcomings.With this research, I sought to identify and analyze these shortcomings so that they can adequately be addressed.This would help ensure responsible innovation of the neuroprognostic practice for patients in coma after </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