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40 ideas to revisit</w:t>
      </w:r>
    </w:p>
    <w:p>
      <w:r>
        <w:rPr>
          <w:b/>
        </w:rPr>
        <w:t>20 strongest research trails  /  20 research trails to recheck (maximum 20 each)</w:t>
      </w:r>
    </w:p>
    <w:p>
      <w:r>
        <w:t>Based on World Radar's living atlas (2026-10-22 06:06 UTC). 1,366 older and newer research entries available. This shortlist updates when Radar 2 publishes new data.</w:t>
      </w:r>
    </w:p>
    <w:p>
      <w:r>
        <w:t>IMPORTANT: "Strongest" means comparatively useful, traceable later evidence; it does NOT mean a prediction came true. "Weakest" means the saved follow-up trail is sparse, old, or potentially unrelated; it does NOT mean the original research was wrong or irrelevant. An unreviewed item is not given a fake 1–100 grade.</w:t>
      </w:r>
    </w:p>
    <w:p>
      <w:pPr>
        <w:pStyle w:val="Heading1"/>
      </w:pPr>
      <w:r>
        <w:t>The strongest research trails (20 selected; maximum 20)</w:t>
      </w:r>
    </w:p>
    <w:p>
      <w:r>
        <w:t>These are the strongest automatically screened later-research trails, not verified successes. Withdrawn, retracted and repeated publications are excluded from positive evidence.</w:t>
      </w:r>
    </w:p>
    <w:p>
      <w:pPr>
        <w:pStyle w:val="Heading2"/>
        <w:keepNext/>
      </w:pPr>
      <w:r>
        <w:t>01.  THE EUROPEAN MIGRATION CRISIS – ECONOMIC AND POLITICAL FACTORS AND CHALLENGES FOR THE FUTURE  (2017)</w:t>
      </w:r>
    </w:p>
    <w:p>
      <w:r>
        <w:rPr>
          <w:b/>
        </w:rPr>
        <w:t xml:space="preserve">NOW  </w:t>
      </w:r>
      <w:r>
        <w:t>A 2021 paper reports: After conducting a series of quantitative tests that control for a variety of factors, we find little evidence that the increase in the number of migrants corresponded to an increase in terrorism during the European crisis.</w:t>
      </w:r>
    </w:p>
    <w:p>
      <w:r>
        <w:rPr>
          <w:b/>
        </w:rPr>
        <w:t xml:space="preserve">WHY HERE  </w:t>
      </w:r>
      <w:r>
        <w:t>This later publication addresses the same research issue. It documents continuing scholarship, not necessarily an observed outcome.</w:t>
      </w:r>
    </w:p>
    <w:p>
      <w:pPr>
        <w:spacing w:after="160"/>
      </w:pPr>
      <w:hyperlink r:id="rId11">
        <w:r>
          <w:rPr>
            <w:color w:val="000000"/>
            <w:u w:val="single"/>
          </w:rPr>
          <w:t>Original publication</w:t>
        </w:r>
      </w:hyperlink>
      <w:r>
        <w:t xml:space="preserve">   ·   </w:t>
      </w:r>
      <w:hyperlink r:id="rId12">
        <w:r>
          <w:rPr>
            <w:color w:val="000000"/>
            <w:u w:val="single"/>
          </w:rPr>
          <w:t>Later publication</w:t>
        </w:r>
      </w:hyperlink>
    </w:p>
    <w:p>
      <w:pPr>
        <w:pStyle w:val="Heading2"/>
        <w:keepNext/>
      </w:pPr>
      <w:r>
        <w:t>02.  Potential stocks and increments of woody biomass in the European Union under different management and climate scenarios  (2013)</w:t>
      </w:r>
    </w:p>
    <w:p>
      <w:r>
        <w:rPr>
          <w:b/>
        </w:rPr>
        <w:t xml:space="preserve">NOW  </w:t>
      </w:r>
      <w:r>
        <w:t>A 2022 paper reports: Between 2013 and 2019, although there was a 2.8% mean annual decrease in the area covered by woody crops, the carbon stock in the biomass of these crops increased annually by 3.8% due to the growth of the remaining woody cropland.</w:t>
      </w:r>
    </w:p>
    <w:p>
      <w:r>
        <w:rPr>
          <w:b/>
        </w:rPr>
        <w:t xml:space="preserve">WHY HERE  </w:t>
      </w:r>
      <w:r>
        <w:t>This later publication addresses the same research issue. It documents continuing scholarship, not necessarily an observed outcome.</w:t>
      </w:r>
    </w:p>
    <w:p>
      <w:pPr>
        <w:spacing w:after="160"/>
      </w:pPr>
      <w:hyperlink r:id="rId13">
        <w:r>
          <w:rPr>
            <w:color w:val="000000"/>
            <w:u w:val="single"/>
          </w:rPr>
          <w:t>Original publication</w:t>
        </w:r>
      </w:hyperlink>
      <w:r>
        <w:t xml:space="preserve">   ·   </w:t>
      </w:r>
      <w:hyperlink r:id="rId14">
        <w:r>
          <w:rPr>
            <w:color w:val="000000"/>
            <w:u w:val="single"/>
          </w:rPr>
          <w:t>Later publication</w:t>
        </w:r>
      </w:hyperlink>
    </w:p>
    <w:p>
      <w:pPr>
        <w:pStyle w:val="Heading2"/>
        <w:keepNext/>
      </w:pPr>
      <w:r>
        <w:t>03.  Female Labour Force Projections Using Microsimulation for Six EU Countries  (2017)</w:t>
      </w:r>
    </w:p>
    <w:p>
      <w:r>
        <w:rPr>
          <w:b/>
        </w:rPr>
        <w:t xml:space="preserve">NOW  </w:t>
      </w:r>
      <w:r>
        <w:t>A 2026 paper reports: Using CHILD-EUROLAB, a discrete choice labour supply and childcare model integrated with EUROMOD, a microsimulation tax-benefit model, we simulate how increased availability of formal childcare affects mothers’ employment decisions across regional clusters defined by th</w:t>
      </w:r>
    </w:p>
    <w:p>
      <w:r>
        <w:rPr>
          <w:b/>
        </w:rPr>
        <w:t xml:space="preserve">WHY HERE  </w:t>
      </w:r>
      <w:r>
        <w:t>This later publication addresses the same research issue. It documents continuing scholarship, not necessarily an observed outcome.</w:t>
      </w:r>
    </w:p>
    <w:p>
      <w:pPr>
        <w:spacing w:after="160"/>
      </w:pPr>
      <w:hyperlink r:id="rId15">
        <w:r>
          <w:rPr>
            <w:color w:val="000000"/>
            <w:u w:val="single"/>
          </w:rPr>
          <w:t>Original publication</w:t>
        </w:r>
      </w:hyperlink>
      <w:r>
        <w:t xml:space="preserve">   ·   </w:t>
      </w:r>
      <w:hyperlink r:id="rId16">
        <w:r>
          <w:rPr>
            <w:color w:val="000000"/>
            <w:u w:val="single"/>
          </w:rPr>
          <w:t>Later publication</w:t>
        </w:r>
      </w:hyperlink>
    </w:p>
    <w:p>
      <w:pPr>
        <w:pStyle w:val="Heading2"/>
        <w:keepNext/>
      </w:pPr>
      <w:r>
        <w:t>04.  Electric vehicle charging strategy to support renewable energy sources in Europe 2050 low-carbon scenario  (2019)</w:t>
      </w:r>
    </w:p>
    <w:p>
      <w:r>
        <w:rPr>
          <w:b/>
        </w:rPr>
        <w:t xml:space="preserve">NOW  </w:t>
      </w:r>
      <w:r>
        <w:t>Newer research (2024) discusses: The methodology is implemented as a calculation module in the open-source online geographic tool for energy transition planning, Citiwatts.</w:t>
      </w:r>
    </w:p>
    <w:p>
      <w:r>
        <w:rPr>
          <w:b/>
        </w:rPr>
        <w:t xml:space="preserve">WHY HERE  </w:t>
      </w:r>
      <w:r>
        <w:t>This later publication addresses the same research issue. It documents continuing scholarship, not necessarily an observed outcome.</w:t>
      </w:r>
    </w:p>
    <w:p>
      <w:pPr>
        <w:spacing w:after="160"/>
      </w:pPr>
      <w:hyperlink r:id="rId17">
        <w:r>
          <w:rPr>
            <w:color w:val="000000"/>
            <w:u w:val="single"/>
          </w:rPr>
          <w:t>Original publication</w:t>
        </w:r>
      </w:hyperlink>
      <w:r>
        <w:t xml:space="preserve">   ·   </w:t>
      </w:r>
      <w:hyperlink r:id="rId18">
        <w:r>
          <w:rPr>
            <w:color w:val="000000"/>
            <w:u w:val="single"/>
          </w:rPr>
          <w:t>Later publication</w:t>
        </w:r>
      </w:hyperlink>
    </w:p>
    <w:p>
      <w:pPr>
        <w:pStyle w:val="Heading2"/>
        <w:keepNext/>
      </w:pPr>
      <w:r>
        <w:t>05.  Winter blues at European airports: The need for airport responsibility and corporate foresight  (2011)</w:t>
      </w:r>
    </w:p>
    <w:p>
      <w:r>
        <w:rPr>
          <w:b/>
        </w:rPr>
        <w:t xml:space="preserve">NOW  </w:t>
      </w:r>
      <w:r>
        <w:t xml:space="preserve">Newer research (2022) discusses: Purpose: The main aim of this paper is to identify and compare areas of social responsibility at the largest Polish airports, based on the ISO 26000 standard.Approach/Methodology/Design: The article uses the prevailing literature </w:t>
      </w:r>
    </w:p>
    <w:p>
      <w:r>
        <w:rPr>
          <w:b/>
        </w:rPr>
        <w:t xml:space="preserve">WHY HERE  </w:t>
      </w:r>
      <w:r>
        <w:t>This later publication addresses the same research issue. It documents continuing scholarship, not necessarily an observed outcome.</w:t>
      </w:r>
    </w:p>
    <w:p>
      <w:pPr>
        <w:spacing w:after="160"/>
      </w:pPr>
      <w:hyperlink r:id="rId19">
        <w:r>
          <w:rPr>
            <w:color w:val="000000"/>
            <w:u w:val="single"/>
          </w:rPr>
          <w:t>Original publication</w:t>
        </w:r>
      </w:hyperlink>
      <w:r>
        <w:t xml:space="preserve">   ·   </w:t>
      </w:r>
      <w:hyperlink r:id="rId20">
        <w:r>
          <w:rPr>
            <w:color w:val="000000"/>
            <w:u w:val="single"/>
          </w:rPr>
          <w:t>Later publication</w:t>
        </w:r>
      </w:hyperlink>
    </w:p>
    <w:p>
      <w:pPr>
        <w:pStyle w:val="Heading2"/>
        <w:keepNext/>
      </w:pPr>
      <w:r>
        <w:t>06.  Testing scenarios for assisted migration of forest trees in Europe  (2015)</w:t>
      </w:r>
    </w:p>
    <w:p>
      <w:r>
        <w:rPr>
          <w:b/>
        </w:rPr>
        <w:t xml:space="preserve">NOW  </w:t>
      </w:r>
      <w:r>
        <w:t>Newer research (2024) discusses: Over a period of 30 to 50 years, the vitality, growth and survival of 18 tree species from 117 seed sources will be monitored to develop tree species recommendations for forest managers.</w:t>
      </w:r>
    </w:p>
    <w:p>
      <w:r>
        <w:rPr>
          <w:b/>
        </w:rPr>
        <w:t xml:space="preserve">WHY HERE  </w:t>
      </w:r>
      <w:r>
        <w:t>This later publication addresses the same research issue. It documents continuing scholarship, not necessarily an observed outcome.</w:t>
      </w:r>
    </w:p>
    <w:p>
      <w:pPr>
        <w:spacing w:after="160"/>
      </w:pPr>
      <w:hyperlink r:id="rId21">
        <w:r>
          <w:rPr>
            <w:color w:val="000000"/>
            <w:u w:val="single"/>
          </w:rPr>
          <w:t>Original publication</w:t>
        </w:r>
      </w:hyperlink>
      <w:r>
        <w:t xml:space="preserve">   ·   </w:t>
      </w:r>
      <w:hyperlink r:id="rId22">
        <w:r>
          <w:rPr>
            <w:color w:val="000000"/>
            <w:u w:val="single"/>
          </w:rPr>
          <w:t>Later publication</w:t>
        </w:r>
      </w:hyperlink>
    </w:p>
    <w:p>
      <w:pPr>
        <w:pStyle w:val="Heading2"/>
        <w:keepNext/>
      </w:pPr>
      <w:r>
        <w:t>07.  Future Projections of Heat Mortality Risk for Major European Cities  (2021)</w:t>
      </w:r>
    </w:p>
    <w:p>
      <w:r>
        <w:rPr>
          <w:b/>
        </w:rPr>
        <w:t xml:space="preserve">NOW  </w:t>
      </w:r>
      <w:r>
        <w:t>A 2025 paper reports: This mortality is comparable to peak COVID-19 mortality in Europe and is not substantially reduced by climate adaptation currently observed across Europe.</w:t>
      </w:r>
    </w:p>
    <w:p>
      <w:r>
        <w:rPr>
          <w:b/>
        </w:rPr>
        <w:t xml:space="preserve">WHY HERE  </w:t>
      </w:r>
      <w:r>
        <w:t>This later publication addresses the same research issue. It documents continuing scholarship, not necessarily an observed outcome.</w:t>
      </w:r>
    </w:p>
    <w:p>
      <w:pPr>
        <w:spacing w:after="160"/>
      </w:pPr>
      <w:hyperlink r:id="rId23">
        <w:r>
          <w:rPr>
            <w:color w:val="000000"/>
            <w:u w:val="single"/>
          </w:rPr>
          <w:t>Original publication</w:t>
        </w:r>
      </w:hyperlink>
      <w:r>
        <w:t xml:space="preserve">   ·   </w:t>
      </w:r>
      <w:hyperlink r:id="rId24">
        <w:r>
          <w:rPr>
            <w:color w:val="000000"/>
            <w:u w:val="single"/>
          </w:rPr>
          <w:t>Later publication</w:t>
        </w:r>
      </w:hyperlink>
    </w:p>
    <w:p>
      <w:pPr>
        <w:pStyle w:val="Heading2"/>
        <w:keepNext/>
      </w:pPr>
      <w:r>
        <w:t>08.  Contagion and Dynamic Correlation of the Main European Stock Index Futures Markets: A Time-frequency Approach  (2015)</w:t>
      </w:r>
    </w:p>
    <w:p>
      <w:r>
        <w:rPr>
          <w:b/>
        </w:rPr>
        <w:t xml:space="preserve">NOW  </w:t>
      </w:r>
      <w:r>
        <w:t>A 2017 paper reports: The most recent US subprime crisis, however, reveals the evidence of fundamental based contagion. (ii) We find increasing short-run and long-run stock market integration, driven by several stages of the establishment of Economic and Monetary Union (EMU), questioning the</w:t>
      </w:r>
    </w:p>
    <w:p>
      <w:r>
        <w:rPr>
          <w:b/>
        </w:rPr>
        <w:t xml:space="preserve">WHY HERE  </w:t>
      </w:r>
      <w:r>
        <w:t>This later publication addresses the same research issue. It documents continuing scholarship, not necessarily an observed outcome.</w:t>
      </w:r>
    </w:p>
    <w:p>
      <w:pPr>
        <w:spacing w:after="160"/>
      </w:pPr>
      <w:hyperlink r:id="rId25">
        <w:r>
          <w:rPr>
            <w:color w:val="000000"/>
            <w:u w:val="single"/>
          </w:rPr>
          <w:t>Original publication</w:t>
        </w:r>
      </w:hyperlink>
      <w:r>
        <w:t xml:space="preserve">   ·   </w:t>
      </w:r>
      <w:hyperlink r:id="rId26">
        <w:r>
          <w:rPr>
            <w:color w:val="000000"/>
            <w:u w:val="single"/>
          </w:rPr>
          <w:t>Later publication</w:t>
        </w:r>
      </w:hyperlink>
    </w:p>
    <w:p>
      <w:pPr>
        <w:pStyle w:val="Heading2"/>
        <w:keepNext/>
      </w:pPr>
      <w:r>
        <w:t>09.  Renewable Energy in Final Energy Consumption and Income in the EU-28 Countries  (2020)</w:t>
      </w:r>
    </w:p>
    <w:p>
      <w:r>
        <w:rPr>
          <w:b/>
        </w:rPr>
        <w:t xml:space="preserve">NOW  </w:t>
      </w:r>
      <w:r>
        <w:t>Newer research (2025) discusses: The EU formally adopted an update of the Renewable Energy Directive (EU) 2018/2001 in October 2023 that, among other measures, increases the binding 2030 target from 32% to 42.5%, with the aim of achieving 45%.</w:t>
      </w:r>
    </w:p>
    <w:p>
      <w:r>
        <w:rPr>
          <w:b/>
        </w:rPr>
        <w:t xml:space="preserve">WHY HERE  </w:t>
      </w:r>
      <w:r>
        <w:t>This later publication addresses the same research issue. It documents continuing scholarship, not necessarily an observed outcome.</w:t>
      </w:r>
    </w:p>
    <w:p>
      <w:pPr>
        <w:spacing w:after="160"/>
      </w:pPr>
      <w:hyperlink r:id="rId27">
        <w:r>
          <w:rPr>
            <w:color w:val="000000"/>
            <w:u w:val="single"/>
          </w:rPr>
          <w:t>Original publication</w:t>
        </w:r>
      </w:hyperlink>
      <w:r>
        <w:t xml:space="preserve">   ·   </w:t>
      </w:r>
      <w:hyperlink r:id="rId28">
        <w:r>
          <w:rPr>
            <w:color w:val="000000"/>
            <w:u w:val="single"/>
          </w:rPr>
          <w:t>Later publication</w:t>
        </w:r>
      </w:hyperlink>
    </w:p>
    <w:p>
      <w:pPr>
        <w:pStyle w:val="Heading2"/>
        <w:keepNext/>
      </w:pPr>
      <w:r>
        <w:t>10.  DEVELOPMENT AND IMPLEMENTATION OF RENEWABLE ENERGY SOURCES IN THE WORLD AND EUROPEAN UNION  (2015)</w:t>
      </w:r>
    </w:p>
    <w:p>
      <w:r>
        <w:rPr>
          <w:b/>
        </w:rPr>
        <w:t xml:space="preserve">NOW  </w:t>
      </w:r>
      <w:r>
        <w:t>A 2025 paper reports: The results show that the use of renewable energy sources (RESs) in the European Union has increased in the analyzed period.</w:t>
      </w:r>
    </w:p>
    <w:p>
      <w:r>
        <w:rPr>
          <w:b/>
        </w:rPr>
        <w:t xml:space="preserve">WHY HERE  </w:t>
      </w:r>
      <w:r>
        <w:t>This later publication addresses the same research issue. It documents continuing scholarship, not necessarily an observed outcome.</w:t>
      </w:r>
    </w:p>
    <w:p>
      <w:pPr>
        <w:spacing w:after="160"/>
      </w:pPr>
      <w:hyperlink r:id="rId29">
        <w:r>
          <w:rPr>
            <w:color w:val="000000"/>
            <w:u w:val="single"/>
          </w:rPr>
          <w:t>Original publication</w:t>
        </w:r>
      </w:hyperlink>
      <w:r>
        <w:t xml:space="preserve">   ·   </w:t>
      </w:r>
      <w:hyperlink r:id="rId30">
        <w:r>
          <w:rPr>
            <w:color w:val="000000"/>
            <w:u w:val="single"/>
          </w:rPr>
          <w:t>Later publication</w:t>
        </w:r>
      </w:hyperlink>
    </w:p>
    <w:p>
      <w:pPr>
        <w:pStyle w:val="Heading2"/>
        <w:keepNext/>
      </w:pPr>
      <w:r>
        <w:t>11.  Mobility partnerships - the future of European migration policy?  (2012)</w:t>
      </w:r>
    </w:p>
    <w:p>
      <w:r>
        <w:rPr>
          <w:b/>
        </w:rPr>
        <w:t xml:space="preserve">NOW  </w:t>
      </w:r>
      <w:r>
        <w:t>A 2014 paper reports: Simultaneously, the formalization of labour mobility within the EU is associated with a legalization that does not correspond to increased rights.1</w:t>
      </w:r>
    </w:p>
    <w:p>
      <w:r>
        <w:rPr>
          <w:b/>
        </w:rPr>
        <w:t xml:space="preserve">WHY HERE  </w:t>
      </w:r>
      <w:r>
        <w:t>This later publication addresses the same research issue. It documents continuing scholarship, not necessarily an observed outcome.</w:t>
      </w:r>
    </w:p>
    <w:p>
      <w:pPr>
        <w:spacing w:after="160"/>
      </w:pPr>
      <w:hyperlink r:id="rId31">
        <w:r>
          <w:rPr>
            <w:color w:val="000000"/>
            <w:u w:val="single"/>
          </w:rPr>
          <w:t>Original publication</w:t>
        </w:r>
      </w:hyperlink>
      <w:r>
        <w:t xml:space="preserve">   ·   </w:t>
      </w:r>
      <w:hyperlink r:id="rId32">
        <w:r>
          <w:rPr>
            <w:color w:val="000000"/>
            <w:u w:val="single"/>
          </w:rPr>
          <w:t>Later publication</w:t>
        </w:r>
      </w:hyperlink>
    </w:p>
    <w:p>
      <w:pPr>
        <w:pStyle w:val="Heading2"/>
        <w:keepNext/>
      </w:pPr>
      <w:r>
        <w:t>12.  The future of direct payments system in the EU agriculture; European Commission scenarios  (2012)</w:t>
      </w:r>
    </w:p>
    <w:p>
      <w:r>
        <w:rPr>
          <w:b/>
        </w:rPr>
        <w:t xml:space="preserve">NOW  </w:t>
      </w:r>
      <w:r>
        <w:t>Newer research (2022) discusses: This study presents an innovative approach to measuring the impact of EU CAP direct payments on the economic resilience of agriculture at a sectoral level.</w:t>
      </w:r>
    </w:p>
    <w:p>
      <w:r>
        <w:rPr>
          <w:b/>
        </w:rPr>
        <w:t xml:space="preserve">WHY HERE  </w:t>
      </w:r>
      <w:r>
        <w:t>This later publication addresses the same research issue. It documents continuing scholarship, not necessarily an observed outcome.</w:t>
      </w:r>
    </w:p>
    <w:p>
      <w:pPr>
        <w:spacing w:after="160"/>
      </w:pPr>
      <w:hyperlink r:id="rId33">
        <w:r>
          <w:rPr>
            <w:color w:val="000000"/>
            <w:u w:val="single"/>
          </w:rPr>
          <w:t>Original publication</w:t>
        </w:r>
      </w:hyperlink>
      <w:r>
        <w:t xml:space="preserve">   ·   </w:t>
      </w:r>
      <w:hyperlink r:id="rId34">
        <w:r>
          <w:rPr>
            <w:color w:val="000000"/>
            <w:u w:val="single"/>
          </w:rPr>
          <w:t>Later publication</w:t>
        </w:r>
      </w:hyperlink>
    </w:p>
    <w:p>
      <w:pPr>
        <w:pStyle w:val="Heading2"/>
        <w:keepNext/>
      </w:pPr>
      <w:r>
        <w:t>13.  Modeling the climatic suitability of leishmaniasis vector species in Europe  (2017)</w:t>
      </w:r>
    </w:p>
    <w:p>
      <w:r>
        <w:rPr>
          <w:b/>
        </w:rPr>
        <w:t xml:space="preserve">NOW  </w:t>
      </w:r>
      <w:r>
        <w:t>A 2026 paper reports: Globally, leishmaniasis risk increased by ∼17% since the 1990s, with Africa, Asia, and the Americas experiencing the greatest rise.</w:t>
      </w:r>
    </w:p>
    <w:p>
      <w:r>
        <w:rPr>
          <w:b/>
        </w:rPr>
        <w:t xml:space="preserve">WHY HERE  </w:t>
      </w:r>
      <w:r>
        <w:t>This later publication addresses the same research issue. It documents continuing scholarship, not necessarily an observed outcome.</w:t>
      </w:r>
    </w:p>
    <w:p>
      <w:pPr>
        <w:spacing w:after="160"/>
      </w:pPr>
      <w:hyperlink r:id="rId35">
        <w:r>
          <w:rPr>
            <w:color w:val="000000"/>
            <w:u w:val="single"/>
          </w:rPr>
          <w:t>Original publication</w:t>
        </w:r>
      </w:hyperlink>
      <w:r>
        <w:t xml:space="preserve">   ·   </w:t>
      </w:r>
      <w:hyperlink r:id="rId36">
        <w:r>
          <w:rPr>
            <w:color w:val="000000"/>
            <w:u w:val="single"/>
          </w:rPr>
          <w:t>Later publication</w:t>
        </w:r>
      </w:hyperlink>
    </w:p>
    <w:p>
      <w:pPr>
        <w:pStyle w:val="Heading2"/>
        <w:keepNext/>
      </w:pPr>
      <w:r>
        <w:t>14.  MIGRATION AND MIGRANT WORKERS IN EUROPE  (2013)</w:t>
      </w:r>
    </w:p>
    <w:p>
      <w:r>
        <w:rPr>
          <w:b/>
        </w:rPr>
        <w:t xml:space="preserve">NOW  </w:t>
      </w:r>
      <w:r>
        <w:t>Newer research (2020) discusses: This open access book explores the different legal and policy instruments that have been adopted to implement circular migration policies in the EU and their consequences for the rights of migrant workers thereby providing underst</w:t>
      </w:r>
    </w:p>
    <w:p>
      <w:r>
        <w:rPr>
          <w:b/>
        </w:rPr>
        <w:t xml:space="preserve">WHY HERE  </w:t>
      </w:r>
      <w:r>
        <w:t>This later publication addresses the same research issue. It documents continuing scholarship, not necessarily an observed outcome.</w:t>
      </w:r>
    </w:p>
    <w:p>
      <w:pPr>
        <w:spacing w:after="160"/>
      </w:pPr>
      <w:hyperlink r:id="rId37">
        <w:r>
          <w:rPr>
            <w:color w:val="000000"/>
            <w:u w:val="single"/>
          </w:rPr>
          <w:t>Original publication</w:t>
        </w:r>
      </w:hyperlink>
      <w:r>
        <w:t xml:space="preserve">   ·   </w:t>
      </w:r>
      <w:hyperlink r:id="rId38">
        <w:r>
          <w:rPr>
            <w:color w:val="000000"/>
            <w:u w:val="single"/>
          </w:rPr>
          <w:t>Later publication</w:t>
        </w:r>
      </w:hyperlink>
    </w:p>
    <w:p>
      <w:pPr>
        <w:pStyle w:val="Heading2"/>
        <w:keepNext/>
      </w:pPr>
      <w:r>
        <w:t>15.  Price risk perceptions and management strategies in selected European food supply chains: An exploratory approach  (2016)</w:t>
      </w:r>
    </w:p>
    <w:p>
      <w:r>
        <w:rPr>
          <w:b/>
        </w:rPr>
        <w:t xml:space="preserve">NOW  </w:t>
      </w:r>
      <w:r>
        <w:t>Newer research (2019) discusses: Consequently, both the EU and many Member States have started operating price and margin monitoring systems in order to obtain a better insight into developments of prices, costs and profits along food supply chains.</w:t>
      </w:r>
    </w:p>
    <w:p>
      <w:r>
        <w:rPr>
          <w:b/>
        </w:rPr>
        <w:t xml:space="preserve">WHY HERE  </w:t>
      </w:r>
      <w:r>
        <w:t>This later publication addresses the same research issue. It documents continuing scholarship, not necessarily an observed outcome.</w:t>
      </w:r>
    </w:p>
    <w:p>
      <w:pPr>
        <w:spacing w:after="160"/>
      </w:pPr>
      <w:hyperlink r:id="rId39">
        <w:r>
          <w:rPr>
            <w:color w:val="000000"/>
            <w:u w:val="single"/>
          </w:rPr>
          <w:t>Original publication</w:t>
        </w:r>
      </w:hyperlink>
      <w:r>
        <w:t xml:space="preserve">   ·   </w:t>
      </w:r>
      <w:hyperlink r:id="rId40">
        <w:r>
          <w:rPr>
            <w:color w:val="000000"/>
            <w:u w:val="single"/>
          </w:rPr>
          <w:t>Later publication</w:t>
        </w:r>
      </w:hyperlink>
    </w:p>
    <w:p>
      <w:pPr>
        <w:pStyle w:val="Heading2"/>
        <w:keepNext/>
      </w:pPr>
      <w:r>
        <w:t>16.  The EU Water Framework Directive: From great expectations to problems with implementation  (2016)</w:t>
      </w:r>
    </w:p>
    <w:p>
      <w:r>
        <w:rPr>
          <w:b/>
        </w:rPr>
        <w:t xml:space="preserve">NOW  </w:t>
      </w:r>
      <w:r>
        <w:t>A 2020 paper reports: We found a great variety in governance approaches, while the nature of measures, in terms of source-based and effect-based, is only slightly different.</w:t>
      </w:r>
    </w:p>
    <w:p>
      <w:r>
        <w:rPr>
          <w:b/>
        </w:rPr>
        <w:t xml:space="preserve">WHY HERE  </w:t>
      </w:r>
      <w:r>
        <w:t>This later publication addresses the same research issue. It documents continuing scholarship, not necessarily an observed outcome.</w:t>
      </w:r>
    </w:p>
    <w:p>
      <w:pPr>
        <w:spacing w:after="160"/>
      </w:pPr>
      <w:hyperlink r:id="rId41">
        <w:r>
          <w:rPr>
            <w:color w:val="000000"/>
            <w:u w:val="single"/>
          </w:rPr>
          <w:t>Original publication</w:t>
        </w:r>
      </w:hyperlink>
      <w:r>
        <w:t xml:space="preserve">   ·   </w:t>
      </w:r>
      <w:hyperlink r:id="rId42">
        <w:r>
          <w:rPr>
            <w:color w:val="000000"/>
            <w:u w:val="single"/>
          </w:rPr>
          <w:t>Later publication</w:t>
        </w:r>
      </w:hyperlink>
    </w:p>
    <w:p>
      <w:pPr>
        <w:pStyle w:val="Heading2"/>
        <w:keepNext/>
      </w:pPr>
      <w:r>
        <w:t>17.  Analysis of the structure and values of the European Commission's Circular Economy Package  (2017)</w:t>
      </w:r>
    </w:p>
    <w:p>
      <w:r>
        <w:rPr>
          <w:b/>
        </w:rPr>
        <w:t xml:space="preserve">NOW  </w:t>
      </w:r>
      <w:r>
        <w:t>Newer research (2020) discusses: Drawing on policy documents and interviews with policy officers of the European Commission, we argue that the monitoring framework and indicator development function as a site collective imagination in which desirable ‘circular’ f</w:t>
      </w:r>
    </w:p>
    <w:p>
      <w:r>
        <w:rPr>
          <w:b/>
        </w:rPr>
        <w:t xml:space="preserve">WHY HERE  </w:t>
      </w:r>
      <w:r>
        <w:t>This later publication addresses the same research issue. It documents continuing scholarship, not necessarily an observed outcome.</w:t>
      </w:r>
    </w:p>
    <w:p>
      <w:pPr>
        <w:spacing w:after="160"/>
      </w:pPr>
      <w:hyperlink r:id="rId43">
        <w:r>
          <w:rPr>
            <w:color w:val="000000"/>
            <w:u w:val="single"/>
          </w:rPr>
          <w:t>Original publication</w:t>
        </w:r>
      </w:hyperlink>
      <w:r>
        <w:t xml:space="preserve">   ·   </w:t>
      </w:r>
      <w:hyperlink r:id="rId44">
        <w:r>
          <w:rPr>
            <w:color w:val="000000"/>
            <w:u w:val="single"/>
          </w:rPr>
          <w:t>Later publication</w:t>
        </w:r>
      </w:hyperlink>
    </w:p>
    <w:p>
      <w:pPr>
        <w:pStyle w:val="Heading2"/>
        <w:keepNext/>
      </w:pPr>
      <w:r>
        <w:t>18.  Forest policy in Europe and 2020 scenarios: between sustainability and rural development  (2012)</w:t>
      </w:r>
    </w:p>
    <w:p>
      <w:r>
        <w:rPr>
          <w:b/>
        </w:rPr>
        <w:t xml:space="preserve">NOW  </w:t>
      </w:r>
      <w:r>
        <w:t>Newer research (2024) discusses: This study employs process tracing using 65 EU forest and rural development policy documents, including legal acts, preparatory documents, communications, related working documents and evaluation reports, predominantly produced ov</w:t>
      </w:r>
    </w:p>
    <w:p>
      <w:r>
        <w:rPr>
          <w:b/>
        </w:rPr>
        <w:t xml:space="preserve">WHY HERE  </w:t>
      </w:r>
      <w:r>
        <w:t>This later publication addresses the same research issue. It documents continuing scholarship, not necessarily an observed outcome.</w:t>
      </w:r>
    </w:p>
    <w:p>
      <w:pPr>
        <w:spacing w:after="160"/>
      </w:pPr>
      <w:hyperlink r:id="rId45">
        <w:r>
          <w:rPr>
            <w:color w:val="000000"/>
            <w:u w:val="single"/>
          </w:rPr>
          <w:t>Original publication</w:t>
        </w:r>
      </w:hyperlink>
      <w:r>
        <w:t xml:space="preserve">   ·   </w:t>
      </w:r>
      <w:hyperlink r:id="rId46">
        <w:r>
          <w:rPr>
            <w:color w:val="000000"/>
            <w:u w:val="single"/>
          </w:rPr>
          <w:t>Later publication</w:t>
        </w:r>
      </w:hyperlink>
    </w:p>
    <w:p>
      <w:pPr>
        <w:pStyle w:val="Heading2"/>
        <w:keepNext/>
      </w:pPr>
      <w:r>
        <w:t>19.  The European pulp and paper industry in transition to a bio-economy: A Delphi study  (2017)</w:t>
      </w:r>
    </w:p>
    <w:p>
      <w:r>
        <w:rPr>
          <w:b/>
        </w:rPr>
        <w:t xml:space="preserve">NOW  </w:t>
      </w:r>
      <w:r>
        <w:t>A 2021 paper reports: The pulp and paper industry faces several challenges linked to climate and environmental impact, resource efficiency, rising energy prices, increased competition for biomass resources, and declining demand for traditional printed paper products.</w:t>
      </w:r>
    </w:p>
    <w:p>
      <w:r>
        <w:rPr>
          <w:b/>
        </w:rPr>
        <w:t xml:space="preserve">WHY HERE  </w:t>
      </w:r>
      <w:r>
        <w:t>This later publication addresses the same research issue. It documents continuing scholarship, not necessarily an observed outcome.</w:t>
      </w:r>
    </w:p>
    <w:p>
      <w:pPr>
        <w:spacing w:after="160"/>
      </w:pPr>
      <w:hyperlink r:id="rId47">
        <w:r>
          <w:rPr>
            <w:color w:val="000000"/>
            <w:u w:val="single"/>
          </w:rPr>
          <w:t>Original publication</w:t>
        </w:r>
      </w:hyperlink>
      <w:r>
        <w:t xml:space="preserve">   ·   </w:t>
      </w:r>
      <w:hyperlink r:id="rId48">
        <w:r>
          <w:rPr>
            <w:color w:val="000000"/>
            <w:u w:val="single"/>
          </w:rPr>
          <w:t>Later publication</w:t>
        </w:r>
      </w:hyperlink>
    </w:p>
    <w:p>
      <w:pPr>
        <w:pStyle w:val="Heading2"/>
        <w:keepNext/>
      </w:pPr>
      <w:r>
        <w:t>20.  Multi-Model Projections of River Flood Risk in Europe under Global Warming  (2018)</w:t>
      </w:r>
    </w:p>
    <w:p>
      <w:r>
        <w:rPr>
          <w:b/>
        </w:rPr>
        <w:t xml:space="preserve">NOW  </w:t>
      </w:r>
      <w:r>
        <w:t>Newer research (2023) discusses: We find that reducing flood peaks using detention areas is economically the most attractive option.</w:t>
      </w:r>
    </w:p>
    <w:p>
      <w:r>
        <w:rPr>
          <w:b/>
        </w:rPr>
        <w:t xml:space="preserve">WHY HERE  </w:t>
      </w:r>
      <w:r>
        <w:t>This later publication addresses the same research issue. It documents continuing scholarship, not necessarily an observed outcome.</w:t>
      </w:r>
    </w:p>
    <w:p>
      <w:pPr>
        <w:spacing w:after="160"/>
      </w:pPr>
      <w:hyperlink r:id="rId49">
        <w:r>
          <w:rPr>
            <w:color w:val="000000"/>
            <w:u w:val="single"/>
          </w:rPr>
          <w:t>Original publication</w:t>
        </w:r>
      </w:hyperlink>
      <w:r>
        <w:t xml:space="preserve">   ·   </w:t>
      </w:r>
      <w:hyperlink r:id="rId50">
        <w:r>
          <w:rPr>
            <w:color w:val="000000"/>
            <w:u w:val="single"/>
          </w:rPr>
          <w:t>Later publication</w:t>
        </w:r>
      </w:hyperlink>
    </w:p>
    <w:p>
      <w:pPr>
        <w:pStyle w:val="Heading1"/>
      </w:pPr>
      <w:r>
        <w:t>Weakest / possibly outdated trails (20 selected; maximum 20)</w:t>
      </w:r>
    </w:p>
    <w:p>
      <w:r>
        <w:t>These are search-quality or publication-status warnings. A missing or poor link does not mean the original idea is obsolete, false or irrelevant.</w:t>
      </w:r>
    </w:p>
    <w:p>
      <w:pPr>
        <w:pStyle w:val="Heading2"/>
        <w:keepNext/>
      </w:pPr>
      <w:r>
        <w:t>01.  Withdrawn: Fossil Futures in Europe  (2023)</w:t>
      </w:r>
    </w:p>
    <w:p>
      <w:r>
        <w:rPr>
          <w:b/>
        </w:rPr>
        <w:t xml:space="preserve">WHY HERE  </w:t>
      </w:r>
      <w:r>
        <w:t>The original record is explicitly marked withdrawn or retracted. Retained for historical transparency, not treated as reliable evidence.</w:t>
      </w:r>
    </w:p>
    <w:p>
      <w:r>
        <w:rPr>
          <w:b/>
        </w:rPr>
        <w:t xml:space="preserve">OPEN  </w:t>
      </w:r>
      <w:r>
        <w:t>Still relevant, superseded, or simply under-researched? A source-based review is needed.</w:t>
      </w:r>
    </w:p>
    <w:p>
      <w:pPr>
        <w:spacing w:after="160"/>
      </w:pPr>
      <w:hyperlink r:id="rId51">
        <w:r>
          <w:rPr>
            <w:color w:val="000000"/>
            <w:u w:val="single"/>
          </w:rPr>
          <w:t>Original publication</w:t>
        </w:r>
      </w:hyperlink>
    </w:p>
    <w:p>
      <w:pPr>
        <w:pStyle w:val="Heading2"/>
        <w:keepNext/>
      </w:pPr>
      <w:r>
        <w:t>02.  RETRACTED ARTICLE: Sustainable development economy and the development of green economy in the European Union  (2023)</w:t>
      </w:r>
    </w:p>
    <w:p>
      <w:r>
        <w:rPr>
          <w:b/>
        </w:rPr>
        <w:t xml:space="preserve">WHY HERE  </w:t>
      </w:r>
      <w:r>
        <w:t>The original record is explicitly marked withdrawn or retracted. Retained for historical transparency, not treated as reliable evidence.</w:t>
      </w:r>
    </w:p>
    <w:p>
      <w:r>
        <w:rPr>
          <w:b/>
        </w:rPr>
        <w:t xml:space="preserve">OPEN  </w:t>
      </w:r>
      <w:r>
        <w:t>Still relevant, superseded, or simply under-researched? A source-based review is needed.</w:t>
      </w:r>
    </w:p>
    <w:p>
      <w:pPr>
        <w:spacing w:after="160"/>
      </w:pPr>
      <w:hyperlink r:id="rId52">
        <w:r>
          <w:rPr>
            <w:color w:val="000000"/>
            <w:u w:val="single"/>
          </w:rPr>
          <w:t>Original publication</w:t>
        </w:r>
      </w:hyperlink>
      <w:r>
        <w:t xml:space="preserve">   ·   </w:t>
      </w:r>
      <w:hyperlink r:id="rId53">
        <w:r>
          <w:rPr>
            <w:color w:val="000000"/>
            <w:u w:val="single"/>
          </w:rPr>
          <w:t>Later publication (check status)</w:t>
        </w:r>
      </w:hyperlink>
    </w:p>
    <w:p>
      <w:pPr>
        <w:pStyle w:val="Heading2"/>
        <w:keepNext/>
      </w:pPr>
      <w:r>
        <w:t>03.  Benchmarking del programa colombiano de prospectiva ante prácticas en Europa y Sur América (título original: Benchmarking the coloIombian foresight programme against practices in Europe and South America)  (2011)</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4">
        <w:r>
          <w:rPr>
            <w:color w:val="000000"/>
            <w:u w:val="single"/>
          </w:rPr>
          <w:t>Original publication</w:t>
        </w:r>
      </w:hyperlink>
      <w:r>
        <w:t xml:space="preserve">   ·   </w:t>
      </w:r>
      <w:hyperlink r:id="rId55">
        <w:r>
          <w:rPr>
            <w:color w:val="000000"/>
            <w:u w:val="single"/>
          </w:rPr>
          <w:t>Later publication (check status)</w:t>
        </w:r>
      </w:hyperlink>
    </w:p>
    <w:p>
      <w:pPr>
        <w:pStyle w:val="Heading2"/>
        <w:keepNext/>
      </w:pPr>
      <w:r>
        <w:t>04.  Review: Projections of Power: The United States and Europe in Colonial Southeast Asia, 1919–1941 , by Anne L. Foster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6">
        <w:r>
          <w:rPr>
            <w:color w:val="000000"/>
            <w:u w:val="single"/>
          </w:rPr>
          <w:t>Original publication</w:t>
        </w:r>
      </w:hyperlink>
      <w:r>
        <w:t xml:space="preserve">   ·   </w:t>
      </w:r>
      <w:hyperlink r:id="rId57">
        <w:r>
          <w:rPr>
            <w:color w:val="000000"/>
            <w:u w:val="single"/>
          </w:rPr>
          <w:t>Later publication (check status)</w:t>
        </w:r>
      </w:hyperlink>
    </w:p>
    <w:p>
      <w:pPr>
        <w:pStyle w:val="Heading2"/>
        <w:keepNext/>
      </w:pPr>
      <w:r>
        <w:t>05.  Projections of Power: The United States and Europe in Colonial Southeast Asia, 1919–1941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7">
        <w:r>
          <w:rPr>
            <w:color w:val="000000"/>
            <w:u w:val="single"/>
          </w:rPr>
          <w:t>Original publication</w:t>
        </w:r>
      </w:hyperlink>
      <w:r>
        <w:t xml:space="preserve">   ·   </w:t>
      </w:r>
      <w:hyperlink r:id="rId58">
        <w:r>
          <w:rPr>
            <w:color w:val="000000"/>
            <w:u w:val="single"/>
          </w:rPr>
          <w:t>Later publication (check status)</w:t>
        </w:r>
      </w:hyperlink>
    </w:p>
    <w:p>
      <w:pPr>
        <w:pStyle w:val="Heading2"/>
        <w:keepNext/>
      </w:pPr>
      <w:r>
        <w:t>06.  FORECASTED TRENDS IN CHANGES OF VEGETATION IN THE EUROPEAN PART OF RUSSIA IN CONNECTION WITH GLOBAL WARMING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9">
        <w:r>
          <w:rPr>
            <w:color w:val="000000"/>
            <w:u w:val="single"/>
          </w:rPr>
          <w:t>Original publication</w:t>
        </w:r>
      </w:hyperlink>
      <w:r>
        <w:t xml:space="preserve">   ·   </w:t>
      </w:r>
      <w:hyperlink r:id="rId60">
        <w:r>
          <w:rPr>
            <w:color w:val="000000"/>
            <w:u w:val="single"/>
          </w:rPr>
          <w:t>Later publication (check status)</w:t>
        </w:r>
      </w:hyperlink>
    </w:p>
    <w:p>
      <w:pPr>
        <w:pStyle w:val="Heading2"/>
        <w:keepNext/>
      </w:pPr>
      <w:r>
        <w:t>07.  INTRODUCTION OF THE GRAIN FUTURES MARKET IN THE BLACK SEA REGION  (2013)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1">
        <w:r>
          <w:rPr>
            <w:color w:val="000000"/>
            <w:u w:val="single"/>
          </w:rPr>
          <w:t>Original publication</w:t>
        </w:r>
      </w:hyperlink>
      <w:r>
        <w:t xml:space="preserve">   ·   </w:t>
      </w:r>
      <w:hyperlink r:id="rId62">
        <w:r>
          <w:rPr>
            <w:color w:val="000000"/>
            <w:u w:val="single"/>
          </w:rPr>
          <w:t>Later publication (check status)</w:t>
        </w:r>
      </w:hyperlink>
    </w:p>
    <w:p>
      <w:pPr>
        <w:pStyle w:val="Heading2"/>
        <w:keepNext/>
      </w:pPr>
      <w:r>
        <w:t>08.  Twitter data analysis as contribution to strategic foresight-The case of the EU Research Project “Foresight and Modelling for European Health Policy and Regulations” (FRESHER)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3">
        <w:r>
          <w:rPr>
            <w:color w:val="000000"/>
            <w:u w:val="single"/>
          </w:rPr>
          <w:t>Original publication</w:t>
        </w:r>
      </w:hyperlink>
      <w:r>
        <w:t xml:space="preserve">   ·   </w:t>
      </w:r>
      <w:hyperlink r:id="rId64">
        <w:r>
          <w:rPr>
            <w:color w:val="000000"/>
            <w:u w:val="single"/>
          </w:rPr>
          <w:t>Later publication (check status)</w:t>
        </w:r>
      </w:hyperlink>
    </w:p>
    <w:p>
      <w:pPr>
        <w:pStyle w:val="Heading2"/>
        <w:keepNext/>
      </w:pPr>
      <w:r>
        <w:t>09.  New forms of innovation: critical issues for future pathways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5">
        <w:r>
          <w:rPr>
            <w:color w:val="000000"/>
            <w:u w:val="single"/>
          </w:rPr>
          <w:t>Original publication</w:t>
        </w:r>
      </w:hyperlink>
      <w:r>
        <w:t xml:space="preserve">   ·   </w:t>
      </w:r>
      <w:hyperlink r:id="rId66">
        <w:r>
          <w:rPr>
            <w:color w:val="000000"/>
            <w:u w:val="single"/>
          </w:rPr>
          <w:t>Later publication (check status)</w:t>
        </w:r>
      </w:hyperlink>
    </w:p>
    <w:p>
      <w:pPr>
        <w:pStyle w:val="Heading2"/>
        <w:keepNext/>
      </w:pPr>
      <w:r>
        <w:t>10.  Energy system impacts and policy implications of the European Intended Nationally Determined Contribution and low-carbon pathway to 2050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7">
        <w:r>
          <w:rPr>
            <w:color w:val="000000"/>
            <w:u w:val="single"/>
          </w:rPr>
          <w:t>Original publication</w:t>
        </w:r>
      </w:hyperlink>
      <w:r>
        <w:t xml:space="preserve">   ·   </w:t>
      </w:r>
      <w:hyperlink r:id="rId68">
        <w:r>
          <w:rPr>
            <w:color w:val="000000"/>
            <w:u w:val="single"/>
          </w:rPr>
          <w:t>Later publication (check status)</w:t>
        </w:r>
      </w:hyperlink>
    </w:p>
    <w:p>
      <w:pPr>
        <w:pStyle w:val="Heading2"/>
        <w:keepNext/>
      </w:pPr>
      <w:r>
        <w:t>11.  Convenience Yields and Risk Premiums in the EU‐ETS—Evidence from the Kyoto Commitment Period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9">
        <w:r>
          <w:rPr>
            <w:color w:val="000000"/>
            <w:u w:val="single"/>
          </w:rPr>
          <w:t>Original publication</w:t>
        </w:r>
      </w:hyperlink>
      <w:r>
        <w:t xml:space="preserve">   ·   </w:t>
      </w:r>
      <w:hyperlink r:id="rId70">
        <w:r>
          <w:rPr>
            <w:color w:val="000000"/>
            <w:u w:val="single"/>
          </w:rPr>
          <w:t>Later publication (check status)</w:t>
        </w:r>
      </w:hyperlink>
    </w:p>
    <w:p>
      <w:pPr>
        <w:pStyle w:val="Heading2"/>
        <w:keepNext/>
      </w:pPr>
      <w:r>
        <w:t>12.  Volatility Spillovers and Causality of Carbon Emissions, Oil and Coal Spot and Futures for the EU and USA  (2017)</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1">
        <w:r>
          <w:rPr>
            <w:color w:val="000000"/>
            <w:u w:val="single"/>
          </w:rPr>
          <w:t>Original publication</w:t>
        </w:r>
      </w:hyperlink>
      <w:r>
        <w:t xml:space="preserve">   ·   </w:t>
      </w:r>
      <w:hyperlink r:id="rId72">
        <w:r>
          <w:rPr>
            <w:color w:val="000000"/>
            <w:u w:val="single"/>
          </w:rPr>
          <w:t>Later publication (check status)</w:t>
        </w:r>
      </w:hyperlink>
    </w:p>
    <w:p>
      <w:pPr>
        <w:pStyle w:val="Heading2"/>
        <w:keepNext/>
      </w:pPr>
      <w:r>
        <w:t>13.  European Security Architecture after the United Kingdom’s Withdrawal from the European Union: Future Scenarios  (2019)</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3">
        <w:r>
          <w:rPr>
            <w:color w:val="000000"/>
            <w:u w:val="single"/>
          </w:rPr>
          <w:t>Original publication</w:t>
        </w:r>
      </w:hyperlink>
      <w:r>
        <w:t xml:space="preserve">   ·   </w:t>
      </w:r>
      <w:hyperlink r:id="rId74">
        <w:r>
          <w:rPr>
            <w:color w:val="000000"/>
            <w:u w:val="single"/>
          </w:rPr>
          <w:t>Later publication (check status)</w:t>
        </w:r>
      </w:hyperlink>
    </w:p>
    <w:p>
      <w:pPr>
        <w:pStyle w:val="Heading2"/>
        <w:keepNext/>
      </w:pPr>
      <w:r>
        <w:t>14.  The Impact of Decarbonization Scenarios on Air Quality and Human Health in Poland—Analysis of Scenarios up to 2050  (2020)</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5">
        <w:r>
          <w:rPr>
            <w:color w:val="000000"/>
            <w:u w:val="single"/>
          </w:rPr>
          <w:t>Original publication</w:t>
        </w:r>
      </w:hyperlink>
      <w:r>
        <w:t xml:space="preserve">   ·   </w:t>
      </w:r>
      <w:hyperlink r:id="rId76">
        <w:r>
          <w:rPr>
            <w:color w:val="000000"/>
            <w:u w:val="single"/>
          </w:rPr>
          <w:t>Later publication (check status)</w:t>
        </w:r>
      </w:hyperlink>
    </w:p>
    <w:p>
      <w:pPr>
        <w:pStyle w:val="Heading2"/>
        <w:keepNext/>
      </w:pPr>
      <w:r>
        <w:t>15.  Disaggregation of official demographic projections in sub-groups by education level: the neglected “composition effect” in the future path of life expectancy  (2021)</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7">
        <w:r>
          <w:rPr>
            <w:color w:val="000000"/>
            <w:u w:val="single"/>
          </w:rPr>
          <w:t>Original publication</w:t>
        </w:r>
      </w:hyperlink>
      <w:r>
        <w:t xml:space="preserve">   ·   </w:t>
      </w:r>
      <w:hyperlink r:id="rId78">
        <w:r>
          <w:rPr>
            <w:color w:val="000000"/>
            <w:u w:val="single"/>
          </w:rPr>
          <w:t>Later publication (check status)</w:t>
        </w:r>
      </w:hyperlink>
    </w:p>
    <w:p>
      <w:pPr>
        <w:pStyle w:val="Heading2"/>
        <w:keepNext/>
      </w:pPr>
      <w:r>
        <w:t>16.  Ensuring sustainable agriculture by analyzing the European Union and Romanian legislation on soil resources protection  (2022)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9">
        <w:r>
          <w:rPr>
            <w:color w:val="000000"/>
            <w:u w:val="single"/>
          </w:rPr>
          <w:t>Original publication</w:t>
        </w:r>
      </w:hyperlink>
      <w:r>
        <w:t xml:space="preserve">   ·   </w:t>
      </w:r>
      <w:hyperlink r:id="rId80">
        <w:r>
          <w:rPr>
            <w:color w:val="000000"/>
            <w:u w:val="single"/>
          </w:rPr>
          <w:t>Later publication (check status)</w:t>
        </w:r>
      </w:hyperlink>
    </w:p>
    <w:p>
      <w:pPr>
        <w:pStyle w:val="Heading2"/>
        <w:keepNext/>
      </w:pPr>
      <w:r>
        <w:t>17.  Thematic Issue Presentation: Perspectives on innovation governance - challenges and dilemmas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1">
        <w:r>
          <w:rPr>
            <w:color w:val="000000"/>
            <w:u w:val="single"/>
          </w:rPr>
          <w:t>Original publication</w:t>
        </w:r>
      </w:hyperlink>
      <w:r>
        <w:t xml:space="preserve">   ·   </w:t>
      </w:r>
      <w:hyperlink r:id="rId82">
        <w:r>
          <w:rPr>
            <w:color w:val="000000"/>
            <w:u w:val="single"/>
          </w:rPr>
          <w:t>Later publication (check status)</w:t>
        </w:r>
      </w:hyperlink>
    </w:p>
    <w:p>
      <w:pPr>
        <w:pStyle w:val="Heading2"/>
        <w:keepNext/>
      </w:pPr>
      <w:r>
        <w:t>18.  Strategic routes for wastewater treatment plant upgrades to reduce micropollutants in European surface water bodies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3">
        <w:r>
          <w:rPr>
            <w:color w:val="000000"/>
            <w:u w:val="single"/>
          </w:rPr>
          <w:t>Original publication</w:t>
        </w:r>
      </w:hyperlink>
      <w:r>
        <w:t xml:space="preserve">   ·   </w:t>
      </w:r>
      <w:hyperlink r:id="rId84">
        <w:r>
          <w:rPr>
            <w:color w:val="000000"/>
            <w:u w:val="single"/>
          </w:rPr>
          <w:t>Later publication (check status)</w:t>
        </w:r>
      </w:hyperlink>
    </w:p>
    <w:p>
      <w:pPr>
        <w:pStyle w:val="Heading2"/>
        <w:keepNext/>
      </w:pPr>
      <w:r>
        <w:t>19.  Experts’ assessments of migration scenarios between the Middle East &amp; North Africa and Europe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5">
        <w:r>
          <w:rPr>
            <w:color w:val="000000"/>
            <w:u w:val="single"/>
          </w:rPr>
          <w:t>Original publication</w:t>
        </w:r>
      </w:hyperlink>
      <w:r>
        <w:t xml:space="preserve">   ·   </w:t>
      </w:r>
      <w:hyperlink r:id="rId86">
        <w:r>
          <w:rPr>
            <w:color w:val="000000"/>
            <w:u w:val="single"/>
          </w:rPr>
          <w:t>Later publication (check status)</w:t>
        </w:r>
      </w:hyperlink>
    </w:p>
    <w:p>
      <w:pPr>
        <w:pStyle w:val="Heading2"/>
        <w:keepNext/>
      </w:pPr>
      <w:r>
        <w:t>20.  A future EU overall strategy for agriculture and forest genetic resources management: Finding consensus through policymakers’ participation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7">
        <w:r>
          <w:rPr>
            <w:color w:val="000000"/>
            <w:u w:val="single"/>
          </w:rPr>
          <w:t>Original publication</w:t>
        </w:r>
      </w:hyperlink>
      <w:r>
        <w:t xml:space="preserve">   ·   </w:t>
      </w:r>
      <w:hyperlink r:id="rId88">
        <w:r>
          <w:rPr>
            <w:color w:val="000000"/>
            <w:u w:val="single"/>
          </w:rPr>
          <w:t>Later publication (check status)</w:t>
        </w:r>
      </w:hyperlink>
    </w:p>
    <w:p>
      <w:pPr>
        <w:pStyle w:val="Heading1"/>
      </w:pPr>
      <w:r>
        <w:t>How this list updates</w:t>
      </w:r>
    </w:p>
    <w:p>
      <w:r>
        <w:t>Each successful Radar 2 run refreshes living-atlas.json. The companion Word workflow then builds this file again from those saved entries. It selects candidates by source-linked review, same-question follow-ups, freshness and diversity of subjects. It does not perform an extra paid research scan.</w:t>
      </w:r>
    </w:p>
    <w:p>
      <w:r>
        <w:t>A proper best/worst judgement requires reading the original claim and checking independent later observations. Where that review is missing, the shortlist is a research triage list rather than a verdict.</w:t>
      </w:r>
    </w:p>
    <w:sectPr w:rsidR="00FC693F" w:rsidRPr="0006063C" w:rsidSect="00034616">
      <w:headerReference w:type="default" r:id="rId9"/>
      <w:footerReference w:type="default" r:id="rId10"/>
      <w:pgSz w:w="12240" w:h="15840"/>
      <w:pgMar w:top="936" w:right="1109" w:bottom="950"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World Radar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5"/>
      </w:rPr>
      <w:t>WORLD RADAR   /   SHORT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00" w:line="240" w:lineRule="auto" w:before="200"/>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5755/j01.eis.0.11.18958" TargetMode="External"/><Relationship Id="rId12" Type="http://schemas.openxmlformats.org/officeDocument/2006/relationships/hyperlink" Target="https://doi.org/10.1080/14678802.2021.1940781" TargetMode="External"/><Relationship Id="rId13" Type="http://schemas.openxmlformats.org/officeDocument/2006/relationships/hyperlink" Target="https://doi.org/10.1186/1750-0680-8-2" TargetMode="External"/><Relationship Id="rId14" Type="http://schemas.openxmlformats.org/officeDocument/2006/relationships/hyperlink" Target="https://doi.org/10.1007/s13593-022-00827-y" TargetMode="External"/><Relationship Id="rId15" Type="http://schemas.openxmlformats.org/officeDocument/2006/relationships/hyperlink" Target="https://doi.org/10.34196/ijm.00180" TargetMode="External"/><Relationship Id="rId16" Type="http://schemas.openxmlformats.org/officeDocument/2006/relationships/hyperlink" Target="https://openalex.org/W7213478999" TargetMode="External"/><Relationship Id="rId17" Type="http://schemas.openxmlformats.org/officeDocument/2006/relationships/hyperlink" Target="https://doi.org/10.1016/j.energy.2019.06.118" TargetMode="External"/><Relationship Id="rId18" Type="http://schemas.openxmlformats.org/officeDocument/2006/relationships/hyperlink" Target="https://doi.org/10.54337/ijsepm.8151" TargetMode="External"/><Relationship Id="rId19" Type="http://schemas.openxmlformats.org/officeDocument/2006/relationships/hyperlink" Target="https://doi.org/10.69554/wdbn2222" TargetMode="External"/><Relationship Id="rId20" Type="http://schemas.openxmlformats.org/officeDocument/2006/relationships/hyperlink" Target="https://doi.org/10.35808/ersj/2915" TargetMode="External"/><Relationship Id="rId21" Type="http://schemas.openxmlformats.org/officeDocument/2006/relationships/hyperlink" Target="https://doi.org/10.1007/s11056-015-9481-9" TargetMode="External"/><Relationship Id="rId22" Type="http://schemas.openxmlformats.org/officeDocument/2006/relationships/hyperlink" Target="https://doi.org/10.3389/ffgc.2024.1396798" TargetMode="External"/><Relationship Id="rId23" Type="http://schemas.openxmlformats.org/officeDocument/2006/relationships/hyperlink" Target="https://doi.org/10.1175/wcas-d-20-0142.1" TargetMode="External"/><Relationship Id="rId24" Type="http://schemas.openxmlformats.org/officeDocument/2006/relationships/hyperlink" Target="https://doi.org/10.1038/s41558-025-02480-1" TargetMode="External"/><Relationship Id="rId25" Type="http://schemas.openxmlformats.org/officeDocument/2006/relationships/hyperlink" Target="https://doi.org/10.1016/s2212-5671(15)00042-8" TargetMode="External"/><Relationship Id="rId26" Type="http://schemas.openxmlformats.org/officeDocument/2006/relationships/hyperlink" Target="https://doi.org/10.1080/1540496x.2016.1266614" TargetMode="External"/><Relationship Id="rId27" Type="http://schemas.openxmlformats.org/officeDocument/2006/relationships/hyperlink" Target="https://doi.org/10.3390/en13092280" TargetMode="External"/><Relationship Id="rId28" Type="http://schemas.openxmlformats.org/officeDocument/2006/relationships/hyperlink" Target="https://doi.org/10.2909/5fe4bbc9-ff3e-41dc-a2bc-4e0ed9d18c52" TargetMode="External"/><Relationship Id="rId29" Type="http://schemas.openxmlformats.org/officeDocument/2006/relationships/hyperlink" Target="https://doi.org/10.7251/comen1502130k" TargetMode="External"/><Relationship Id="rId30" Type="http://schemas.openxmlformats.org/officeDocument/2006/relationships/hyperlink" Target="https://doi.org/10.3390/su17020766" TargetMode="External"/><Relationship Id="rId31" Type="http://schemas.openxmlformats.org/officeDocument/2006/relationships/hyperlink" Target="https://doi.org/10.1080/21632324.2012.740851" TargetMode="External"/><Relationship Id="rId32" Type="http://schemas.openxmlformats.org/officeDocument/2006/relationships/hyperlink" Target="https://doi.org/10.4324/9781315884431-23" TargetMode="External"/><Relationship Id="rId33" Type="http://schemas.openxmlformats.org/officeDocument/2006/relationships/hyperlink" Target="https://doi.org/10.22630/prs.2012.12.3.38" TargetMode="External"/><Relationship Id="rId34" Type="http://schemas.openxmlformats.org/officeDocument/2006/relationships/hyperlink" Target="https://doi.org/10.3390/su141710546" TargetMode="External"/><Relationship Id="rId35" Type="http://schemas.openxmlformats.org/officeDocument/2006/relationships/hyperlink" Target="https://doi.org/10.1038/s41598-017-13822-1" TargetMode="External"/><Relationship Id="rId36" Type="http://schemas.openxmlformats.org/officeDocument/2006/relationships/hyperlink" Target="https://doi.org/10.64898/2026.05.19.26353551" TargetMode="External"/><Relationship Id="rId37" Type="http://schemas.openxmlformats.org/officeDocument/2006/relationships/hyperlink" Target="https://doi.org/10.25142/aak.2013.045" TargetMode="External"/><Relationship Id="rId38" Type="http://schemas.openxmlformats.org/officeDocument/2006/relationships/hyperlink" Target="https://doi.org/10.1007/978-3-030-52689-4" TargetMode="External"/><Relationship Id="rId39" Type="http://schemas.openxmlformats.org/officeDocument/2006/relationships/hyperlink" Target="https://doi.org/10.1016/j.njas.2016.11.002" TargetMode="External"/><Relationship Id="rId40" Type="http://schemas.openxmlformats.org/officeDocument/2006/relationships/hyperlink" Target="https://doi.org/10.2760/197814" TargetMode="External"/><Relationship Id="rId41" Type="http://schemas.openxmlformats.org/officeDocument/2006/relationships/hyperlink" Target="https://doi.org/10.1016/j.scitotenv.2016.09.228" TargetMode="External"/><Relationship Id="rId42" Type="http://schemas.openxmlformats.org/officeDocument/2006/relationships/hyperlink" Target="https://doi.org/10.3390/w12051240" TargetMode="External"/><Relationship Id="rId43" Type="http://schemas.openxmlformats.org/officeDocument/2006/relationships/hyperlink" Target="https://doi.org/10.1680/jwarm.17.00009" TargetMode="External"/><Relationship Id="rId44" Type="http://schemas.openxmlformats.org/officeDocument/2006/relationships/hyperlink" Target="https://doi.org/10.1080/14759551.2019.1699092" TargetMode="External"/><Relationship Id="rId45" Type="http://schemas.openxmlformats.org/officeDocument/2006/relationships/hyperlink" Target="https://doi.org/10.4129/ifm.2012.3.01" TargetMode="External"/><Relationship Id="rId46" Type="http://schemas.openxmlformats.org/officeDocument/2006/relationships/hyperlink" Target="https://doi.org/10.1016/j.forpol.2024.103319" TargetMode="External"/><Relationship Id="rId47" Type="http://schemas.openxmlformats.org/officeDocument/2006/relationships/hyperlink" Target="https://doi.org/10.1016/j.futures.2017.02.002" TargetMode="External"/><Relationship Id="rId48" Type="http://schemas.openxmlformats.org/officeDocument/2006/relationships/hyperlink" Target="https://doi.org/10.1016/j.jclepro.2021.127681" TargetMode="External"/><Relationship Id="rId49" Type="http://schemas.openxmlformats.org/officeDocument/2006/relationships/hyperlink" Target="https://doi.org/10.3390/cli6010006" TargetMode="External"/><Relationship Id="rId50" Type="http://schemas.openxmlformats.org/officeDocument/2006/relationships/hyperlink" Target="https://doi.org/10.1038/s41558-022-01540-0" TargetMode="External"/><Relationship Id="rId51" Type="http://schemas.openxmlformats.org/officeDocument/2006/relationships/hyperlink" Target="https://doi.org/10.1111/an.1610" TargetMode="External"/><Relationship Id="rId52" Type="http://schemas.openxmlformats.org/officeDocument/2006/relationships/hyperlink" Target="https://doi.org/10.1186/s13705-023-00410-7" TargetMode="External"/><Relationship Id="rId53" Type="http://schemas.openxmlformats.org/officeDocument/2006/relationships/hyperlink" Target="https://doi.org/10.1016/b978-0-443-41575-3.00019-8" TargetMode="External"/><Relationship Id="rId54" Type="http://schemas.openxmlformats.org/officeDocument/2006/relationships/hyperlink" Target="https://doi.org/10.25100/cdea.v24i40.400" TargetMode="External"/><Relationship Id="rId55" Type="http://schemas.openxmlformats.org/officeDocument/2006/relationships/hyperlink" Target="https://doi.org/10.1596/1813-9450-8783" TargetMode="External"/><Relationship Id="rId56" Type="http://schemas.openxmlformats.org/officeDocument/2006/relationships/hyperlink" Target="https://doi.org/10.1525/phr.2012.81.1.133" TargetMode="External"/><Relationship Id="rId57" Type="http://schemas.openxmlformats.org/officeDocument/2006/relationships/hyperlink" Target="https://doi.org/10.1080/07075332.2012.697330" TargetMode="External"/><Relationship Id="rId58" Type="http://schemas.openxmlformats.org/officeDocument/2006/relationships/hyperlink" Target="https://doi.org/10.1017/9781009589208.006" TargetMode="External"/><Relationship Id="rId59" Type="http://schemas.openxmlformats.org/officeDocument/2006/relationships/hyperlink" Target="https://doi.org/10.24057/2071-9388-2012-5-4-4-16" TargetMode="External"/><Relationship Id="rId60" Type="http://schemas.openxmlformats.org/officeDocument/2006/relationships/hyperlink" Target="https://doi.org/10.1134/s1995425513040094" TargetMode="External"/><Relationship Id="rId61" Type="http://schemas.openxmlformats.org/officeDocument/2006/relationships/hyperlink" Target="https://doi.org/10.22004/ag.econ.162027" TargetMode="External"/><Relationship Id="rId62" Type="http://schemas.openxmlformats.org/officeDocument/2006/relationships/hyperlink" Target="https://doi.org/10.3389/fpls.2026.1880606" TargetMode="External"/><Relationship Id="rId63" Type="http://schemas.openxmlformats.org/officeDocument/2006/relationships/hyperlink" Target="https://doi.org/10.1007/s40309-016-0102-4" TargetMode="External"/><Relationship Id="rId64" Type="http://schemas.openxmlformats.org/officeDocument/2006/relationships/hyperlink" Target="https://doi.org/10.18154/rwth-2019-01287" TargetMode="External"/><Relationship Id="rId65" Type="http://schemas.openxmlformats.org/officeDocument/2006/relationships/hyperlink" Target="https://doi.org/10.1108/fs-07-2014-0050" TargetMode="External"/><Relationship Id="rId66" Type="http://schemas.openxmlformats.org/officeDocument/2006/relationships/hyperlink" Target="https://doi.org/10.2139/ssrn.5098985" TargetMode="External"/><Relationship Id="rId67" Type="http://schemas.openxmlformats.org/officeDocument/2006/relationships/hyperlink" Target="https://doi.org/10.1016/j.enpol.2016.10.023" TargetMode="External"/><Relationship Id="rId68" Type="http://schemas.openxmlformats.org/officeDocument/2006/relationships/hyperlink" Target="https://doi.org/10.1051/978-2-7598-2250-8-009" TargetMode="External"/><Relationship Id="rId69" Type="http://schemas.openxmlformats.org/officeDocument/2006/relationships/hyperlink" Target="https://doi.org/10.1002/fut.21780" TargetMode="External"/><Relationship Id="rId70" Type="http://schemas.openxmlformats.org/officeDocument/2006/relationships/hyperlink" Target="https://doi.org/10.17016/2380-7172.4161" TargetMode="External"/><Relationship Id="rId71" Type="http://schemas.openxmlformats.org/officeDocument/2006/relationships/hyperlink" Target="https://doi.org/10.3390/su9101789" TargetMode="External"/><Relationship Id="rId72" Type="http://schemas.openxmlformats.org/officeDocument/2006/relationships/hyperlink" Target="https://doi.org/10.1016/j.jclepro.2022.132330" TargetMode="External"/><Relationship Id="rId73" Type="http://schemas.openxmlformats.org/officeDocument/2006/relationships/hyperlink" Target="https://doi.org/10.2478/lasr-2019-0007" TargetMode="External"/><Relationship Id="rId74" Type="http://schemas.openxmlformats.org/officeDocument/2006/relationships/hyperlink" Target="https://doi.org/10.5281/zenodo.21428676" TargetMode="External"/><Relationship Id="rId75" Type="http://schemas.openxmlformats.org/officeDocument/2006/relationships/hyperlink" Target="https://doi.org/10.3390/atmos11111222" TargetMode="External"/><Relationship Id="rId76" Type="http://schemas.openxmlformats.org/officeDocument/2006/relationships/hyperlink" Target="https://doi.org/10.3389/fpubh.2020.563358" TargetMode="External"/><Relationship Id="rId77" Type="http://schemas.openxmlformats.org/officeDocument/2006/relationships/hyperlink" Target="https://doi.org/10.1186/s41118-020-00113-3" TargetMode="External"/><Relationship Id="rId78" Type="http://schemas.openxmlformats.org/officeDocument/2006/relationships/hyperlink" Target="https://doi.org/10.24235/edueksos.v13i02.17448" TargetMode="External"/><Relationship Id="rId79" Type="http://schemas.openxmlformats.org/officeDocument/2006/relationships/hyperlink" Target="https://doi.org/10.46676/ij-fanres.v3i2.65" TargetMode="External"/><Relationship Id="rId80" Type="http://schemas.openxmlformats.org/officeDocument/2006/relationships/hyperlink" Target="https://doi.org/10.51886/1999-740x_2026_2_83" TargetMode="External"/><Relationship Id="rId81" Type="http://schemas.openxmlformats.org/officeDocument/2006/relationships/hyperlink" Target="https://doi.org/10.5380/nocsi.v0i5.93600" TargetMode="External"/><Relationship Id="rId82" Type="http://schemas.openxmlformats.org/officeDocument/2006/relationships/hyperlink" Target="https://doi.org/10.24857/edgsa.978-65-84610-97-2_2" TargetMode="External"/><Relationship Id="rId83" Type="http://schemas.openxmlformats.org/officeDocument/2006/relationships/hyperlink" Target="https://doi.org/10.1016/j.jclepro.2023.137867" TargetMode="External"/><Relationship Id="rId84" Type="http://schemas.openxmlformats.org/officeDocument/2006/relationships/hyperlink" Target="https://doi.org/10.66021/pakmcr1487" TargetMode="External"/><Relationship Id="rId85" Type="http://schemas.openxmlformats.org/officeDocument/2006/relationships/hyperlink" Target="https://doi.org/10.1038/s41597-023-02532-1" TargetMode="External"/><Relationship Id="rId86" Type="http://schemas.openxmlformats.org/officeDocument/2006/relationships/hyperlink" Target="https://doi.org/10.3390/socsci15040258" TargetMode="External"/><Relationship Id="rId87" Type="http://schemas.openxmlformats.org/officeDocument/2006/relationships/hyperlink" Target="https://doi.org/10.1016/j.futures.2023.103179" TargetMode="External"/><Relationship Id="rId88" Type="http://schemas.openxmlformats.org/officeDocument/2006/relationships/hyperlink" Target="https://doi.org/10.5281/zenodo.227440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