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Possible connections — not checked</w:t>
      </w:r>
    </w:p>
    <w:p>
      <w:r>
        <w:t>Automatically collected claim-to-publication leads. These are NOT verified outcomes or final findings. Some may be irrelevant. Check original sources, scope and later evidence before interpretation.</w:t>
      </w:r>
    </w:p>
    <w:p>
      <w:pPr>
        <w:pStyle w:val="Heading2"/>
      </w:pPr>
      <w:r>
        <w:t>Ageing population and labour productivity in Bulgaria</w:t>
      </w:r>
    </w:p>
    <w:p>
      <w:r>
        <w:t>Original source (2011): https://doi.org/10.5771/1435-2869-2011-4-521</w:t>
      </w:r>
    </w:p>
    <w:p>
      <w:r>
        <w:t>Original wording (abstract; indexed_source_text_not_full_document_verified): Recent literature has shown that it is difficult to ascertain the impact of an ageing population on labour productivity.According to the majority of studies, workforce ageing leads to lower employment and a decline in the professional skills of the employed, so we should expect that it has a negative impact on technological changes and productivity.In this article, we present a review of studies on this issue.After that, an empirical study for Bulgaria is provided using sensitivity tests of long-term projections of labour productivity (to 2050), based on population number and age distribution.A model of the International Labour Organisation (ILO) is applied which allows us to calculate three variants of changing age, number and structure of population, assuming three different rates of improvement in life expectancy -fast, medium and slow.The study confirms that an ageing population has a negative effect on labour productivity.The timeframe is long but, with that limitation in mind, the overall direction of the trend is clear.The article concludes with some policy considerations to help ameliorate the effects of Bulgaria's demographic challenge.</w:t>
      </w:r>
    </w:p>
    <w:p>
      <w:r>
        <w:t>POSSIBLE 2024: Application of DPSIR model to ascertain driving forces and their impacts on the Volta basin — https://doi.org/10.1016/j.heliyon.2024.e38734</w:t>
      </w:r>
    </w:p>
    <w:p>
      <w:r>
        <w:t>Shared claim-specific concepts: literature, ascertain; EU scope visible. This is a provisional connection, not an outcome finding.</w:t>
      </w:r>
    </w:p>
    <w:p>
      <w:r>
        <w:t>Available abstract (not full text): Managing trans-boundary water and its watershed areas is a challenging task. The riparian countries sharing the boundary may have different economic and national goals that can dictate the pressures exerted on water bodies and their catchments areas. The pressure will have dire consequences on the environment, the climate and the sustainability of the Volta River. This paper seeks to apply the Driving Forces-Pressure-State-Impact-Response (DPSIR) framework as a model to ascertain the driving forces and their impacts on the Black and the White sub-basins of the Volta River. The research was carried out through desk study of literature, reports and policies on the Volta basin as well as information from international bodies such as World Bank, United Nations, and European Union among others. The DPSIR framework thus established the state of the ecosystem, pressure exerted, impact and the responses to provide scientific basis for decision-making and address the impacts on the Volta River. The DPSIR framework was focused on Ghana and Burkina Faso due to their large share of the basin. Burkina Faso's share of the Volta basin area is 43 %, whereas, that of Ghana is 41.6 %. The use of DPSIR model will help stakeholders and policy makers in proper decision making. It was therefore recommended that there should be policy regulations to reduce the impact on the environment.</w:t>
      </w:r>
    </w:p>
    <w:p>
      <w:r>
        <w:t>POSSIBLE 2024: Evolution and Impact of Hepatitis A Epidemiology in Europe—Systematic Literature Review of the Last 20 Years — https://doi.org/10.1111/jvh.14030</w:t>
      </w:r>
    </w:p>
    <w:p>
      <w:r>
        <w:t>Shared claim-specific concepts: literature, population; EU scope visible. This is a provisional connection, not an outcome finding.</w:t>
      </w:r>
    </w:p>
    <w:p>
      <w:r>
        <w:t>Available abstract (not full text): While globally hepatitis A (hepA) infections occur in 150 million people annually, European high-income countries now have a low endemicity. However, this results in a more susceptible adult population which is prone to severe illness. To determine current epidemiological characteristics, we performed a systematic literature review to assess the severity of hepA disease in the past two decades in 11 European countries (i.e., Denmark, France, Germany, Greece, Hungary, Italy, the Netherlands, Spain, Sweden, Switzerland and the United Kingdom). Literature search was performed using PubMed and Embase between 1 January 2001 and 14 April 2021. Search terms included the disease (hepA), the 11 selected countries, the term 'outbreaks' and its synonyms, outcomes and terms for hepA virus circulation. In total, 43 records reported data on hepA disease outcomes. Hospitalisation rates varied between the countries, with annual rates exceeding 50% at least once in seven countries. The lowest hospitalisation rates were reported for the Netherlands (≤ 32%) and the highest for Greece (≥ 81%). Liver failure, haemorrhagic and other complications were rarely reported, and case fatality rates were low (0.03%-0.26%). Our findings are consistent with the trends observed globally. This systematic literature review highlights the need to increase awareness of hepA risks and to strengthen prevention strat</w:t>
      </w:r>
    </w:p>
    <w:p>
      <w:r>
        <w:t>POSSIBLE 2023: Education and Fertility: A Review of Recent Research in Europe — https://doi.org/10.12765/cpos-2023-21</w:t>
      </w:r>
    </w:p>
    <w:p>
      <w:r>
        <w:t>Shared claim-specific concepts: recent, literature; EU scope visible. This is a provisional connection, not an outcome finding.</w:t>
      </w:r>
    </w:p>
    <w:p>
      <w:r>
        <w:t>Available abstract (not full text): This paper reviews research on education and childbearing in Europe over the last decade. Early demographic research attributed declining fertility in advanced economies in the second half of the twentieth century to increasing female educational levels. The twenty-first century has witnessed further increases in educational attainment coupled with trend reversals in fertility. The relationship between education and fertility has become more complex, sparking renewed interest in the interplay between the two life domains. We examine how educational enrolment and attainment influence individuals’ fertility behaviour – both fertility timing and level – and how the relationship between education and fertility is shaped by contextual factors such as family policies, macroeconomic shocks, and normative changes in gender attitudes. We also summarise the recent literature on educational gradients in male fertility and review methodological developments to address issues of self-selection and unmeasured heterogeneity in the study of education and fertility. Finally, this paper identifies and discusses challenges and important areas for future research.</w:t>
      </w:r>
    </w:p>
    <w:p>
      <w:r>
        <w:t>POSSIBLE 2023: Human and environmental impacts of nanoparticles: a scoping review of the current literature — https://doi.org/10.1186/s12889-023-15958-4</w:t>
      </w:r>
    </w:p>
    <w:p>
      <w:r>
        <w:t>Shared claim-specific concepts: literature, majority; EU scope not established. This is a provisional connection, not an outcome finding.</w:t>
      </w:r>
    </w:p>
    <w:p>
      <w:r>
        <w:t>Available abstract (not full text): Use of nanoparticles have established benefits in a wide range of applications, however, the effects of exposure to nanoparticles on health and the environmental risks associated with the production and use of nanoparticles are less well-established. The present study addresses this gap in knowledge by examining, through a scoping review of the current literature, the effects of nanoparticles on human health and the environment. We searched relevant databases including Medline, Web of Science, ScienceDirect, Scopus, CINAHL, Embase, and SAGE journals, as well as Google, Google Scholar, and grey literature from June 2021 to July 2021. After removing duplicate articles, the title and abstracts of 1495 articles were first screened followed by the full-texts of 249 studies, and this resulted in the inclusion of 117 studies in the presented review.In this contribution we conclude that while nanoparticles offer distinct benefits in a range of applications, they pose significant threats to humans and the environment. Using several biological models and biomarkers, the included studies revealed the toxic effects of nanoparticles (mainly zinc oxide, silicon dioxide, titanium dioxide, silver, and carbon nanotubes) to include cell death, production of oxidative stress, DNA damage, apoptosis, and induction of inflammatory responses. Most of the included studies (65.81%) investigated inorgan</w:t>
      </w:r>
    </w:p>
    <w:p>
      <w:r>
        <w:t>POSSIBLE 2022: The Impact of Patient Support Programs in Europe: A Systematic Literature Review — https://doi.org/10.1007/s40271-022-00582-y</w:t>
      </w:r>
    </w:p>
    <w:p>
      <w:r>
        <w:t>Shared claim-specific concepts: recent, literature; EU scope visible. This is a provisional connection, not an outcome finding.</w:t>
      </w:r>
    </w:p>
    <w:p>
      <w:r>
        <w:t>Available abstract (not full text): BACKGROUND AND OBJECTIVE: Patient support programs aim to provide solutions beyond the medication itself, by enhancing treatment adherence, improving clinical outcomes, elevating patient experience, and/or increasing quality of life. As patient support programs increasingly play an important role in assisting patients, numerous observational studies and pragmatic trials designed to evaluate their impact on healthcare have been conducted in recent years. This review aims to characterize these studies. METHODS: A systematic literature review, supplemented by a broad search of gray literature, was conducted following PRISMA (Preferred Reporting Items for Systematic Reviews and Meta-Analyses) and Cochrane recommendations. Observational studies and pragmatic trials conducted in Europe to evaluate the impact of patient support programs, published in English or Spanish between 17/03/2010 and 17/03/2020, were reviewed. Two patient support program definitions were applied starting with Ganguli et al.'s broad approach, followed by the European Medicines Agency definition, narrowed to Marketing Authorization Holders organized systems and their medicines. The quality of publications was assessed using the STROBE (Strengthening the Reporting of Observational Studies in Epidemiology) statement 22-item checklist. RESULTS: Of the 49 identified studies following the Ganguli et al. definition, 2</w:t>
      </w:r>
    </w:p>
    <w:p>
      <w:r>
        <w:t>POSSIBLE 2021: The Evolutionarily Mismatched Impact of Urbanization on Insomnia Symptoms: a Short Review of the Recent Literature — https://doi.org/10.1007/s11920-021-01239-7</w:t>
      </w:r>
    </w:p>
    <w:p>
      <w:r>
        <w:t>Shared claim-specific concepts: recent, literature, majority; EU scope not established. This is a provisional connection, not an outcome finding.</w:t>
      </w:r>
    </w:p>
    <w:p>
      <w:r>
        <w:t>Available abstract (not full text): PURPOSE OF REVIEW: For the most part of human existence, individuals have been living a rural lifestyle in a rural setting. However, such sleep-conducive conditions have largely been transformed dramatically by urbanization within a relatively short span of time in recent history, and the resulting evolved mechanisms-environment mismatch is theorized to bring about an increased risk for insomnia symptoms. This brief review of the recent literature is designed to evaluate the veracity of this proposition. RECENT FINDINGS: The majority of recent findings have suggested that most proposed evolutionarily mismatched urban factors are indeed related to the presence of insomnia symptoms. However, there is a general paucity of longitudinal evidence (and for some other factors, a lack of enough evidence of any kind). Although there is a preponderance of recent findings indicating a link between evolutionarily mismatched urban phenomena and insomnia symptoms, more longitudinal data are needed before any causative conclusion can be drawn.</w:t>
      </w:r>
    </w:p>
    <w:p>
      <w:r>
        <w:t>POSSIBLE 2020: Migrants’ and refugees’ health status and healthcare in Europe: a scoping literature review — https://doi.org/10.1186/s12889-020-08749-8</w:t>
      </w:r>
    </w:p>
    <w:p>
      <w:r>
        <w:t>Shared claim-specific concepts: literature, difficult, population; EU scope visible. This is a provisional connection, not an outcome finding.</w:t>
      </w:r>
    </w:p>
    <w:p>
      <w:r>
        <w:t>Available abstract (not full text): BACKGROUND: There is increasing attention paid to the arrival of migrants from outwith the EU region to the European countries. Healthcare that is universally and equably accessible needs to be provided for these migrants throughout the range of national contexts and in response to complex and evolving individual needs. It is important to look at the evidence available on provision and access to healthcare for migrants to identify barriers to accessing healthcare and better plan necessary changes. METHODS: This review scoped 77 papers from nine European countries (Austria, Cyprus, France, Germany, Greece, Italy, Malta, Spain, and Sweden) in English and in country-specific languages in order to provide an overview of migrants' access to healthcare. The review aims at identifying what is known about access to healthcare as well as healthcare use of migrants and refugees in the EU member states. The evidence included documents from 2011 onwards. RESULTS: The literature reviewed confirms that despite the aspiration to ensure equality of access to healthcare, there is evidence of persistent inequalities between migrants and non-migrants in access to healthcare services. The evidence shows unmet healthcare needs, especially when it comes to mental and dental health as well as the existence of legal barriers in accessing healthcare. Language and communication barriers, overuse of emer</w:t>
      </w:r>
    </w:p>
    <w:p>
      <w:r>
        <w:t>POSSIBLE 2018: The European media discourse on immigration and its effects: a literature review — https://doi.org/10.1080/23808985.2018.1497452</w:t>
      </w:r>
    </w:p>
    <w:p>
      <w:r>
        <w:t>Shared claim-specific concepts: literature, shown, leads, negative; EU scope visible. This is a provisional connection, not an outcome finding.</w:t>
      </w:r>
    </w:p>
    <w:p>
      <w:r>
        <w:t>Available abstract (not full text): To understand public opinion about immigration in Europe, one has to understand the media’s role in it. We present a literature review on research on media discourse on immigration and their effects. Despite differences in the way immigration and migrant groups are represented in European media, we can observe common patterns. Migrants are generally under-represented and shown as delinquents or criminals. Although, media framing differs based on specific migrant groups the discourse is focusing on, immigration coverage is often negative and conflict-centred. Frequent exposure to such media messages leads to negative attitudes towards migration, may activate stereotypical cognitions of migrant groups, and even influence vote choice. In addition to discussing these issues in depth, the present review also focuses on comparative findings.</w:t>
      </w:r>
    </w:p>
    <w:p>
      <w:r>
        <w:t>POSSIBLE 2018: Oral Health Impact Profile in Celiac Patients: Analysis of Recent Findings in a Literature Review — https://doi.org/10.1155/2018/7848735</w:t>
      </w:r>
    </w:p>
    <w:p>
      <w:r>
        <w:t>Shared claim-specific concepts: recent, literature, according; EU scope not established. This is a provisional connection, not an outcome finding.</w:t>
      </w:r>
    </w:p>
    <w:p>
      <w:r>
        <w:t>Available abstract (not full text): The increment of recording atypical oral manifestation in young patients often related to systematic disease is today a challenge for the therapists. Sometime, the presence of tooth enamel lesions correlated with soft tissue lesions is just a symptom or a trigger sign for a deeper and undetermined disease. Recently, high impact has been developed toward the influence of the diet as a controlled and modifiable factor in patients affected by celiac pathologies. The celiac disease (CD) is a chronic immune-mediated disorder triggered by the ingestion of gluten that appears in genetically predisposed patients. Gluten is a proline-rich and glutamine-rich protein present in wheat (gliadin), barley (hordein), and rye (secalin). The gluten-free diet (GFD) seems to better influence the oral health status of the CD patients. For this reason, the main objective of this revision was to analyze the international data highlighting the relationship between celiac patients and the oral health impact profile. A comprehensive review of the current literature was conducted according to the PRISMA guidelines by accessing the NCBI PubMed database. Authors conducted the search of articles in the English language published from 2008 to 2018. The first analysis with filters recorded 67 manuscripts accordingly with the selected keywords. Finally, a number of 16 appropriate published papers were comprehe</w:t>
      </w:r>
    </w:p>
    <w:p>
      <w:r>
        <w:t>POSSIBLE 2017: Hyperemesis Gravidarum: A Review of Recent Literature — https://doi.org/10.1159/000477853</w:t>
      </w:r>
    </w:p>
    <w:p>
      <w:r>
        <w:t>Shared claim-specific concepts: recent, literature, difficult; EU scope not established. This is a provisional connection, not an outcome finding.</w:t>
      </w:r>
    </w:p>
    <w:p>
      <w:r>
        <w:t>Available abstract (not full text): BACKGROUND: In the United States, hyperemesis gravidarum is the most common cause of hospitalization during the first half of pregnancy and is second only to preterm labor for hospitalizations in pregnancy overall. In approximately 0.3-3% of pregnancies, hyperemesis gravidarum is prevalent and this percentage varies on account of different diagnostic criteria and ethnic variation in study populations. Despite extensive research in this field, the mechanism of the disease is largely unknown. Although cases of mortality are rare, hyperemesis gravidarum has been associated with both maternal and fetal morbidity. The current mainstay of treatment relies heavily on supportive measures until improvement of symptoms as part of the natural course of hyperemesis gravidarum, which occurs with progression of gestational age. However, studies have reported that severe, refractory disease manifestations have led to serious adverse outcomes and to termination of pregnancies. SUMMARY: Despite extensive research in the field, the pathogenesis of hyperemesis gravidarum remains unknown. Recent literature points to a genetic predisposition in addition to previously studied factors such as infectious, psychiatric, and hormonal contributions. Maternal morbidity is common and includes psychological effects, financial burden, clinical complications from nutritional deficiencies, gastrointestinal trau</w:t>
      </w:r>
    </w:p>
    <w:p>
      <w:r>
        <w:t>POSSIBLE 2017: Personality Traits of Entrepreneurs: A Review of Recent Literature — https://doi.org/10.3386/w24097</w:t>
      </w:r>
    </w:p>
    <w:p>
      <w:r>
        <w:t>Shared claim-specific concepts: recent, literature, population; EU scope not established. This is a provisional connection, not an outcome finding.</w:t>
      </w:r>
    </w:p>
    <w:p>
      <w:r>
        <w:t>Available abstract (not full text): We review the extensive literature since 2000 on the personality traits of entrepreneurs.We first consider baseline personality traits like the Big-5 model, self-efficacy and innovativeness, locus of control, and the need for achievement.We then consider risk attitudes and goals and aspirations of entrepreneurs.Within each area, we separate studies by the type of entrepreneurial behavior considered: entry into entrepreneurship, performance outcomes, and exit from entrepreneurship.This literature shows common results and many points of disagreement, reflective of the heterogeneous nature of entrepreneurship.We label studies by the type of entrepreneurial population studied (e.g., Main Street vs. those backed by venture capital) to identify interesting and irreducible parts of this heterogeneity, while also identifying places where we anticipate future large-scale research and the growing depth of the field are likely to clarify matters.There are many areas, like how firm performance connects to entrepreneurial personality, that are woefully understudied and ripe for major advances if the appropriate crossdisciplinary ingredients are assembled.</w:t>
      </w:r>
    </w:p>
    <w:p>
      <w:r>
        <w:t>POSSIBLE 2017: Hazardous waste and health impact: a systematic review of the scientific literature — https://doi.org/10.1186/s12940-017-0311-8</w:t>
      </w:r>
    </w:p>
    <w:p>
      <w:r>
        <w:t>Shared claim-specific concepts: literature, population; EU scope visible. This is a provisional connection, not an outcome finding.</w:t>
      </w:r>
    </w:p>
    <w:p>
      <w:r>
        <w:t>Available abstract (not full text): Waste is part of the agenda of the European Environment and Health Process and included among the topics of the Sixth Ministerial Conference on Environment and Health. Disposal and management of hazardous waste are worldwide challenges. We performed a systematic review to evaluate the evidence of the health impact of hazardous waste exposure, applying transparent and a priori defined methods. The following five steps, based on pre-defined systematic criteria, were applied. 1. Specify the research question, in terms of "Population-Exposure-Comparators-Outcomes" (PECO). POPULATION: people living near hazardous waste sites; Exposure: exposure to hazardous waste; Comparators: all comparators; Outcomes: all diseases/health disorders. 2. Carry out the literature search, in Medline and EMBASE. 3. Select studies for inclusion: original epidemiological studies, published between 1999 and 2015, on populations residentially exposed to hazardous waste. 4. Assess the quality of selected studies, taking into account study design, exposure and outcome assessment, confounding control. 5. Rate the confidence in the body of evidence for each outcome taking into account the reliability of each study, the strength of the association and concordance of results.Fifty-seven papers of epidemiological investigations on the health status of populations living near hazardous waste sites were selected for</w:t>
      </w:r>
    </w:p>
    <w:p>
      <w:pPr>
        <w:pStyle w:val="Heading2"/>
      </w:pPr>
      <w:r>
        <w:t>Current and Future Issues in BPM Research: A European Perspective from the ERCIS Meeting 2010</w:t>
      </w:r>
    </w:p>
    <w:p>
      <w:r>
        <w:t>Original source (2011): https://doi.org/10.17705/1cais.02825</w:t>
      </w:r>
    </w:p>
    <w:p>
      <w:r>
        <w:t>Original wording (abstract; indexed_source_text_not_full_document_verified): This article reflects on a workshop on current and future issues in BPM research that was conducted by seventeen IS researchers from eight European countries as part of the 2010 annual meeting of the European Research Center for Information Systems (ERCIS). The results of this workshop suggest that BPM research can meaningfully contribute to investigating a broad variety of phenomena that are of interest to IS scholars, ranging from rather technical (e.g., the implementation of software architectures) to managerial (e.g., the impact of organizational culture on process performance).</w:t>
      </w:r>
    </w:p>
    <w:p>
      <w:r>
        <w:t>POSSIBLE 2026: The BPM Goal Hexagon: an update to the Devil’s Quadrangle — https://doi.org/10.1007/s11301-026-00586-0</w:t>
      </w:r>
    </w:p>
    <w:p>
      <w:r>
        <w:t>Shared claim-specific concepts: current, bpm, suggest; EU scope not established. This is a provisional connection, not an outcome finding.</w:t>
      </w:r>
    </w:p>
    <w:p>
      <w:r>
        <w:t>Available abstract (not full text): Abstract Business process management has traditionally focused on time, cost, quality, and flexibility as goal dimensions, known as the Devil’s Quadrangle. In light of novel emerging factors such as employee values, environmental, social, and governance requirements, as well as conscious business models, this paper investigates whether the traditional four goal dimensions of the Devil’s Quadrangle remain suitable today. Based on an extensive analysis of recent business process redesign projects published in case studies, we offer a timely assessment of the adequacy of the Devil’s Quadrangle in current times and suggest extensions to the concept, incorporating insights from a secondary study on robotic process automation. More specifically, we extend the Devil’s Quadrangle to the BPM Goal Hexagon by retaining time, quality, and flexibility, but refocusing cost to a more balanced economics dimension and adding a people dimension as well as an environment dimension. The BPM Goal Hexagon offers scholars and practitioners a timely tool to revisit the real-world relevance and sufficiency of their business process management project goals, methods, and tools.</w:t>
      </w:r>
    </w:p>
    <w:p>
      <w:r>
        <w:t>POSSIBLE 2026: Benefits and Challenges in BPM Adoption in Organizations: An Analysis of Industry Professionals’ Perceptions — https://doi.org/10.5753/sbsi.2026.248288</w:t>
      </w:r>
    </w:p>
    <w:p>
      <w:r>
        <w:t>Shared claim-specific concepts: bpm, conducted, information, systems; EU scope not established. This is a provisional connection, not an outcome finding.</w:t>
      </w:r>
    </w:p>
    <w:p>
      <w:r>
        <w:t>Available abstract (not full text): Research Context: Business Process Management (BPM) is as a key strategic approach to enhance organizational efficiency and align operations with digital transformation. In the face of constant technological evolution and market demands, organizations are challenged to integrate BPM within increasingly dynamic environments, where people, processes, and technologies must operate in synergy. Scientific and/or Practical Problem: It is crucial to understand how BPM is currently perceived, implemented, and evaluated in organizations, considering both the consolidated theoretical foundations of recent decades and the new practices that are emerging in organizational contexts. Proposed Solution and/or Analysis: This study investigates the critical success factors, main challenges, and perceived benefits of BPM adoption, based on the perspectives of professionals from both public and private organizations. The focus is on the organizational domain and the interplay between people, processes, and technologies. Related IS Theory: The research is grounded in the Socio-technical Systems Theory, which views organizations as interdependent systems composed of social and technical subsystems. This theory supports the analysis of how BPM effectiveness depends on the balanced integration of human, technological, and organizational elements. Research Method: A survey was conducted with 62 profes</w:t>
      </w:r>
    </w:p>
    <w:p>
      <w:r>
        <w:t>POSSIBLE 2025: Farmers’ and stakeholders’ views on the adoption of agroecological practices. Results from participatory workshops in European countries — https://doi.org/10.12688/openreseurope.20536.1</w:t>
      </w:r>
    </w:p>
    <w:p>
      <w:r>
        <w:t>Shared claim-specific concepts: article, conducted, countries, information; EU scope visible. This is a provisional connection, not an outcome finding.</w:t>
      </w:r>
    </w:p>
    <w:p>
      <w:r>
        <w:t>Available abstract (not full text): Agroecological practices are prerequisites for many agri-environmental schemes in Europe and are increasingly being integrated into the EU's Common Agricultural Policy. Against the backdrop of recent protests by farmers in many European countries, with various grievances based on perceived tightening of environmental regulations and economic pressures, these protests raise questions about how farmer perceptions might hinder the adoption of agroecological practices. A series of workshops with farmers, farm advisors, and other supply chain stakeholders were organized between 2022 and 2023 in different European countries to facilitate knowledge sharing and to learn farmers' and stakeholders' views. Exercises were conducted during the workshops to explore the extent to which farmers were adopting practices that directly or indirectly promote biodiversity. The third and final phase aimed to better understand the motivations, needs, and potential trade-offs associated with implementing different agroecological practices, as well as their combination to promote functional biodiversity. The active participation of stakeholders was beneficial for collectively reflecting on relevant agroecological transition pathways, particularly farmers rational for implementation of agroecological practices for more sustainable agriculture in Europe. The results highlighted that participants had relat</w:t>
      </w:r>
    </w:p>
    <w:p>
      <w:r>
        <w:t>POSSIBLE 2025: Adapting BPM lifecycle to increased sustainability of processes: An approach for including sustainability in the BPM Lifecycle — https://openalex.org/W7112653822</w:t>
      </w:r>
    </w:p>
    <w:p>
      <w:r>
        <w:t>Shared claim-specific concepts: bpm, information, systems; EU scope not established. This is a provisional connection, not an outcome finding.</w:t>
      </w:r>
    </w:p>
    <w:p>
      <w:r>
        <w:t>Available abstract (not full text): Dissertation presented as the partial requirement for obtaining a Master's degree in Information Management, specialization in Information Systems Management</w:t>
      </w:r>
    </w:p>
    <w:p>
      <w:r>
        <w:t>POSSIBLE 2024: Consensus report of the second European Consensus Workshop on Education in Periodontology — https://doi.org/10.1111/jcpe.13983</w:t>
      </w:r>
    </w:p>
    <w:p>
      <w:r>
        <w:t>Shared claim-specific concepts: workshop, meeting, information; EU scope visible. This is a provisional connection, not an outcome finding.</w:t>
      </w:r>
    </w:p>
    <w:p>
      <w:r>
        <w:t>Available abstract (not full text): BACKGROUND: The second European Consensus Workshop on Education in Periodontology was commissioned, as a result of the changes in the discipline and the advances in educational methods/technology, to update the 2009 Consensus report of the first European Federation of Periodontology (EFP) Workshop on the same topic that was jointly authored by the Association for Dental Education in Europe. AIM: To identify and propose changes necessary in periodontal education at three levels, namely undergraduate, specialist and continuing professional development (CPD), with respect to learning outcomes, competencies and methods of learning/training and evaluation. METHODS: Four working groups (WGs) considered education in periodontology at the undergraduate, specialist and CPD levels, and education methods. Four commissioned position papers, one per WG, summarized the relevant information. Workshop participants gathered at an in-person consensus meeting to discuss the individual reviews, and this consensus report summarizes the conclusions. RESULTS: The learning outcomes for undergraduate and specialist education in periodontology have been updated, and a proposal for learning outcomes for CPD programmes was made. Learning/teaching/training and evaluation methods were proposed for each level of education, which included face-to-face, virtual and blended learning methods. CONCLUSION: Develop</w:t>
      </w:r>
    </w:p>
    <w:p>
      <w:r>
        <w:t>POSSIBLE 2023: 10.M. Workshop: Community Health Practice and Research in Europe: Up front and centre! — https://doi.org/10.1093/eurpub/ckad160.674</w:t>
      </w:r>
    </w:p>
    <w:p>
      <w:r>
        <w:t>Shared claim-specific concepts: workshop, researchers, countries, systems; EU scope visible. This is a provisional connection, not an outcome finding.</w:t>
      </w:r>
    </w:p>
    <w:p>
      <w:r>
        <w:t>Available abstract (not full text): Abstract Community Health (CH) is one of the most undervalued and poorly funded domains of action of health systems. Although evidence is strong on its contribution to population health, well-being and equity, national and regional health systems, and to some extent public health institutions, tend to pay little attention to its contribution. Community health encompasses the application of health promotion principles and strategies at the local level to improve equity and resilience of a community. It does so through three fundamental means: cross-sectoral collaborations, community involvement/engagement, and community health workers (CHW). It engages and works with communities in a culturally appropriate manner in order to implement effective strategies. In community health, capacity building is essential. The aim of this workshop is three-fold: 1) to generate a discussion among participants on the state of practice and research, 2) to reflect on strategies to strengthen and improve community health in Europe and, 3) to enhance the visibility of this domain within the ranks of the European Public Health Association (EUPHA). The workshop will provide a space for reflections and discussions. Each of our speakers, who are researchers from 5 different countries (Belgium, Czech Republic, Germany, Spain, and UK), will have 5 minutes to provide some elements of answers to the two fol</w:t>
      </w:r>
    </w:p>
    <w:p>
      <w:r>
        <w:t>POSSIBLE 2023: Application of the BPM-Kraljic Model to Improve Supply Management in an Agroindustrial MSE — https://doi.org/10.46254/na07.20220457</w:t>
      </w:r>
    </w:p>
    <w:p>
      <w:r>
        <w:t>Shared claim-specific concepts: article, bpm, information; EU scope not established. This is a provisional connection, not an outcome finding.</w:t>
      </w:r>
    </w:p>
    <w:p>
      <w:r>
        <w:t>Available abstract (not full text): Studies present insufficient information on working models within the purchasing area using the BPM tool for agroindustrial companies, especially in Latin America, which aim to improve performance and optimize the processes of an organization.For this reason, the need for this research arises.This scientific article presents a model to improve supply management.The BPM methodology was proposed to standardize internal processes and the Kraljic matrix, a tool used in purchasing management to classify materials and optimize purchase planning.The level of compliance within the purchasing area did not satisfy the established policies, reaching only 55.96% and generating a gap in the savings goal of approximately S/.500,000.This causes an imbalance at the administrative and operational level due to a lack of general standardization of the processes.This triggered problems at the macro level, such as lack of communication between areas, inefficient operations, and economic losses.The proposal that was carried out covers different areas, such as a harmonization within the administrative processes to reduce time variability and logistics focused on the efficient management of purchases and classification of materials.It was possible to prove the hypothesis; it is feasible to reach 85% of the target scope by restructuring the areas and generating strategies.The simulation could prove the</w:t>
      </w:r>
    </w:p>
    <w:p>
      <w:r>
        <w:t>POSSIBLE 2023: Blockchain and Business Process Management (BPM) Synergy: A Comparative Analysis of Modeling Approaches — https://doi.org/10.3390/info15010009</w:t>
      </w:r>
    </w:p>
    <w:p>
      <w:r>
        <w:t>Shared claim-specific concepts: bpm, part, investigating; EU scope not established. This is a provisional connection, not an outcome finding.</w:t>
      </w:r>
    </w:p>
    <w:p>
      <w:r>
        <w:t>Available abstract (not full text): Blockchain technology has become a powerful disruptive force that upends established ideas in several industries. A fascinating point of convergence is that of blockchain technology and Business Process Management (BPM), where the distributed and immutable characteristics of blockchain promise to completely transform the modeling, implementation, and oversight of business processes. This symbiosis offers a singular chance to develop corporate processes that are more efficient, safe, and transparent. Nevertheless, to guarantee that blockchain-specific components are accurately represented in these processes, modeling techniques need to be critically examined as part of integrating blockchain into BPM. This literature review examines blockchain-BPM integration using different modeling methodologies. Though well-established, traditional BPM approaches may need help with blockchain-specific aspects. Blockchain-oriented modeling includes smart contracts and decentralized consensus. Hybrid models with blockchain and traditional elements are popular. Adaptability, model clarity, and blockchain integration are evaluated in the analysis. This literature review aims to improve corporate processes’ efficiency, security, and transparency by investigating how to model the integration of blockchain and BPM better.</w:t>
      </w:r>
    </w:p>
    <w:p>
      <w:r>
        <w:t>POSSIBLE 2022: Tackling the translational challenges of multi-omics research in the realm of European personalised medicine: A workshop report — https://doi.org/10.3389/fmolb.2022.974799</w:t>
      </w:r>
    </w:p>
    <w:p>
      <w:r>
        <w:t>Shared claim-specific concepts: article, reflects, workshop; EU scope visible. This is a provisional connection, not an outcome finding.</w:t>
      </w:r>
    </w:p>
    <w:p>
      <w:r>
        <w:t>Available abstract (not full text): Personalised medicine (PM) presents a great opportunity to improve the future of individualised healthcare. Recent advances in -omics technologies have led to unprecedented efforts characterising the biology and molecular mechanisms that underlie the development and progression of a wide array of complex human diseases, supporting further development of PM. This article reflects the outcome of the 2021 EATRIS-Plus Multi-omics Stakeholder Group workshop organised to 1) outline a global overview of common promises and challenges that key European stakeholders are facing in the field of multi-omics research, 2) assess the potential of new technologies, such as artificial intelligence (AI), and 3) establish an initial dialogue between key initiatives in this space. Our focus is on the alignment of agendas of European initiatives in multi-omics research and the centrality of patients in designing solutions that have the potential to advance PM in long-term healthcare strategies.</w:t>
      </w:r>
    </w:p>
    <w:p>
      <w:r>
        <w:t>POSSIBLE 2022: The influence of BPM-supportive culture and individual process orientation on process conformance — https://doi.org/10.1108/bpmj-08-2020-0363</w:t>
      </w:r>
    </w:p>
    <w:p>
      <w:r>
        <w:t>Shared claim-specific concepts: bpm, conducted, contribute; EU scope not established. This is a provisional connection, not an outcome finding.</w:t>
      </w:r>
    </w:p>
    <w:p>
      <w:r>
        <w:t>Available abstract (not full text): Purpose Organizations rely on their business processes to achieve their business objectives and ensure compliance with relevant laws and regulations. Hence, conformance to process specifications is essential to remain compliant. Various factors influence an organization’s ability to operate in conformance to its process specifications. This study investigates the influence of business process management (BPM)-supportive culture and individual process orientation on process conformance. Design/methodology/approach A construct was created for perceived process conformance and two constructs were selected from literature to represent BPM-supportive culture and individual process orientation. A survey was conducted with 178 employees of a global enterprise, hypotheses were formulated, and a statistical model was constructed and validated. Findings Results pinpoint the key role of the BPM-supportive culture in influencing both individual process orientation and conformance. Individual process orientation is also found to have a significant influence on process conformance. The findings provide additional evidence for the significance of human-related aspects of BPM in achieving BPM success. Originality/value The contributions of this paper help better understand how soft factors of BPM contribute to employees’ process conformance drawing on and relating concepts of BPM and organizat</w:t>
      </w:r>
    </w:p>
    <w:p>
      <w:r>
        <w:t>POSSIBLE 2019: Workshop: Developing interventions to improve migrants’ healthcare access in Europe — https://doi.org/10.1093/eurpub/ckz185.089</w:t>
      </w:r>
    </w:p>
    <w:p>
      <w:r>
        <w:t>Shared claim-specific concepts: workshop, countries, information; EU scope visible. This is a provisional connection, not an outcome finding.</w:t>
      </w:r>
    </w:p>
    <w:p>
      <w:r>
        <w:t>Available abstract (not full text): Abstract The proposed workshop “Developing interventions to improve migrants’ healthcare access in Europe” will present interim results from the cross-disciplinary MyHealth project to discuss them and the early lessons with policymakers, academics, funders and practitioners in the area of migration and health. MyHealth (Models to engage migrants and refugees in their health, through community empowerment and learning alliance) is a three-year project coordinated by Fundació Hospital de la Vall d’Hebrón, Institut de Recerca (VHIR), Barcelona, Spain and implemented by a consortium of eleven partners with the CHAFEA support in the framework of the 3rd EU Health Program. The goal of the MyHealth project is to improve the healthcare access of vulnerable migrants and refugees (VMR) newly arrived to Europe, by developing and implementing models based on the knowhow of a European multidisciplinary network. This project strongly relies on a participatory approach to ensure a beneficiary-centred approach in implementing a number of interconnected objectives. To ensure a meaningful involvement of the community we applied the Metaplan technique to identify health concerns and needs perceived by vulnerable immigrants and also by professionals from diverse backgrounds working with them at the four partnering sites (Barcelona, Berlin, Brno and Athens). The Metaplan© is a qualitative technique</w:t>
      </w:r>
    </w:p>
    <w:p>
      <w:r>
        <w:t>POSSIBLE 2019: Green BPM as a Business-Oriented Discipline: A Systematic Mapping Study and Research Agenda — https://doi.org/10.3390/su11154200</w:t>
      </w:r>
    </w:p>
    <w:p>
      <w:r>
        <w:t>Shared claim-specific concepts: article, bpm, researchers; EU scope not established. This is a provisional connection, not an outcome finding.</w:t>
      </w:r>
    </w:p>
    <w:p>
      <w:r>
        <w:t>Available abstract (not full text): Green Business Process Management (BPM) focuses on the ecological impact of business processes. This article provides a systematic mapping study of Green BPM literature to evaluate five attributes of the Green BPM research area: (1) scope, (2) disciplines, (3) accountability, (4) researchers and (5) quality control. The results allow developing a research agenda to enhance Green BPM as an approach for environmentally sustainable organizations. We rely on a dichotomy of knowledge production to present research directives relevant for both academics and practitioners in order to help close a rigor-relevance gap. The involvement of both communities is crucial for Green BPM to advance as an applied, business-oriented discipline.</w:t>
      </w:r>
    </w:p>
    <w:p>
      <w:pPr>
        <w:pStyle w:val="Heading2"/>
      </w:pPr>
      <w:r>
        <w:t>Demographic projections of future pharmaceutical consumption in the Netherlands</w:t>
      </w:r>
    </w:p>
    <w:p>
      <w:r>
        <w:t>Original source (2011): https://doi.org/10.2166/wst.2011.120</w:t>
      </w:r>
    </w:p>
    <w:p>
      <w:r>
        <w:t>Original wording (abstract; indexed_source_text_not_full_document_verified): Over the next few decades, many Western European countries will undergo a large demographic transformation introduced by the retirement of the “baby boomers” and the possibility of striking increases in longevity.</w:t>
      </w:r>
    </w:p>
    <w:p>
      <w:r>
        <w:t>POSSIBLE 2023: Anticipated Developments in OTT Platforms Over the Next Few Years — https://doi.org/10.14445/22312803/ijctt-v71i5p112</w:t>
      </w:r>
    </w:p>
    <w:p>
      <w:r>
        <w:t>Shared claim-specific concepts: over, next, few; EU scope not established. This is a provisional connection, not an outcome finding.</w:t>
      </w:r>
    </w:p>
    <w:p>
      <w:r>
        <w:t>Available abstract (not full text): The OTT platform industry is continuously evolving and advancing, and there are a number of anticipated developments expected over the next few years. The use of subscription-based models will continue to grow as it provides a reliable source of revenue for platforms and a predictable cost for consumers. Furthermore, the rise of ad-supported models is expected to gain traction as a way to increase accessibility to content and cater to those who cannot afford a subscription. The development of new technologies, such as virtual and augmented reality, will offer a new dimension to the viewing experience and may become a key differentiator for platforms. Additionally, advancements in streaming quality and device capabilities are expected to enhance the overall viewing experience and attract more consumers. This article aims to explore the anticipated advancements in OTT platforms, including the emergence of new players in the market, changes in content distribution and monetization strategies, the role of artificial intelligence and machine learning, and the impact of 5G technology. These developments will shape the future of the entertainment industry and have far-reaching implications for consumers, content creators, and distributors alike. Understanding these anticipated changes is crucial for anyone with a stake in the entertainment industry to stay ahead of the curve and remai</w:t>
      </w:r>
    </w:p>
    <w:p>
      <w:r>
        <w:t>POSSIBLE 2023: Circulation dampened heat extremes intensification over the Midwest USA and amplified over Western Europe — https://doi.org/10.1038/s43247-023-01096-7</w:t>
      </w:r>
    </w:p>
    <w:p>
      <w:r>
        <w:t>Shared claim-specific concepts: over, decades, western; EU scope visible. This is a provisional connection, not an outcome finding.</w:t>
      </w:r>
    </w:p>
    <w:p>
      <w:r>
        <w:t>Available abstract (not full text): Abstract Globally heat extremes have intensified in recent decades. However, while Western Europe shows a remarkably strong intensification of heat extremes, the Midwest United States experienced only weak warming of warmest nighttime and even a weak decrease in the intensity of daytime heat extremes since 1979. Here, we show that for daytime heat extremes in the Midwest United States atmospheric circulation induced ~1 °C cooling since 1979, reversing the thermodynamic warming trend. The observed circulation-induced trend is outside the multi-model range and the overall trend at the very low end of it. In Western Europe circulation greatly amplified warming by ~1 °C, accounting to one third of observed trend. The observed circulation- and thermodynamic-induced trends, as well as the total observed trends are at the high end of the model range in Western Europe. Understanding whether the strong circulation-induced trends are externally forced or unforced internal variability remains key to constrain future trends in heat extremes.</w:t>
      </w:r>
    </w:p>
    <w:p>
      <w:r>
        <w:t>POSSIBLE 2021: Compound precipitation and wind extremes over Europe and their relationship to extratropical cyclones — https://doi.org/10.1016/j.wace.2021.100342</w:t>
      </w:r>
    </w:p>
    <w:p>
      <w:r>
        <w:t>Shared claim-specific concepts: over, few, many, western, large, increases; EU scope visible. This is a provisional connection, not an outcome finding.</w:t>
      </w:r>
    </w:p>
    <w:p>
      <w:r>
        <w:t>Available abstract (not full text): Extratropical cyclones and their associated extreme precipitation and winds can have a severe impact on society and the co-occurrence between the two extremes is important when assessing risk. In this study the extremal dependency measure, χ, is used to quantify the co-occurrence of extreme precipitation and wind gusts, and is investigated at individual grid points and spatially over Europe. Results using three observational datasets and a higher spatial and temporal resolution version of ERA5 than previously used confirm previous studies. Over Europe high co-occurrence is found over western coasts and low co-occurrence is found over eastern coasts. All datasets have qualitatively similar spatial patterns over most regions of Europe excluding some regions of high topography where ERA5 χ values are much larger. ERA5 represents the timings of daily extreme co-occurring events well, compared to observations. The differences in precipitation accumulation timescales are also accounted for by considering hourly, 6, 24 and 48 hourly co-occurrence. In a few regions co-occurrence changes with longer accumulations, indicating the different speeds and sizes of weather systems affecting these regions. χ in most regions has little increase by allowing a 24 h lag and lead between the precipitation and wind, with a few exceptions where χ is increased by up to 24%. Regions with the larger of t</w:t>
      </w:r>
    </w:p>
    <w:p>
      <w:r>
        <w:t>POSSIBLE 2021: Modelling Eurasian lynx populations in Western Europe: What prospects for the next 50 years? — https://doi.org/10.1101/2021.10.22.465393</w:t>
      </w:r>
    </w:p>
    <w:p>
      <w:r>
        <w:t>Shared claim-specific concepts: over, next, western, large; EU scope visible. This is a provisional connection, not an outcome finding.</w:t>
      </w:r>
    </w:p>
    <w:p>
      <w:r>
        <w:t xml:space="preserve">Available abstract (not full text): Abstract Persistence of populations may be uncertain for large carnivore species, especially for those established in human-dominated landscapes. Here, we studied the Eurasian lynx in Western Europe established in the Upper Rhine meta-population (i.e., Jura, Vosges-Palatinian and Black Forest populations) and the Alpine population. These populations are currently considered endangered or critically endangered due to high anthropogenic mortality, small population size and low genetic diversity, and isolation. We assessed lynx persistence over a 50-year time horizon by implementing a spatially-explicit individual-based model, while accounting for road mortality and habitat selection. Forecasts showed a steady growth rapidly reaching a more stable phase for the Alpine and Jura populations, and a more heterogeneous positive growth with less precision for the Vosges-Palatinian and Black Forest populations. Exchanges of individuals between populations were limited, the Jura population playing the role of a crossroad. Finally, the persistence of lynx in Western Europe seems likely on a large scale over the next 50 years. Indeed, simulations showed high female occupancy as well as average lynx density over the core areas of the four studied populations. Nevertheless, these results should be interpreted with the model limitations in mind, concerning the absence of movement barriers and </w:t>
      </w:r>
    </w:p>
    <w:p>
      <w:r>
        <w:t>POSSIBLE 2020: An annotated checklist of bryophytes of Europe, Macaronesia and Cyprus — https://doi.org/10.1080/03736687.2019.1694329</w:t>
      </w:r>
    </w:p>
    <w:p>
      <w:r>
        <w:t>Shared claim-specific concepts: over, next, few, many; EU scope visible. This is a provisional connection, not an outcome finding.</w:t>
      </w:r>
    </w:p>
    <w:p>
      <w:r>
        <w:t>Available abstract (not full text): Introduction.Following on from work on the European bryophyte Red List, the taxonomically and nomenclaturally updated spreadsheets used for that project have been expanded into a new checklist for the bryophytes of Europe.Methods.A steering group of ten European bryologists was convened, and over the course of a year, the spreadsheets were compared with previous European checklists, and all changes noted.Recent literature was searched extensively.A taxonomic system was agreed, and the advice and expertise of many European bryologists sought.Key results.A new European checklist of bryophytes, comprising hornworts, liverworts and mosses, is presented.Fifteen new combinations are proposed.Conclusions.This checklist provides a snapshot of the current European bryophyte flora in 2019.It will already be out-of-date on publication, and further research, particularly molecular work, can be expected to result in many more changes over the next few years.</w:t>
      </w:r>
    </w:p>
    <w:p>
      <w:r>
        <w:t>POSSIBLE 2020: Diverging hydrological drought traits over Europe with global warming — https://doi.org/10.5194/hess-24-5919-2020</w:t>
      </w:r>
    </w:p>
    <w:p>
      <w:r>
        <w:t>Shared claim-specific concepts: over, many, large; EU scope visible. This is a provisional connection, not an outcome finding.</w:t>
      </w:r>
    </w:p>
    <w:p>
      <w:r>
        <w:t>Available abstract (not full text): Abstract. Climate change is anticipated to alter the demand and supply of water at the earth's surface. Since many societal impacts from a lack of water happen under drought conditions, it is important to understand how droughts may develop with climate change. This study shows how hydrological droughts will change across Europe with increasing global warming levels (GWL of 1.5, 2 and 3 K above preindustrial temperature). We employ a low-flow index derived from river discharge simulations of a spatially-distributed physically-based hydrological and water use model, which was forced with a large ensemble of regional climate model projections under a high emissions (RCP8.5) and moderate mitigation (RCP4.5) pathway. Different traits of drought, including severity, duration and frequency, were investigated. The projected changes in these treats identify four main sub-regions in Europe that are characterized by somehow homogeneous and distinct behaviours with a clear southwest/northeast contrast. The Mediterranean and Boreal sub-regions of Europe show strong, but opposite, changes at all three GWLs, with the former area mostly interested by stronger droughts (with larger differences at 3 K) while the latter sees a reduction in droughts. In the Atlantic and Continental sub-regions the changes are less marked and characterized by a larger uncertainty, especially at the 1.5 and 2 K GWL</w:t>
      </w:r>
    </w:p>
    <w:p>
      <w:r>
        <w:t>POSSIBLE 2019: Explaining carsharing supply across Western European cities — https://doi.org/10.1080/15568318.2018.1542756</w:t>
      </w:r>
    </w:p>
    <w:p>
      <w:r>
        <w:t>Shared claim-specific concepts: many, western, countries, striking; EU scope visible. This is a provisional connection, not an outcome finding.</w:t>
      </w:r>
    </w:p>
    <w:p>
      <w:r>
        <w:t>Available abstract (not full text): Carsharing can partially replace private ownership of vehicles with a service that allows the use of a car temporarily on an on-demand basis. In this study, we analyze the supply of shared cars across 177 cities in five Western European countries (Belgium, France, Germany, The Netherlands, United Kingdom), while distinguishing between the traditional business-to-consumer (B2C) business model and the more recent peer-to-peer (P2P) business model. The data on carsharing supply is individually collected of all operators in the respective cities, while data of city characteristics is drawn from international or national statistical databases. We explain carsharing supply using comparable data of 14 explanatory variables. The results indicate that carsharing is popular in cities with a high educational level or university presence and, in the B2C case, with many green party votes. Furthermore, carsharing is less popular in cities with many car commuters. Particularly striking are the differences between countries, with peer-to-peer carsharing being especially popular in French cities and business-to-consumer carsharing in Germany. We reflect on the findings in the light of (sustainable) mobility policy options.</w:t>
      </w:r>
    </w:p>
    <w:p>
      <w:r>
        <w:t>POSSIBLE 2017: Prevalence of Age-Related Macular Degeneration in Europe — https://doi.org/10.1016/j.ophtha.2017.05.035</w:t>
      </w:r>
    </w:p>
    <w:p>
      <w:r>
        <w:t>Shared claim-specific concepts: over, next, decades, countries; EU scope visible. This is a provisional connection, not an outcome finding.</w:t>
      </w:r>
    </w:p>
    <w:p>
      <w:r>
        <w:t>Available abstract (not full text): PURPOSE: Age-related macular degeneration (AMD) is a frequent, complex disorder in elderly of European ancestry. Risk profiles and treatment options have changed considerably over the years, which may have affected disease prevalence and outcome. We determined the prevalence of early and late AMD in Europe from 1990 to 2013 using the European Eye Epidemiology (E3) consortium, and made projections for the future. DESIGN: Meta-analysis of prevalence data. PARTICIPANTS: A total of 42 080 individuals 40 years of age and older participating in 14 population-based cohorts from 10 countries in Europe. METHODS: AMD was diagnosed based on fundus photographs using the Rotterdam Classification. Prevalence of early and late AMD was calculated using random-effects meta-analysis stratified for age, birth cohort, gender, geographic region, and time period of the study. Best-corrected visual acuity (BCVA) was compared between late AMD subtypes; geographic atrophy (GA) and choroidal neovascularization (CNV). MAIN OUTCOME MEASURES: Prevalence of early and late AMD, BCVA, and number of AMD cases. RESULTS: Prevalence of early AMD increased from 3.5% (95% confidence interval [CI] 2.1%-5.0%) in those aged 55-59 years to 17.6% (95% CI 13.6%-21.5%) in those aged ≥85 years; for late AMD these figures were 0.1% (95% CI 0.04%-0.3%) and 9.8% (95% CI 6.3%-13.3%), respectively. We observed a decreasing prev</w:t>
      </w:r>
    </w:p>
    <w:p>
      <w:r>
        <w:t>POSSIBLE 2017: Children’s health in Europe - challenges for the next decades — https://doi.org/10.1093/heapro/dax023</w:t>
      </w:r>
    </w:p>
    <w:p>
      <w:r>
        <w:t>Shared claim-specific concepts: over, next, decades, many; EU scope visible. This is a provisional connection, not an outcome finding.</w:t>
      </w:r>
    </w:p>
    <w:p>
      <w:r>
        <w:t>Available abstract (not full text): These reflections from a Child Public Health perspective underline the dramatic changes in children's conditions in Europe over this last century, including a considerable improvement in health. However, we still face problems, disturbing facts and alarming signs. There are important gaps in our knowledge about essential areas of children's health panorama and about particularly vulnerable sub-groups of children, which are less healthy, less well cared for and not enjoying the good conditions of life. We also see an evident lack of the child's perspective, implying acknowledgement and action on the views of the children themselves. Moreover, in spite of the generally improving standard, societal inequity in economy, education and health is increasing and the recent economic crises have struck hard on families with children. There are many good signs implying continuing progress for children and their conditions and also an improved respect for their rights. But with the increasing segregation in our societies, the risk is imminent that the health problems will increase, and that some groups get left far behind. Although actions on this field are primarily a political responsibility, people working with children can make a difference. There are also many examples of projects, particularly on local levels, where professionals act to promote children's health, prevent their ill-he</w:t>
      </w:r>
    </w:p>
    <w:p>
      <w:r>
        <w:t>POSSIBLE 2016: Understanding the rapid summer warming and changes in temperature extremes since the mid-1990s over Western Europe — https://doi.org/10.1007/s00382-016-3158-8</w:t>
      </w:r>
    </w:p>
    <w:p>
      <w:r>
        <w:t>Shared claim-specific concepts: over, next, few, decades, many, western; EU scope visible. This is a provisional connection, not an outcome finding.</w:t>
      </w:r>
    </w:p>
    <w:p>
      <w:r>
        <w:t>Available abstract (not full text): Analysis of observations indicates that there was a rapid increase in summer (June–August) mean surface air temperature (SAT) since the mid-1990s over Western Europe. Accompanying this rapid warming are significant increases in summer mean daily maximum temperature, daily minimum temperature, annual hottest day temperature and warmest night temperature, and an increase in frequency of summer days and tropical nights, while the change in the diurnal temperature range (DTR) is small. This study focuses on understanding causes of the rapid summer warming and associated temperature extreme changes. A set of experiments using the atmospheric component of the state-of-the-art HadGEM3 global climate model have been carried out to quantify relative roles of changes in sea surface temperature (SST)/sea ice extent (SIE), anthropogenic greenhouse gases (GHGs), and anthropogenic aerosols (AAer). Results indicate that the model forced by changes in all forcings reproduces many of the observed changes since the mid-1990s over Western Europe. Changes in SST/SIE explain 62.2 ± 13.0 % of the area averaged seasonal mean warming signal over Western Europe, with the remaining 37.8 ± 13.6 % of the warming explained by the direct impact of changes in GHGs and AAer. Results further indicate that the direct impact of the reduction of AAer precursor emissions over Europe, mainly through aerosol-radiati</w:t>
      </w:r>
    </w:p>
    <w:p>
      <w:r>
        <w:t>POSSIBLE 2016: An overview of the progress and challenges of peatland restoration in Western Europe — https://doi.org/10.1111/rec.12415</w:t>
      </w:r>
    </w:p>
    <w:p>
      <w:r>
        <w:t>Shared claim-specific concepts: over, many, western, countries; EU scope visible. This is a provisional connection, not an outcome finding.</w:t>
      </w:r>
    </w:p>
    <w:p>
      <w:r>
        <w:t>Available abstract (not full text): Abstract Peatlands are the most efficient terrestrial carbon store on Earth, and deliver multiple other ecosystem services including climate regulation, water purification, preservation of ecological and archaeological records, etc. Disturbed and degraded peatlands do not provide the same ecological services and thus bear a significant cost to society. Because this cost may be alleviated by appropriate restoration measures, money is being invested in peatland restoration projects around the world. Here, we review over 25 years of restoration in Western Europe. First, we provide an overview of techniques used in different contexts and evaluate the status of the evidence base for restoration outcomes. Between 1993 and 2015, the EU‐LIFE nature programme alone invested 167.6M € in 80 projects, which aim to restore over 913 km2 of peatland habitats in Western European countries, mostly in protected sites part of the Natura 2000 EU network. This represents less than 2% of the total remaining area of peatlands in these countries, most of which have been impacted to some degree by anthropogenic disturbances. Potential for restoration should be considered in nondesignated sites. We reviewed a number of case studies covering a range of restoration approaches used in different parts of Western Europe. We found that published evidence of restoration progress was limited to specific sites/a</w:t>
      </w:r>
    </w:p>
    <w:p>
      <w:r>
        <w:t>POSSIBLE 2015: Pneumococcal serotype evolution in Western Europe — https://doi.org/10.1186/s12879-015-1147-x</w:t>
      </w:r>
    </w:p>
    <w:p>
      <w:r>
        <w:t>Shared claim-specific concepts: many, western, countries, introduced; EU scope visible. This is a provisional connection, not an outcome finding.</w:t>
      </w:r>
    </w:p>
    <w:p>
      <w:r>
        <w:t xml:space="preserve">Available abstract (not full text): BACKGROUND: Pneumococcal diseases remain a leading cause of vaccine-preventable death worldwide in children &lt;5 years of age. The seven-valent pneumococcal conjugate vaccine (PCV7) was approved in 2001 in Europe and was introduced into the national immunization programmes of many European countries from 2006-2008. In 2009, higher-valent PCVs (PCV10 and PCV13) became available, replacing PCV7 from 2009-2011. This article describes the evolution of vaccine and non-vaccine serotypes causing invasive pneumococcal disease (IPD) following the introduction of PCVs in Western Europe, based on data from publicly-available medical publications and national surveillance systems from January 2010 to May 2015. DISCUSSION: In countries with high vaccine uptake, 5-7 years after PCV7 introduction IPD caused by vaccine serotypes has almost disappeared in children. Non-PCV7 serotypes have emerged, particularly serotypes 19A, 7 F, 3 and 1. A rapid and significant reduction of the additional serotypes included in higher-valent vaccines has been observed consistently following the introduction of these vaccines. A significant and rapid decline of serotypes 19A, 7 F, 1 and 6A in both vaccine-eligible and older age groups has been observed in countries using PCV13 while serotype 19A and 3 has increased in countries using PCV10. Serotype 3 has become one of the most prevalent serotypes in adults, with </w:t>
      </w:r>
    </w:p>
    <w:p>
      <w:pPr>
        <w:pStyle w:val="Heading2"/>
      </w:pPr>
      <w:r>
        <w:t>Developments in Energy use for Transport in 27 European Union Countries through 2030</w:t>
      </w:r>
    </w:p>
    <w:p>
      <w:r>
        <w:t>Original source (2011): https://doi.org/10.3141/2252-05</w:t>
      </w:r>
    </w:p>
    <w:p>
      <w:r>
        <w:t>Original wording (abstract; indexed_source_text_not_full_document_verified): As a consequence, GHG emissions by transport will decline 12% by 2030 compared with 2005; in the reference scenario in the same period, emissions are expected to grow 17%. The model suite applied in iTREN-2030 comprises POLES (prospective outlook on long-term energy systems), a simulation model for development of long-term (2050) energy supply-and-demand scenarios; TREMOVE; ASTRA (assesment of transport strategies); and TRANS-TOOLS.</w:t>
      </w:r>
    </w:p>
    <w:p>
      <w:r>
        <w:t>POSSIBLE 2026: Forecast reconciliation of agricultural GHG emissions in Europe with fuzzy clustering — https://doi.org/10.1007/s10479-026-07363-y</w:t>
      </w:r>
    </w:p>
    <w:p>
      <w:r>
        <w:t>Shared claim-specific concepts: ghg, emissions, compared; EU scope visible. This is a provisional connection, not an outcome finding.</w:t>
      </w:r>
    </w:p>
    <w:p>
      <w:r>
        <w:t>Available abstract (not full text): Abstract We propose a novel statistical procedure which combines forecasting reconciliation techniques and unsupervised clustering algorithms to forecast annual greenhouse gases emissions at the territorial level. Specifically, we aim at predicting future emissions from the agricultural sector for Europe by aggregating bottom-level regional forecasts to the national and continental levels. Fuzzy clustering is used to define aggregations of bottom and middle-level series into clusters based on the similarity of emissions patterns; then, the fuzzy hierarchies are combined with the original administrative aggregation structure to improve the prediction accuracy of forecasting models. Empirical results show that fuzzy clustering aggregation, by leveraging uncertainty compared to crisp approaches, enhances forecast reconciliation accuracy at all levels of the hierarchy. Our approach offers a scalable solution to enhance forecast accuracy and reliability, particularly for short time series characterized by complex hierarchical structures.</w:t>
      </w:r>
    </w:p>
    <w:p>
      <w:r>
        <w:t>POSSIBLE 2025: Crayfish and Climate: how invasive species amplify aquatic GHG emissions — https://doi.org/10.5194/egusphere-egu25-6790</w:t>
      </w:r>
    </w:p>
    <w:p>
      <w:r>
        <w:t>Shared claim-specific concepts: ghg, emissions, decline, compared, systems; EU scope visible. This is a provisional connection, not an outcome finding.</w:t>
      </w:r>
    </w:p>
    <w:p>
      <w:r>
        <w:t>Available abstract (not full text): Since their introduction to European waters in the 1970s, the invasive red swamp crayfish Procambarus clarkii has rapidly expanded due to traits such as rapid reproduction, high environmental tolerance, and opportunistic feeding. P. clarkii can significantly transform freshwater ecosystems, causing extensive reduction in plant coverage, predation on amphibians and other macroinvertebrates, and a decline in native crayfish species populations. In many systems, the expansion of P. clarkii has lead to a dramatic reduction in plant coverage at specific sites. While numerous studies have explored how climate change influences the spread of invasive species, little is known about the reverse relationship: how invasive species contribute to climate change.As a country with an extensive network of freshwater ecosystems, the Netherlands provides an excellent opportunity to study the effect of invasive species on aquatic GHG emissions. More than half of the Dutch territory has already been invaded by crayfish, with detrimental effects on submerged plants. Additionally, ditches serve as significant hotspots for GHG emissions, with estimates suggesting they are responsible for approximately 10–16% of the Dutch national annual CH4 emissions. These estimates are largely based on measurements in ditches dominated by submerged plants, which have been shown to mitigate CH₄ emissions through mec</w:t>
      </w:r>
    </w:p>
    <w:p>
      <w:r>
        <w:t>POSSIBLE 2022: Literature review on policies to mitigate GHG emissions for cement and concrete — https://doi.org/10.1016/j.resconrec.2022.106278</w:t>
      </w:r>
    </w:p>
    <w:p>
      <w:r>
        <w:t>Shared claim-specific concepts: ghg, emissions, energy; EU scope not established. This is a provisional connection, not an outcome finding.</w:t>
      </w:r>
    </w:p>
    <w:p>
      <w:r>
        <w:t>Available abstract (not full text): The production and use of cement, the binding agent in concrete, emits seven percent of global greenhouse gas emissions annually. Achieving climate change mitigation targets, such as those proposed in the Paris Agreement, requires emission reductions from this sector. The body of research on technical solutions to cement and concrete decarbonization is wide, but technical measures must be coupled with effective policy to achieve decarbonization. This study undertakes a review of previous research on cement and concrete decarbonization and analyzes the most common proposed measures along their level of action, involved stakeholders, barriers to implementation, and coordinated policy actions. The review yielded 37 studies from peer-reviewed articles and technical reports. Analysis showed consensus on the primary technical measures to decarbonize. For cement production, measures include (I) improved energy efficiency, (II) fuel switching, (III) carbon capture utilization and storage, and (IV) reduction of the clinker-to-cement ratio. For concrete production and its end-uses common proposed measures include (V) alternative binders, (VI) material and construction efficiency and (VII) CO2 uptake by concrete. While the literature shows an emerging consensus around technical solutions for decarbonization, there was less clarity about preferred policy solutions and key barriers. The rev</w:t>
      </w:r>
    </w:p>
    <w:p>
      <w:r>
        <w:t>POSSIBLE 2022: The GHGs Evolution of LULUCF Sector at the European Union (EU-27 + UK): Romania Case Study — https://doi.org/10.3390/atmos13101638</w:t>
      </w:r>
    </w:p>
    <w:p>
      <w:r>
        <w:t>Shared claim-specific concepts: ghg, emissions, compared, reference, period; EU scope visible. This is a provisional connection, not an outcome finding.</w:t>
      </w:r>
    </w:p>
    <w:p>
      <w:r>
        <w:t>Available abstract (not full text): Mitigating climate change is a challenge that urgently needs to be addressed, as it has an increasing impact on the planet. According to the latest reports, global CO2 emissions must be neutralized by 2050 in order to limit the rise in temperature to 1.5 °C. This work presents the evolution of Land Use, Land Use Change and Forestry (LULUCF) greenhouse gas (GHG) emissions/removals at the EU-27 + UK level for the 1990–2019 time period, as well as LULUCF emissions/removals forecasts for Romania up to 2040. The results revealed a 23% reduction in GHG emissions for the EU-27 + UK in 2019 compared to 1990. Romania’s yearly average of GHG emissions/removals was 28,000 kt CO2 eq., representing roughly 9.7% of the EU’s annual average. In terms of projections for Romania, the only scenario that will not be in the target set by the new LULUCF Regulation is WEM (Reference Scenario/With Existing Measures), in which net GHG removals will be reduced by approximately 218 kt CO2 eq., or 0.9 percent, in 2030 compared to the reference year; in 2040 compared to 1989, the trend will be accentuated both in absolute values, with a decrease of over 3000 kt CO2 eq., and in relative values of 12%.</w:t>
      </w:r>
    </w:p>
    <w:p>
      <w:r>
        <w:t>POSSIBLE 2021: S26 An assessment of short-acting β2-agonist (SABA) use and subsequent greenhouse gas (GHG) emissions in five European countries and the consequence of their potential overuse for asthma in the UK — https://doi.org/10.1136/thorax-2020-btsabstracts.32</w:t>
      </w:r>
    </w:p>
    <w:p>
      <w:r>
        <w:t>Shared claim-specific concepts: consequence, ghg, emissions, compared, reference, period; EU scope visible. This is a provisional connection, not an outcome finding.</w:t>
      </w:r>
    </w:p>
    <w:p>
      <w:r>
        <w:t>Available abstract (not full text): Introduction The SABA Use IN Asthma (SABINA) programme associates SABA overuse (prescription of ≥3 canisters per year versus 0–2) with increased risk of exacerbations and asthma-related healthcare utilisation1; with this overuse common across Europe.2 In parallel, the environmental impact of inhaler choice receives attention but is often focussed on preventers. We analysed the volume of SABA use and its GHG emissions versus total inhaler devices and compared the U.K. with other European countries. Next, we calculated the annual volume and GHG emissions from SABA overuse in asthma in the U.K. using the SABINA U.K. study data. Methods Inhaler use was calculated using sales data obtained from life science analytics company IQVIA™ over 12 months to September 2019. Data were compared by dose, preventing confounding from device actuation count differences. SABA overuse volume in asthma i.e. sum of prescribing ≥3 prescriptions in 12 months, was extracted from Clinical Practice Research Datalink GOLD as part of SABINA U.K. (≥12 years, current asthma diagnosis, any severity, 12 month period between 2007–2019). GHG emissions of inhaler devices were estimated using published and internal AstraZeneca data on their full life cycle. Results SABA represents the majority of inhaler use and of GHG emissions in the U.K. and its neighbours (table 1). However, U.K. SABA use and GHG emissions per c</w:t>
      </w:r>
    </w:p>
    <w:p>
      <w:r>
        <w:t>POSSIBLE 2021: Perceptions of GHG emissions and renewable energy sources in Europe, Australia and the USA — https://doi.org/10.1007/s11356-021-15935-7</w:t>
      </w:r>
    </w:p>
    <w:p>
      <w:r>
        <w:t>Shared claim-specific concepts: ghg, emissions, energy; EU scope visible. This is a provisional connection, not an outcome finding.</w:t>
      </w:r>
    </w:p>
    <w:p>
      <w:r>
        <w:t>Available abstract (not full text): Unavailable</w:t>
      </w:r>
    </w:p>
    <w:p>
      <w:r>
        <w:t>POSSIBLE 2021: Assessment of the Dependence of GHG Emissions on the Support and Taxes in the EU Countries — https://doi.org/10.3390/su13147650</w:t>
      </w:r>
    </w:p>
    <w:p>
      <w:r>
        <w:t>Shared claim-specific concepts: ghg, emissions, compared, applied, energy; EU scope visible. This is a provisional connection, not an outcome finding.</w:t>
      </w:r>
    </w:p>
    <w:p>
      <w:r>
        <w:t>Available abstract (not full text): The reduction of GHG emissions is one of the priorities of the EU countries. The majority of studies show that financial support and environmental taxes are one of the most effective measures for the mitigation of the negative consequences of climate change. The EU countries employ different environmental support measures and environmental taxes to reduce GHG emissions. There is a shortage of new studies on these measures. The aim of the present study is to compare the effectiveness of the environmental support measures of the EU countries with the effectiveness of environmental taxes in relation to the reduction of GHG emissions. This study is characterized by the broad scope of its data analysis and its systematic approach to the EU’s environmental policy measures. An empirical study was performed for the EU countries with the aim of addressing this research problem and substantiating theoretical insights. A total of 27 EU member states from 2009 to 2018 were selected as research samples. The research is based on a cause-and-effect relationship, where the factors affecting environmental pollution (environmental taxes and subsidies) are the cause, and GHG emissions are the effect. Statistical research methods were used in the empirical study: descriptive statistics, the Shapiro–Wilk test, one-way analysis of variance (ANOVA), simple regression and cluster analysis. The results</w:t>
      </w:r>
    </w:p>
    <w:p>
      <w:r>
        <w:t>POSSIBLE 2021: Greenhouse Gas Emissions and Health in the Countries of the European Union — https://doi.org/10.3389/fpubh.2021.756652</w:t>
      </w:r>
    </w:p>
    <w:p>
      <w:r>
        <w:t>Shared claim-specific concepts: ghg, emissions, compared, expected; EU scope visible. This is a provisional connection, not an outcome finding.</w:t>
      </w:r>
    </w:p>
    <w:p>
      <w:r>
        <w:t>Available abstract (not full text): In the current era of globalization, a clean environment remains a crucial factor for the health of the population. Thus, improving air quality is a major focus of environmental policies, as it affects all aspects of nature, including humans. For these reasons, it is appropriate to take into account the health risks posed by greenhouse gas (GHG) emissions released into the atmosphere. With regard to global GHG emissions, there are concerns about the loss of protection of the ozone layer and it is very likely that climate change can be expected, which multiplies the environmental threat and has potentially serious global consequences. In this regard, it is important to pay increased attention to emissions that enter the atmosphere, which include countless toxic substances. The aim of this study was to examine the associations between selected GHG emissions and the health of the European Union (EU) population represented by disability-adjusted life years (DALYs). This aim was achieved using several analytical procedures (descriptive analysis, correlation analysis, cluster analysis, and panel regression analysis), which included five environmental variables (carbon dioxide (CO2), methane (CH4) in CO2 equivalent, nitrous oxide (N2O) in CO2 equivalent, hydrofluorocarbons (HFC) in CO2 equivalent, sulfur hexafluoride (SF6) in CO2 equivalent) and one health variable (DALYs). An emphasi</w:t>
      </w:r>
    </w:p>
    <w:p>
      <w:r>
        <w:t>POSSIBLE 2021: Economic Analysis of Measures for GHG Emission Reduction — https://doi.org/10.3390/su13041712</w:t>
      </w:r>
    </w:p>
    <w:p>
      <w:r>
        <w:t>Shared claim-specific concepts: ghg, emissions, period, expected, energy; EU scope visible. This is a provisional connection, not an outcome finding.</w:t>
      </w:r>
    </w:p>
    <w:p>
      <w:r>
        <w:t>Available abstract (not full text): The European Union, as a signatory to the Paris Agreement, has approached the action against greenhouse gas (GHG) emissions and climate change quite ambitiously, striving to achieve climate neutrality by 2050. Extension of the European Green Deal policy implementation to the Western Balkans can only increase the chances of the climate neutral agenda. Expectations from Montenegro in the coming period are transposable to other Western Balkans countries as they are urged to start implementing the Paris Agreement by establishing appropriate policies and measures. In this regard, this paper presents the analysis of the financial and economic analysis results of measures to reduce GHG emissions in Montenegro. With this respect, least cost analysis—cost effectiveness analysis and cost–benefit analysis were conducted. The analysis results indicated that due to the thermal power plant reconstruction, increased use of renewable energy sources and measures to increase energy efficiency, the largest reduction in GHG emissions in Montenegro in the next 10 years is expected in the energy sector.</w:t>
      </w:r>
    </w:p>
    <w:p>
      <w:r>
        <w:t>POSSIBLE 2021: The influence of ore grade decline on energy consumption and GhG emissions: The case of gold — https://doi.org/10.1016/j.envdev.2021.100683</w:t>
      </w:r>
    </w:p>
    <w:p>
      <w:r>
        <w:t>Shared claim-specific concepts: ghg, emissions, decline, energy; EU scope not established. This is a provisional connection, not an outcome finding.</w:t>
      </w:r>
    </w:p>
    <w:p>
      <w:r>
        <w:t>Available abstract (not full text): Unavailable</w:t>
      </w:r>
    </w:p>
    <w:p>
      <w:r>
        <w:t>POSSIBLE 2020: GHG Emissions Performance: Alternative Accounting Approaches for the European Union — https://doi.org/10.18267/j.pep.761</w:t>
      </w:r>
    </w:p>
    <w:p>
      <w:r>
        <w:t>Shared claim-specific concepts: ghg, emissions, period; EU scope visible. This is a provisional connection, not an outcome finding.</w:t>
      </w:r>
    </w:p>
    <w:p>
      <w:r>
        <w:t>Available abstract (not full text): This study provides evidence on the probability of adopting an accounting approach for emission allowances and greenhouse gas emissions as a function of each company's GHG emissions performance. The different accounting treatments adopted by national standard-setters and the lack of specific guidance from the International Accounting Standard Board (IASB) allow identification of the use of multiple accounting approaches. Based on a sample of 85 companies registered with the Portuguese, Spanish, and French National Plans of Allocation, data collected from the annual reports were analysed for the period 2008-2014. The results suggest that the probability of adopting omission strategies is positively associated with better GHG emissions performances. It addresses the importance of introducing the transactions of the European Union Emissions Trading Scheme (EU ETS) in financial reporting as the visibility of the costs of polluting is one of the purposes of the market mechanism.</w:t>
      </w:r>
    </w:p>
    <w:p>
      <w:r>
        <w:t>POSSIBLE 2020: How photovoltaics can contribute to GHG emission reductions of 55% in the EU by 2030 — https://doi.org/10.1016/j.rser.2020.109836</w:t>
      </w:r>
    </w:p>
    <w:p>
      <w:r>
        <w:t>Shared claim-specific concepts: ghg, emissions, long-term, energy; EU scope visible. This is a provisional connection, not an outcome finding.</w:t>
      </w:r>
    </w:p>
    <w:p>
      <w:r>
        <w:t>Available abstract (not full text): The new European Commission plans to raise the greenhouse gas (GHG) emissions reduction target from 40% towards 55% by 2030 and make Europe the first climate-neutral continent by 2050. Achieving this will require accelerated energy efficiency measures, deeper electrification of sectors currently consuming conventional fuels and the deployment of more renewables, faster. This opinion article looks specifically at the role of photovoltaics (PV), based on scenarios from the Commission's 2018 long-term strategy (LTS) for energy and climate. To reach a 55% GHG emissions reduction, the cumulative PV capacity in the EU and the UK would need to surge to 455–605 GW, depending on the strategic policy scenario. This implies a compound annual growth rate between 12 and 15% in the timeframe 2020–203 to increase the annual PV market from approximately 16.5 GW in 2019 to 50–80 GW by 2030. Such a volume can provide the basis for reviving the European solar manufacturing industry as well as creating more than 100 000 jobs along the value chain.</w:t>
      </w:r>
    </w:p>
    <w:p>
      <w:pPr>
        <w:pStyle w:val="Heading2"/>
      </w:pPr>
      <w:r>
        <w:t>Fiscal sustainability and the accuracy of macroeconomic forecasts: Do supranational forecasts rather than government forecasts make a difference?</w:t>
      </w:r>
    </w:p>
    <w:p>
      <w:r>
        <w:t>Original source (2011): https://doi.org/10.1504/ijse.2011.039440</w:t>
      </w:r>
    </w:p>
    <w:p>
      <w:r>
        <w:t>Original wording (abstract; indexed_source_text_not_full_document_verified): All in all, since the EC forecast appears to be a good benchmark, in order to reduce the (optimistic) forecast bias, national governments could be forced to justify any large (optimistic) deviation from this benchmark when presenting their respective national Stability and Growth Programmes. Credible fiscal plans that aim at restoring fiscal sustainability will be essential to counter the present increase in debt levels all across Europe.</w:t>
      </w:r>
    </w:p>
    <w:p>
      <w:r>
        <w:t>POSSIBLE 2023: Benchmark Beating with the Increasing Convex Order — https://doi.org/10.48550/arxiv.2311.01692</w:t>
      </w:r>
    </w:p>
    <w:p>
      <w:r>
        <w:t>Shared claim-specific concepts: all, benchmark, order; EU scope not established. This is a provisional connection, not an outcome finding.</w:t>
      </w:r>
    </w:p>
    <w:p>
      <w:r>
        <w:t>Available abstract (not full text): In this paper we model benchmark beating with the increasing convex order (ICX order). The mean constraint in the mean-variance theory of portfolio selection can be regarded as beating a constant. We then investigate the problem of minimizing the variance of a portfolio with ICX order constraints, based on which we also study the problem of beating-performance-variance efficient portfolios. The optimal and efficient portfolios are all worked out in closed form for complete markets.</w:t>
      </w:r>
    </w:p>
    <w:p>
      <w:r>
        <w:t>POSSIBLE 2020: European anthropogenic AFOLU greenhouse gas emissions: a review and benchmark data — https://doi.org/10.5194/essd-12-961-2020</w:t>
      </w:r>
    </w:p>
    <w:p>
      <w:r>
        <w:t>Shared claim-specific concepts: benchmark, order, national, credible; EU scope visible. This is a provisional connection, not an outcome finding.</w:t>
      </w:r>
    </w:p>
    <w:p>
      <w:r>
        <w:t>Available abstract (not full text): Abstract. Emission of greenhouse gases (GHG) and removals from land, including both anthropogenic and natural fluxes, require reliable quantification, along with estimates of their inherent uncertainties, in order to support credible mitigation action under the Paris Agreement. This study provides a state-of-the-art scientific overview of bottom-up anthropogenic emissions data from agriculture, forestry and other land use (AFOLU) in Europe. The data integrates recent AFOLU emission inventories with ecosystem data and land carbon models, covering the European Union (EU28) and summarizes GHG emissions and removals over the period 1990–2016, of relevance for UNFCCC. This compilation of bottom-up estimates of the AFOLU GHG emissions of European national greenhouse gas inventories (NGHGI) with those of land carbon models and observation-based estimates of large-scale GHG fluxes, aims at improving the overall estimates of the GHG balance in Europe with respect to land GHG emissions and removals. Particular effort is devoted to the estimation of uncertainty, its propagation and role in the comparison of different estimates. While NGHGI data for EU28 provides consistent quantification of uncertainty following the established IPCC guidelines, uncertainty in the estimates produced with other methods will need to account for both within model uncertainty and the spread from different mode</w:t>
      </w:r>
    </w:p>
    <w:p>
      <w:r>
        <w:t>POSSIBLE 2019: Europe since 1970 — https://doi.org/10.5040/9781474207775.0093</w:t>
      </w:r>
    </w:p>
    <w:p>
      <w:r>
        <w:t>Shared claim-specific concepts: all, since, national; EU scope visible. This is a provisional connection, not an outcome finding.</w:t>
      </w:r>
    </w:p>
    <w:p>
      <w:r>
        <w:t>Available abstract (not full text): There are forty-six countries in Europe, sharing myriad influences and overlaps. The Second World War only ended in 1945, followed by the Cold War. On one side stood Capitalist Western Europe, protected by America: on the other were Eastern European Warsaw Pact countries under Soviet Communism (plus non-aligned Yugoslavia and Albania). The USA and USSR pursued a deadly nuclear race, as well as proxy conflicts around the globe. Repressed panic and paranoia lasted in Europe until the Berlin Wall ‘fell’ in 1989. In this period, while war in Europe was no longer between nations, internal violence within some countries was rife. The continent also appeared to still be divided between Western Europe and Eastern Europe. However, the European Economic Community (later European Union) gradually incorporated more countries. Following the Communist collapse, Eastern Europe nations joined the EU fold, today containing twenty-eight member countries (although Britain has voted to leave). Europe is the world’s second-largest economic unit after America, containing four of the world’s eight richest nations. There persist, however, considerable discrepancies in wealth, also reflected in relative political strength (e.g. Germany) and weakness (e.g. Greece). Culturally and socially, the decisive change in Europe since 1970 was from post-war state-regulated ‘command economies’ – Social Democracy i</w:t>
      </w:r>
    </w:p>
    <w:p>
      <w:r>
        <w:t>POSSIBLE 2019: The European Union and Democratization in Central and Southeastern Europe since 1989 — https://doi.org/10.1017/9781108752466.021</w:t>
      </w:r>
    </w:p>
    <w:p>
      <w:r>
        <w:t>Shared claim-specific concepts: since, governments, credible; EU scope visible. This is a provisional connection, not an outcome finding.</w:t>
      </w:r>
    </w:p>
    <w:p>
      <w:r>
        <w:t>Available abstract (not full text): A central tool of the European Union (EU) to promote the democratization of post-communist Europe is its accession conditionality: the conditions it attaches to the offer of membership. Yet the EU’s influence on democratization varies across countries, and over time between the periods before and after accession. A key factor limiting the EU’s impact are the domestic costs of complying with the EU’s conditionality: the more governments rely on illiberal and undemocratic means to maintain power, the less influence the EU has. Moreover, even if the domestic adjustment costs are not prohibitively high, for EU conditionality to bring about, or lock in democratic change, the positive and negative incentives relating to the benefits of EU membership have to be credible. The limited credibility of the EU’s incentives, both of the sanctions against backsliding in new members and of the reward of accession for current candidate countries in Southeastern Europe, is a key explanation for the setback in the EU’s democratizing role during this decade.</w:t>
      </w:r>
    </w:p>
    <w:p>
      <w:r>
        <w:t>POSSIBLE 2018: Europe since 1970 — https://doi.org/10.5040/9781474207775.093</w:t>
      </w:r>
    </w:p>
    <w:p>
      <w:r>
        <w:t>Shared claim-specific concepts: all, since, national; EU scope visible. This is a provisional connection, not an outcome finding.</w:t>
      </w:r>
    </w:p>
    <w:p>
      <w:r>
        <w:t>Available abstract (not full text): There are forty-six countries in Europe, sharing myriad influences and overlaps. The Second World War only ended in 1945, followed by the Cold War. On one side stood Capitalist Western Europe, protected by America: on the other were Eastern European Warsaw Pact countries under Soviet Communism (plus non-aligned Yugoslavia and Albania). The USA and USSR pursued a deadly nuclear race, as well as proxy conflicts around the globe. Repressed panic and paranoia lasted in Europe until the Berlin Wall ‘fell’ in 1989. In this period, while war in Europe was no longer between nations, internal violence within some countries was rife. The continent also appeared to still be divided between Western Europe and Eastern Europe. However, the European Economic Community (later European Union) gradually incorporated more countries. Following the Communist collapse, Eastern Europe nations joined the EU fold, today containing twenty-eight member countries (although Britain has voted to leave). Europe is the world’s second-largest economic unit after America, containing four of the world’s eight richest nations. There persist, however, considerable discrepancies in wealth, also reflected in relative political strength (e.g. Germany) and weakness (e.g. Greece). Culturally and socially, the decisive change in Europe since 1970 was from post-war state-regulated ‘command economies’ – Social Democracy i</w:t>
      </w:r>
    </w:p>
    <w:p>
      <w:r>
        <w:t>POSSIBLE 2017: Benchmarking Framework to Encourage Energy Efficiency Investments in South Europe. The Trust EPC South Approach — https://doi.org/10.1016/j.proenv.2017.03.125</w:t>
      </w:r>
    </w:p>
    <w:p>
      <w:r>
        <w:t>Shared claim-specific concepts: all, since, order, national, large; EU scope visible. This is a provisional connection, not an outcome finding.</w:t>
      </w:r>
    </w:p>
    <w:p>
      <w:r>
        <w:t>Available abstract (not full text): The Energy Performance Contracting (EPC) market is still embryonic in South Europe since there are still many barriers: difficult access to financing, limited investors’ confidence in EPC models, scarcity of flagship projects, lack of certification schemes and financing mechanisms, especially for the tertiary sector (hospitality, tourism, healthcare), which presents a huge potential for Energy Efficiency (EE). The Trust EPC South project, funded by Horizon 2020 Research and Innovation Programme, aims to scale up investments in EE solutions in the private tertiary sector in South Europe, by delivering a robust investment standardization and benchmarking framework and a pipeline of bankable EPC projects in 6 countries (Portugal, Spain, France, Italy, Croatia and Greece); its results will eventually be extended to the Balkan. Tailored capacity building activities will allow an easier access to third-party financing, thus unlocking the large tertiary sector EE and Renewable Energy market potential. Initially, national market analyses took place (EPC providers, beneficiaries-clients, and financial institutions) to identify the market potential. National Discussion Platforms were set up to develop the national roadmaps addressing mechanisms for mitigation of policy, legal, and especially financial barriers. An investment standardization and benchmarking framework, built upon an estab</w:t>
      </w:r>
    </w:p>
    <w:p>
      <w:r>
        <w:t>POSSIBLE 2015: Modelling recent and future climatic suitability for fasciolosis in Europe — https://doi.org/10.4081/gh.2015.352</w:t>
      </w:r>
    </w:p>
    <w:p>
      <w:r>
        <w:t>Shared claim-specific concepts: all, since, appears, order, programmes; EU scope visible. This is a provisional connection, not an outcome finding.</w:t>
      </w:r>
    </w:p>
    <w:p>
      <w:r>
        <w:t>Available abstract (not full text): Fasciola hepatica is a parasitic worm responsible for fasciolosis in grazed ruminants in Europe. The free-living stages of this parasite are sensitive to temperature and soil moisture, as are the intermediate snail hosts the parasite depends on for its life-cycle. We used a climate-driven disease model in order to assess the impact of recent and potential future climate changes on the incidence of fasciolosis and to estimate the related uncertainties at the scale of the European landmass. The current climate appears to be highly suitable for fasciolosis throughout the European Union with the exception of some parts of the Mediterranean region. Simulated climatic suitability for fasciolosis significantly increased during the 2000s in central and northwestern Europe, which is consistent with an observed increased in ruminant infections. The simulation showed that recent trends are likely to continue in the future with the estimated pattern of climate change for northern Europe, possibly extending the season suitable for development of the parasite in the environment by up to four months. For southern Europe, the simulated burden of disease may be lower, but the projected climate change will increase the risk during the winter months, since the simulated changes in temperature and moisture support the development of the free-living and intra-molluscan stages between November and M</w:t>
      </w:r>
    </w:p>
    <w:p>
      <w:r>
        <w:t>POSSIBLE 2014: Fauna Europaea – all European animal species on the web — https://doi.org/10.3897/bdj.2.e4034</w:t>
      </w:r>
    </w:p>
    <w:p>
      <w:r>
        <w:t>Shared claim-specific concepts: all, governments, large; EU scope visible. This is a provisional connection, not an outcome finding.</w:t>
      </w:r>
    </w:p>
    <w:p>
      <w:r>
        <w:t>Available abstract (not full text): Fauna Europaea is Europe's main zoological taxonomic index, making the scientific names and distributions of all living, currently known, multicellular, European land and freshwater animals species integrally available in one authoritative database. Fauna Europaea covers about 260,000 taxon names, including 145,000 accepted (sub)species, assembled by a large network of (&gt;400) leading specialists, using advanced electronic tools for data collations with data quality assured through sophisticated validation routines. Fauna Europaea started in 2000 as an EC funded FP5 project and provides a unique taxonomic reference for many user-groups such as scientists, governments, industries, nature conservation communities and educational programs. Fauna Europaea was formally accepted as an INSPIRE standard for Europe, as part of the European Taxonomic Backbone established in PESI. Fauna Europaea provides a public web portal at faunaeur.org with links to other key biodiversity services, is installed as a taxonomic backbone in wide range of biodiversity services and actively contributes to biodiversity informatics innovations in various initiatives and EC programs.</w:t>
      </w:r>
    </w:p>
    <w:p>
      <w:r>
        <w:t>POSSIBLE 2014: Benchmarking Beam Envelope Models for the European Spallation Source — https://doi.org/10.18429/jacow-ipac2014-tupro061</w:t>
      </w:r>
    </w:p>
    <w:p>
      <w:r>
        <w:t>Shared claim-specific concepts: all, since, benchmark, order; EU scope visible. This is a provisional connection, not an outcome finding.</w:t>
      </w:r>
    </w:p>
    <w:p>
      <w:r>
        <w:t>Available abstract (not full text): TraceWin is used at the European Spallation Source (ESS) as the design tool, while fast and accurate on-line models will be needed during the operations. Three models are compared: the ESS Linac Simulator (ELS), TraceWin and the OpenXAL. In all of the benchmarked models, dynamics of each beam-line element is, to the first order, represented by a transfer matrix. Differences in the matrices occur, since different reference frames are used and as well different assumptions about the energy of the particles are made. General transformations of the reference frames will be presented. Using those, the comparison of transfer maps among TraceWin and OpenXAL are given. When the differences between TraceWin and OpenXAL were unclear, the benchmark versus other code, like MAD-X and Dynac was done. The best implementations were combined into a new on-line model implementation Java ELS (or JELS) and at last the comparison of the latter with TraceWin is given.</w:t>
      </w:r>
    </w:p>
    <w:p>
      <w:r>
        <w:t>POSSIBLE 2014: The Multimodal Brain Tumor Image Segmentation Benchmark (BRATS) — https://doi.org/10.1109/tmi.2014.2377694</w:t>
      </w:r>
    </w:p>
    <w:p>
      <w:r>
        <w:t>Shared claim-specific concepts: all, good, benchmark; EU scope not established. This is a provisional connection, not an outcome finding.</w:t>
      </w:r>
    </w:p>
    <w:p>
      <w:r>
        <w:t>Available abstract (not full text): In this paper we report the set-up and results of the Multimodal Brain Tumor Image Segmentation Benchmark (BRATS) organized in conjunction with the MICCAI 2012 and 2013 conferences. Twenty state-of-the-art tumor segmentation algorithms were applied to a set of 65 multi-contrast MR scans of low- and high-grade glioma patients-manually annotated by up to four raters-and to 65 comparable scans generated using tumor image simulation software. Quantitative evaluations revealed considerable disagreement between the human raters in segmenting various tumor sub-regions (Dice scores in the range 74%-85%), illustrating the difficulty of this task. We found that different algorithms worked best for different sub-regions (reaching performance comparable to human inter-rater variability), but that no single algorithm ranked in the top for all sub-regions simultaneously. Fusing several good algorithms using a hierarchical majority vote yielded segmentations that consistently ranked above all individual algorithms, indicating remaining opportunities for further methodological improvements. The BRATS image data and manual annotations continue to be publicly available through an online evaluation system as an ongoing benchmarking resource.</w:t>
      </w:r>
    </w:p>
    <w:p>
      <w:r>
        <w:t>POSSIBLE 2012: Income Inequality in the European Union — https://doi.org/10.1787/5k9bdt47q5zt-en</w:t>
      </w:r>
    </w:p>
    <w:p>
      <w:r>
        <w:t>Shared claim-specific concepts: all, since, appears, reduce, national, large; EU scope visible. This is a provisional connection, not an outcome finding.</w:t>
      </w:r>
    </w:p>
    <w:p>
      <w:r>
        <w:t>Available abstract (not full text): Poor growth performance over the past decades in Europe has increased concerns for rising income dispersion and social exclusion. European authorities have recently launched the Europe 2020 strategy which aims to improve social inclusion in Europe on top of already existing European regional policies aiming to reduce regional disparities through stimulating growth in areas where incomes are relatively low. While it is most common to confine measures of inequality to national borders, the existence of such union-wide objectives and policies motivates measuring income dispersion among all Europeans in this paper. Towards the end of the 2000s the income distribution in Europe was more unequal than in the average OECD country, albeit notably less so than in the United States. It is the within-country, not the between-country dimension, which appears to be most important. Inequality in Europe has risen quite substantially since the mid 1980s. While the EU enlargement process has contributed to this, it is not the only explanation since inequality has also increased within a “core” of 8 European countries. Large income gains among the 10% top earners appear to be a main driver behind this evolution.</w:t>
      </w:r>
    </w:p>
    <w:p>
      <w:r>
        <w:t>POSSIBLE 2012: Management, regulation and environmental impacts of nitrogen fertilization in northwestern Europe under the Nitrates Directive; a benchmark study — https://doi.org/10.5194/bg-9-5143-2012</w:t>
      </w:r>
    </w:p>
    <w:p>
      <w:r>
        <w:t>Shared claim-specific concepts: since, benchmark, national; EU scope visible. This is a provisional connection, not an outcome finding.</w:t>
      </w:r>
    </w:p>
    <w:p>
      <w:r>
        <w:t>Available abstract (not full text): Abstract. Implementation of the Nitrates Directive (NiD) and its environmental impacts were compared for member states in the Northwest of the European Union (Ireland, UK, Denmark, The Netherlands, Belgium, Northern France and Germany). The main sources of data were national reports for the third reporting period for the NiD (2004–2007) and results of the MITERRA-EUROPE model. Implementation of the NiD in the considered member states is fairly comparable regarding restrictions for where and when to apply fertilizer and manure, but very different regarding application limits for N fertilization. Issues of concern and improvement of the implementation of the NiD are accounting for the fertilizer value of nitrogen in manure, and relating application limits for total nitrogen (N) to potential crop yield and N removal. The most significant environmental effect of the implementation of the NiD since 1995 is a major contribution to the decrease of the soil N balance (N surplus), particularly in Belgium, Denmark, Ireland, The Netherlands and the UK. This decrease is accompanied by a modest decrease of nitrate concentrations since 2000 in fresh surface waters in most countries. This decrease is less prominent for groundwater in view of delayed response of nitrate in deep aquifers. In spite of improved fertilization practices, the southeast of The Netherlands, the Flemish Region and Brit</w:t>
      </w:r>
    </w:p>
    <w:p>
      <w:pPr>
        <w:pStyle w:val="Heading2"/>
      </w:pPr>
      <w:r>
        <w:t>Foresight on the future of public research metrology in Europe</w:t>
      </w:r>
    </w:p>
    <w:p>
      <w:r>
        <w:t>Original source (2011): https://doi.org/10.1108/14636681111109660</w:t>
      </w:r>
    </w:p>
    <w:p>
      <w:r>
        <w:t>Original wording (abstract; indexed_source_text_not_full_document_verified): Purpose The aim of this paper is to describe and evaluate the use of a five‐step foresight process and the application of scenario methods to grasp the range of future alternatives that might confront researchers and research managers in European metrology research institutes. Design/methodology/approach The paper illustrates how scenario methods were used to, first, serve as a basis for policy recommendations for the field of European metrology research institutes and, second, help experts and stakeholders to network and actively discuss a shared vision of the future of the field.</w:t>
      </w:r>
    </w:p>
    <w:p>
      <w:r>
        <w:t>POSSIBLE 2024: Characteristics of special purpose acquisition companies as a new challenge in European markets — https://doi.org/10.5937/bizinfo2401089d</w:t>
      </w:r>
    </w:p>
    <w:p>
      <w:r>
        <w:t>Shared claim-specific concepts: purpose, aim, managers; EU scope visible. This is a provisional connection, not an outcome finding.</w:t>
      </w:r>
    </w:p>
    <w:p>
      <w:r>
        <w:t>Available abstract (not full text): Special Purpose Acquisition Company (SPAC) is a special type of public listed company available to investors in financial markets, and was formed with the aim of investing in one or more existing operating companies after raising capital. This paper provides an overview of academic and financial literature on SPACs, describes their characteristics, advantages and risks of using SPAC as a form that does not offer services and does not conduct business operations, but is formed only for the purpose of acquisition of target companies. The paper focuses on the analysis of the impact of these forms of short-term investments on private companies, SPAC managers and investors. The paper further examines whether the impact of SPACs on European financial markets can be expected to grow. Authors’ findings show that, beside limitations for growth of European SPAC number, there is evident interest among European startup companies to go public through SPACs.</w:t>
      </w:r>
    </w:p>
    <w:p>
      <w:r>
        <w:t>POSSIBLE 2023: Bronchiectasis in Europe: data on disease characteristics from the European Bronchiectasis registry (EMBARC) — https://doi.org/10.1016/s2213-2600(23)00093-0</w:t>
      </w:r>
    </w:p>
    <w:p>
      <w:r>
        <w:t>Shared claim-specific concepts: aim, describe, methods, used; EU scope visible. This is a provisional connection, not an outcome finding.</w:t>
      </w:r>
    </w:p>
    <w:p>
      <w:r>
        <w:t>Available abstract (not full text): BACKGROUND: Bronchiectasis is a heterogeneous, neglected disease with few multicentre studies exploring the causes, severity, microbiology, and treatment of the disease across Europe. This aim of this study was to describe the clinical characteristics of bronchiectasis and compare between different European countries. METHODS: EMBARC is an international clinical research network for bronchiectasis. We report on a multicentre, prospective, observational, non-interventional, cohort study (the EMBARC registry) conducted across 27 European countries and Israel. Comprehensive clinical data were collected from adult patients (aged ≥18 years) at baseline and annual follow-up visits using electronic case report form. Data from individual countries were grouped into four regions (the UK, northern and western Europe, southern Europe, and central and eastern Europe according to modified EU EuroVoc classification). Follow-up data were used to explore differences in exacerbation frequency between regions using a negative binomial regression model. FINDINGS: Between Jan 12, 2015, and April 12, 2022, 16 963 individuals were enrolled. Median age was 67 years (IQR 57-74), 10 335 (60·9%) participants were female and 6628 (39·1%) were male. The most common cause of bronchiectasis in all 16 963 participants was post-infective disease in 3600 (21·2%); 6466 individuals (38·1%) were classified as idi</w:t>
      </w:r>
    </w:p>
    <w:p>
      <w:r>
        <w:t>POSSIBLE 2022: Needs of forensic psychiatric patients with schizophrenia in five European countries — https://doi.org/10.1007/s00127-022-02336-5</w:t>
      </w:r>
    </w:p>
    <w:p>
      <w:r>
        <w:t>Shared claim-specific concepts: purpose, five, methods, used; EU scope visible. This is a provisional connection, not an outcome finding.</w:t>
      </w:r>
    </w:p>
    <w:p>
      <w:r>
        <w:t>Available abstract (not full text): AIMS: The purpose was to compare the frequency of needs of patients with schizophrenia in forensic services across five European countries as assessed by both the patients and their care staff. METHODS: Patients with schizophrenia and a history of significant interpersonal violence were recruited from forensic psychiatric services in Austria, Germany, Italy, Poland and England. Participants' needs were assessed using the Camberwell Assessment of Needs-Forensic Version (CANFOR). Multiple linear regression analyses were used to identify predictors of numbers of needs. RESULTS: In this sample, (n = 221) the most commonly reported need according to patients (71.0%) and staff (82.8%) was the management of psychotic symptoms. A need for information was mentioned by about 45% of staff and patients. Staff members reported a significantly higher number of total needs than patients (mean 6.9 vs. 6.2). In contrast, staff members reported a significantly lower number of unmet needs than patients (mean 2.0 vs. 2.5). Numbers of total needs and met needs differed between countries. Unmet needs as reported by patients showed positive associations with the absence of comorbid personality disorder, with higher positive symptom scores and lifetime suicide or self-harm history. Significant predictors of unmet needs according to staff were absence of comorbid personality disorder and higher positiv</w:t>
      </w:r>
    </w:p>
    <w:p>
      <w:r>
        <w:t>POSSIBLE 2021: Differences in hip fracture care in Europe: a systematic review of recent annual reports of hip fracture registries — https://doi.org/10.1007/s00068-021-01797-8</w:t>
      </w:r>
    </w:p>
    <w:p>
      <w:r>
        <w:t>Shared claim-specific concepts: purpose, describe, process, methods; EU scope visible. This is a provisional connection, not an outcome finding.</w:t>
      </w:r>
    </w:p>
    <w:p>
      <w:r>
        <w:t xml:space="preserve">Available abstract (not full text): PURPOSE: Hip fractures are of growing interest due to their increasing number, subsequent functional decline and high institutionalization rate of patients, mortality, and costs. Several process measurements are essential for hip fracture care. To compare and improve these, hip fracture registries in Europe became popular. This systematic review aims to describe the differences between hip fracture registries in Europe as well as the differences in hip fracture treatment between countries. METHODS: A systematic search using the keywords "hip fracture" AND "national" AND "database OR audit OR registry OR register" was performed in PubMed, Embase and Cochrane Library according to PRISMA guidelines till 3rd December 2020. Recent annual reports of identified hip fracture registries in Europe were additionally identified in June 2021. Comparisons of most common case-mix, process and outcome measurements were performed. RESULTS: 11 registries in Europe were identified. Differences were observed regarding inclusion criteria of the different registries. Comparison of the different registries was difficult due to differences in the way to report measurements. While mortality rates differed substantially between countries, most of the process measurements met recommendations according to recent guidelines. CONCLUSION: Hip fracture registries were a valid tool to compare hospitals within </w:t>
      </w:r>
    </w:p>
    <w:p>
      <w:r>
        <w:t>POSSIBLE 2021: General population normative data for the EQ-5D-3L in the five largest European economies — https://doi.org/10.1007/s10198-021-01326-9</w:t>
      </w:r>
    </w:p>
    <w:p>
      <w:r>
        <w:t>Shared claim-specific concepts: aim, five, methods, used; EU scope visible. This is a provisional connection, not an outcome finding.</w:t>
      </w:r>
    </w:p>
    <w:p>
      <w:r>
        <w:t>Available abstract (not full text): AIM: The EQ-5D is a generic measure of health that is widely applied for health economic and non-economic purposes. Population norms can be used to facilitate the interpretation of EQ-5D data. The objective of this study was to develop a set of pooled normative EQ-5D-3L values for the five largest European economies (EUR5). METHODS: EQ-5D-3L index values based on the time trade-off (TTO) were available for all EUR5 countries (n = 21,425): France, Germany, Italy, Spain, and the United Kingdom (UK). Country-specific data sets were aggregated and weighted to facilitate the derivation of norms for gender and age groups. Analyses included equal weighting and weighting by population and economy size. Norms were also calculated using the European visual analog scale-based value set (European VAS), the EQ VAS and separately by dimension. RESULTS: Pooled mean (SD) population weighted TTO values for males/females were 0.967 (0.122)/0.959 (0.118) for ages 18-24; 0.965 (0.096)/0.954 (0.117) for ages 25-34; 0.943 (0.165)/0.936 (0.169) for ages 35-44; 0.934 (0.150)/0.921 (0.157) for ages 45-54; 0.896 (0.188)/0.875 (0.197) for ages 55-64; 0.900 (0.158)/0.839 (0.218) for ages 65-74; and 0.830 (0.234)/0.756 (0.291) for ages 75 and older. Mean values decreased and variance increased with age; females had slightly lower mean values than males across all age bands. The unequal weighting approaches</w:t>
      </w:r>
    </w:p>
    <w:p>
      <w:r>
        <w:t>POSSIBLE 2020: The Humanistic and Economic Burden of Migraine in Europe: A Cross-Sectional Survey in Five Countries — https://doi.org/10.1007/s40120-020-00196-2</w:t>
      </w:r>
    </w:p>
    <w:p>
      <w:r>
        <w:t>Shared claim-specific concepts: aim, five, methods; EU scope visible. This is a provisional connection, not an outcome finding.</w:t>
      </w:r>
    </w:p>
    <w:p>
      <w:r>
        <w:t>Available abstract (not full text): INTRODUCTION: Prior studies have estimated the burden of migraine in patients suffering from ≥ 4 monthly headache days (MHDs), but the burden experienced by migraineurs suffering from one to three (1-3) MHDs is unknown. The aim of this study was to examine the incremental burden of migraine in terms of health-related quality of life (HRQoL), impairments to work and daily activities, and healthcare resource utilization (HRU) in five European countries (France, Germany, Italy, Spain, and the UK (EU5]), by comparing migraineurs with ≥ 4 MHDs and migraineurs with 1-3 MHDs. METHODS: The sample for this retrospective cross-sectional study was collected from the 2017 National Health and Wellness Survey (N = 62,000). The Short-Form 12-Item Health Survey Instrument, version-2 physical and mental component summary (PCS and MCS) scores, Short-Form 6-dimensions (SF-6D), EuroQoL 5-dimensions (EQ-5D) and EuroQoL visual analog scale (VAS) scores, impairments to work productivity and daily activities (Work Productivity and Activity Impairment [WPAI] Questionnaire) scores, and HRU were compared between migraineur groups with ≥ 4 MHDs (4-7, intermediate-frequency episodic migraine; 8-14, high-frequency episodic migraine; ≥ 15 chronic migraine) and the migraineur subgroup with 1-3 MHDs (low-frequency episodic migraine) using generalized linear modeling after adjusting for covariates. RESULTS: Dat</w:t>
      </w:r>
    </w:p>
    <w:p>
      <w:r>
        <w:t>POSSIBLE 2018: European In-Situ Snow Measurements: Practices and Purposes — https://doi.org/10.3390/s18072016</w:t>
      </w:r>
    </w:p>
    <w:p>
      <w:r>
        <w:t>Shared claim-specific concepts: describe, methods, range; EU scope visible. This is a provisional connection, not an outcome finding.</w:t>
      </w:r>
    </w:p>
    <w:p>
      <w:r>
        <w:t>Available abstract (not full text): In-situ snow measurements conducted by European institutions for operational, research, and energy business applications were surveyed in the framework of the European Cooperation in Science and Technology (COST) Action ES1404, called "A European network for a harmonised monitoring of snow for the benefit of climate change scenarios, hydrology, and numerical weather prediction". Here we present the results of this survey, which was answered by 125 participants from 99 operational and research institutions, belonging to 38 European countries. The typologies of environments where the snow measurements are performed range from mountain to low elevated plains, including forests, bogs, tundra, urban areas, glaciers, lake ice, and sea ice. Of the respondents, 93% measure snow macrophysical parameters, such as snow presence, snow depth (HS), snow water equivalent (SWE), and snow density. These describe the bulk characteristics of the whole snowpack or of a snow layer, and they are the primary snow properties that are needed for most operational applications (such as hydrological monitoring, avalanche forecast, and weather forecast). In most cases, these measurements are done with manual methods, although for snow presence, HS, and SWE, automatized methods are also applied by some respondents. Parameters characterizing precipitating and suspended snow (such as the height of new snow, p</w:t>
      </w:r>
    </w:p>
    <w:p>
      <w:r>
        <w:t>POSSIBLE 2018: A longitudinal and comparative analysis of competitive balance in five European football leagues — https://doi.org/10.1108/tpm-09-2017-0055</w:t>
      </w:r>
    </w:p>
    <w:p>
      <w:r>
        <w:t>Shared claim-specific concepts: purpose, five, design, methodology, approach; EU scope visible. This is a provisional connection, not an outcome finding.</w:t>
      </w:r>
    </w:p>
    <w:p>
      <w:r>
        <w:t>Available abstract (not full text): Purpose This paper aims to provide empirical evidence on competitive balance in the “big five” European football leagues, namely, the English Premier League, French Ligue 1, German Bundesliga, Italian Serie A and Spanish La Liga. Design/methodology/approach This paper uses recognised measures of competitive balance to measure levels of concentration (within-season competitive balance) and dominance (between-season competitive balance) in the selected leagues over 22 seasons between 1995/96 and 2016/17. Findings French Ligue 1 emerged as the most balanced league in terms of both concentration and dominance measures. The analysis also points to a statistically significant decline in competitive balance in all leagues apart from Serie A (Italy). Originality/value The findings of this study are of concern for the league organisers. Competition intensity is a key component of a sport league, and a league that is dominated by one or a select few clubs is less attractive within the marketplace. This paper presents challenges at the league governance level for the five leagues examined.</w:t>
      </w:r>
    </w:p>
    <w:p>
      <w:r>
        <w:t>POSSIBLE 2017: The search for an appropriate end-of-life formula for the purpose of the European Commission Environmental Footprint initiative — https://doi.org/10.1007/s11367-016-1244-0</w:t>
      </w:r>
    </w:p>
    <w:p>
      <w:r>
        <w:t>Shared claim-specific concepts: purpose, aim, methods, approach; EU scope visible. This is a provisional connection, not an outcome finding.</w:t>
      </w:r>
    </w:p>
    <w:p>
      <w:r>
        <w:t>Available abstract (not full text): This paper explains in details the rationale behind the choice of the end-of-life allocation approach in the European Commission Product Environmental Footprint (PEF) and Organisational Environmental Footprint (OEF) methods. The end-of-life allocation formula in the PEF/OEF methods aims at enabling the assessment of all end-of-life scenarios possible, including recycling, reuse, incineration (with heat recovery) and disposal for both open- and closed-loop systems in a consistent and reproducible way. It presents how the formula builds on existing standards and how and why it deviates from them. Various end-of-life allocation approaches and formulas, mainly taken not only from/based on existing environmental impact assessment methods and/or standards but also one original linearly degressive approach, were analysed against a predetermined set of criteria, reflecting the overall aim of the PEF/OEF methods. This set of criteria is physical realism, distribution of burdens and benefits in a product cascade system and applicability. Besides the qualitative analysis, the various formulas were implemented for several products and for different scenarios regarding recycled content and recyclability to check the robustness of the outcomes, exemplary expressed for the Global Warming Potential impact category. As reaching physical realism was impossible at both the product and overall pro</w:t>
      </w:r>
    </w:p>
    <w:p>
      <w:r>
        <w:t>POSSIBLE 2017: Regional differences in insulin therapy regimens in five European countries — https://doi.org/10.5414/cp202906</w:t>
      </w:r>
    </w:p>
    <w:p>
      <w:r>
        <w:t>Shared claim-specific concepts: purpose, use, five, methods, used; EU scope visible. This is a provisional connection, not an outcome finding.</w:t>
      </w:r>
    </w:p>
    <w:p>
      <w:r>
        <w:t>Available abstract (not full text): AIMS: The purpose of this study was to investigate differences of insulin therapy regimens in five European countries. METHODS: Proportions of basal bolus therapy (intensified insulin therapy (ICT), basal insulin supported oral therapy (BOT), conventional therapy (CT), and short-acting prandial insulin (SIT) among insulin-treated diabetes patients in Germany (n = 64,055), the UK (n = 6,740), and France (n = 4,779) were estimated using representative general medicine practice databases (Disease Analyzer: 2014). Insulin regimens in Hungary (n = 40,769) and Poland (n = 68,136) were analyzed based on nationwide prescription databases (LRx: 2014). RESULTS: ICT was the most frequent insulin regimen (46 - 81%) in all countries except France (BOT &gt; ICT). SIT showed the lowest use, ranging from 2.5% in the UK to 11.2% in Germany. BOT was more frequently used than CT in Germany and Hungary, which was just the opposite in the UK and Poland. The share of insulin analogs among all prescriptions was higher in Germany, the UK, and France (short-acting insulins: 59 - 98%; basal insulins: 70 - 93%) than in Hungary and Poland (short-acting insulins: 41 - 57%; basal insulins: 23 - 46%) (all p &lt; 0.001). CONCLUSIONS: Despite national and international guidelines, insulin regimens differ substantially between European countries. Our results most likely reflect differences in regulations and reimburs</w:t>
      </w:r>
    </w:p>
    <w:p>
      <w:r>
        <w:t>POSSIBLE 2016: Forestry applications of UAVs in Europe: a review — https://doi.org/10.1080/01431161.2016.1252477</w:t>
      </w:r>
    </w:p>
    <w:p>
      <w:r>
        <w:t>Shared claim-specific concepts: aim, use, used; EU scope visible. This is a provisional connection, not an outcome finding.</w:t>
      </w:r>
    </w:p>
    <w:p>
      <w:r>
        <w:t>Available abstract (not full text): Unmanned aerial vehicles (UAVs) or remotely piloted aircraft systems are new platforms that have been increasingly used over the last decade in Europe to collect data for forest research, thanks to the miniaturization and cost reduction of GPS receivers, inertial navigation system, computers, and, most of all, sensors for remote sensing.In this review, after describing the regulatory framework for the operation of UAVs in the European Union (EU), an overview of applications in forest research is presented, followed by a discussion of the results obtained from the analysis of different case studies.Rotary-wing and fixed-wing UAVs are equally distributed among the case studies, while ready-to-fly solutions are preferred over self-designed and developed UAVs. Most adopted technologies are visible-red, green, and blue, multispectral in visible and near-infrared, middle-infrared, thermal infrared imagery, and lidar.The majority of current UAV-based applications for forest research aim to inventory resources, map diseases, classify species, monitor fire and its effects, quantify spatial gaps, and estimate post-harvest soil displacement.Successful implementation of UAVs in forestry depends on UAV features, such as flexibility of use in flight planning, low cost, reliability and autonomy, and capability of timely provision of high-resolution data.Unfortunately, the fragmented regulatio</w:t>
      </w:r>
    </w:p>
    <w:p>
      <w:r>
        <w:t>POSSIBLE 2016: Moving beyond the “Five Freedoms” by Updating the “Five Provisions” and Introducing Aligned “Animal Welfare Aims” — https://doi.org/10.3390/ani6100059</w:t>
      </w:r>
    </w:p>
    <w:p>
      <w:r>
        <w:t>Shared claim-specific concepts: five, application, range, first; EU scope visible. This is a provisional connection, not an outcome finding.</w:t>
      </w:r>
    </w:p>
    <w:p>
      <w:r>
        <w:t>Available abstract (not full text): Although the Five Freedoms paradigm has been very influential in shaping animal welfare thinking for the last two decades, it has two key disadvantages. First, the focus on "freedom" from a range of negative experiences and states has been misunderstood in a number of quarters to mean that complete freedom from these experiences and states is possible, when in fact the best that can be achieved is for them to be minimised. Second, the major focus of the Freedoms on negative experiences and states is now seen to be a disadvantage in view of current understanding that animal welfare management should also include the promotion of positive experiences and states. The challenge therefore was to formulate a paradigm that overcame these two main problems and yet was straightforward enough to be accessible to non-specialists, including members of the lay public who are interested in animal welfare. This was achieved by highlighting the Five Provisions, originally aligned with the Five Freedoms, but now updated to direct welfare management towards activities that both minimise negative experiences or states and promote positive experiences or states as specified by particular Animal Welfare Aims assigned to each Provision. Aspects of the four welfare principles from the European Welfare Quality assessment system (WQ (®) ) and elements of all domains of the Five Domains Model for animal</w:t>
      </w:r>
    </w:p>
    <w:p>
      <w:pPr>
        <w:pStyle w:val="Heading2"/>
      </w:pPr>
      <w:r>
        <w:t>The Purpose and Pitfalls of Constructivist Forecasting: Insights from Strategic Culture Research for the European Union’s Evolution as a Military Power1</w:t>
      </w:r>
    </w:p>
    <w:p>
      <w:r>
        <w:t>Original source (2011): https://doi.org/10.1111/j.1468-2478.2011.00648.x</w:t>
      </w:r>
    </w:p>
    <w:p>
      <w:r>
        <w:t>Original wording (abstract; indexed_source_text_not_full_document_verified): It argues that insights from strategic culture research are particularly suited to outline trajectories of the likely when combined with the assessment of internal and external drivers of ideational and material change, the examination of discontinuities, and key uncertainties.</w:t>
      </w:r>
    </w:p>
    <w:p>
      <w:r>
        <w:t>POSSIBLE 2026: European strategic antinomy — https://doi.org/10.1016/j.polgeo.2026.103616</w:t>
      </w:r>
    </w:p>
    <w:p>
      <w:r>
        <w:t>Shared claim-specific concepts: strategic, key, uncertainties; EU scope visible. This is a provisional connection, not an outcome finding.</w:t>
      </w:r>
    </w:p>
    <w:p>
      <w:r>
        <w:t>Available abstract (not full text): Over the last decade, “strategic autonomy” has emerged as a key geonarrative in debates on EUrope's relation to the world. Initially focused more narrowly on matters of security and defence, it is now being applied to a much wider set of issues. Confronted with the rise of non-Western powers, uncertainties about the future of transatlantic relations, and a wide-spread sense that one-sided dependencies must be reduced, the concept of strategic autonomy is the lens through which EUrope tries to address a broad array of geopolitical and geoeconomic challenges. Yet, Europe struggles to come to terms with the “geo” in geopolitics and geoeconomic. The article advances the argument that these difficulties are an effect of EUrope's self-description and self-observation in universal terms: Obviously, EUrope recognizes the presence of other players on the international scene. But to the extent that European modernity is seen as universal rather than merely European the organization of political space in terms of difference (e.g. geopolitical or geoeconomic competition) runs into contradictions. EUrope envisions itself both as a province among provinces (competing with China and increasingly also the US) and it retains the ambition to singularly represent the world. In a nutshell, casting itself in universal terms, EUrope struggles to process and acknowledge difference, and faced with dif</w:t>
      </w:r>
    </w:p>
    <w:p>
      <w:r>
        <w:t>POSSIBLE 2026: De-Europeanization or Strategic Recalibration? Irish Neutrality, NATO Partnership, and Contested Security Identity in a Geopolitical Europe — https://doi.org/10.5281/zenodo.18186394</w:t>
      </w:r>
    </w:p>
    <w:p>
      <w:r>
        <w:t>Shared claim-specific concepts: argues, insights, strategic, culture; EU scope visible. This is a provisional connection, not an outcome finding.</w:t>
      </w:r>
    </w:p>
    <w:p>
      <w:r>
        <w:t>Available abstract (not full text): Abstract This paper examines the theoretical dimensions of Irish neutrality within the context of deepening European security integration and expanding NATO partnership arrangements. Drawing upon Europeanization theory and constructivist approaches to security identity formation, the analysis interrogates whether Ireland's evolving security posture represents a fundamental de-Europeanization of its foreign policy orientation or constitutes a strategic recalibration reflecting adaptive responses to geopolitical transformation. The study extends theoretical frameworks concerning small state behavior, normative contestation, and identity politics within security governance structures. By synthesizing insights from Europeanization scholarship, socialization theory, and critical security studies, the paper develops a conceptual framework for understanding how Ireland navigates the tension between historical neutrality commitments and contemporary security interdependence (Tonra, 2007). The analysis demonstrates that Irish security identity remains fundamentally contested, marked by competing narratives of exceptionalism, pragmatic Atlanticism, and selective multilateralism. Rather than representing linear progression toward either full European defense integration or isolation, Irish policy exhibits characteristics of what may be termed "strategic ambiguity"—a deliberate maintenance</w:t>
      </w:r>
    </w:p>
    <w:p>
      <w:r>
        <w:t>POSSIBLE 2026: European manual on strategic culture — https://openalex.org/W7163482322</w:t>
      </w:r>
    </w:p>
    <w:p>
      <w:r>
        <w:t>Shared claim-specific concepts: strategic, culture, particularly; EU scope visible. This is a provisional connection, not an outcome finding.</w:t>
      </w:r>
    </w:p>
    <w:p>
      <w:r>
        <w:t>Available abstract (not full text): Welcome to the manual of strategic culture! We are pleased that you took the time to familiarize yourself with its contents and hope that you’ll see the benefits of this in your daily work. As the authors, we firmly believe that the capacity to identify and assess the characteristics and potential implications of strategic culture on national security behavior constitutes a core professional qualification of contemporary military officers, defense policy experts and decision-makers. Beyond mere awareness of the cultural dimensions of security, the ability to operate effectively within a strategic cultural environment is rapidly becoming an essential component of professional expertise in the field of security and defense policy. Strategic culture is fundamentally something that needs to be experienced, either through engagement in the field, reflection or rigorous analysis. An interest and curiosity toward how strategic views may differ is a good starting point. Conversely, the realization that we tend to think we are special in this regard may guide us out of our strategic cultural “blind spots” and biases. This concise manual is intended to help readers understand and navigate the complex socio-political environment shaped by strategic culture, particularly within European security and defense. It aims to illustrate how strategic culture can affect the ways in which professio</w:t>
      </w:r>
    </w:p>
    <w:p>
      <w:r>
        <w:t>POSSIBLE 2026: European Strategic Culture at a Crossroads — https://doi.org/10.4324/9781032636566</w:t>
      </w:r>
    </w:p>
    <w:p>
      <w:r>
        <w:t>Shared claim-specific concepts: strategic, culture, key; EU scope visible. This is a provisional connection, not an outcome finding.</w:t>
      </w:r>
    </w:p>
    <w:p>
      <w:r>
        <w:t>Available abstract (not full text): This book examines European strategic culture at both national and supranational levels. Focusing on elite perceptions extracted from official discourses, this book empirically analyses how the European Union and its member states perceive the important dimensions and their perceptual changes in the foreign security and defence realm and explores their convergence/divergence. It also discusses the prospects for the emergence of a European strategic culture in the context of the Russia–Ukraine war, concluding that, whilst the war has given a boost to Europe’s thinking and approach with respect to security and defence, which may lead to further integration, there had already been convergence in strategic culture between the member states and between them and the EU, even before the war. This book will be of key interest to scholars and students of European foreign, security, and defence policy, and more broadly, to those of European studies, international relations, security studies, and foreign policy.</w:t>
      </w:r>
    </w:p>
    <w:p>
      <w:r>
        <w:t>POSSIBLE 2026: Mapping the European Negotiation Landscape: Insights from the 2025 European Negotiation Conference — https://doi.org/10.70714/x3jghe28</w:t>
      </w:r>
    </w:p>
    <w:p>
      <w:r>
        <w:t>Shared claim-specific concepts: insights, strategic, internal; EU scope visible. This is a provisional connection, not an outcome finding.</w:t>
      </w:r>
    </w:p>
    <w:p>
      <w:r>
        <w:t>Available abstract (not full text): This paper examines how geopolitical disruption is reshaping the European negotiation landscape. Against the backdrop of Russia’s invasion of Ukraine, pressure on the rules-based international order, and growing political polarisation, it explores how practitioners perceive current changes in Europe and the European Union. The study draws on 19 semi-structured expert interviews conducted at the 2025 European Negotiation Conference with practitioners, researchers, and educators. Using abductive qualitative content analysis, it focuses on two interconnected levels: macro-level geopolitical and normative shifts, and meso-level institutional and organisational dynamics. The findings indicate that the EU’s normative and value-based framework remains a strategic asset in an increasingly transactional and authoritarian environment, supporting its position as a credible long-term partner. Yet this advantage depends on internal consistency: gaps between proclaimed norms and operational outcomes weaken credibility, trust, and bargaining power. The analysis also shows that the EU’s consensus-oriented, multi-level governance architecture generates legitimacy but, under crisis-driven time pressure, often produces delay and incrementalism.</w:t>
      </w:r>
    </w:p>
    <w:p>
      <w:r>
        <w:t>POSSIBLE 2025: DECONSTRUCTING SDG PERFORMANCE FOR STRATEGIC INSIGHT: QUANTITATIVE INSIGHTS FROM TÜRKİYE AND EUROPEAN COUNTRIES — https://doi.org/10.15544/mts.2025.29</w:t>
      </w:r>
    </w:p>
    <w:p>
      <w:r>
        <w:t>Shared claim-specific concepts: insights, strategic, particularly; EU scope visible. This is a provisional connection, not an outcome finding.</w:t>
      </w:r>
    </w:p>
    <w:p>
      <w:r>
        <w:t>Available abstract (not full text): Significant disparities remain in the achievement of Sustainable Development Goals (SDGs) among European Union (EU) member and candidate countries, despite their common commitments. This article aims to address this issue by examining Türkiye's SDG performance through an in-depth, indicator-based comparative analysis with other EU and non-EU European countries. The methods include standardized scoring of indicators on a 1–10 Likert scale, regression analyses, and comparative visualization techniques. The data comprises quantitative SDG indicators from the EUROSTAT database, gathered from April to August 2024, encompassing 79 indicators related to 16 SDGs. Findings reveal that while Türkiye holds the lowest overall rank, it exhibits notably high performance in specific indicators significantly surpassing the European average in certain areas. These strengths highlight substantial potential areas where Türkiye can leverage existing successes to enhance its overall sustainability performance. However, Türkiye also demonstrates critical weaknesses, with the lowest scores in 32 out of 79 indicators, particularly in SDGs such as gender equality, affordable and clean energy, decent work and economic growth, and no poverty. The study’s results provide policymakers with detailed insights into Türkiye's SDG-related strengths and weaknesses, guiding targeted interventions to reinforce and</w:t>
      </w:r>
    </w:p>
    <w:p>
      <w:r>
        <w:t>POSSIBLE 2025: Korea in Strategic Competition: A European Perspective — https://openalex.org/W7119569940</w:t>
      </w:r>
    </w:p>
    <w:p>
      <w:r>
        <w:t>Shared claim-specific concepts: insights, strategic, key; EU scope visible. This is a provisional connection, not an outcome finding.</w:t>
      </w:r>
    </w:p>
    <w:p>
      <w:r>
        <w:t>Available abstract (not full text): CSDS In-Depth Paper, No. 20 1 CSDS In-Depth Papers provide critical reflections on issues that affect European security and Europe's partners.The Papers are dedicated to providing analytical insights on specific diplomatic, strategic and security challenges.The Centre for Security, Diplomacy and Strategy (CSDS) seeks to contribute to a better understanding of the key contemporary security and diplomatic challenges of the 21st century -and their impact on Europewhile reaching out to the policy community that will ultimately need to handle such challenges.Our expertise in security studies will seek to establish comprehensive theoretical and policy coverage of strategic competition and its impact on Europe, whilst paying particular attention to the Transatlantic relationship and the wider Indo-Pacific region.Diplomacy as a field of study will be treated broadly and comparatively to encompass traditional statecraft and foreign policy analysis, as well as public, economic and cultural diplomacy.</w:t>
      </w:r>
    </w:p>
    <w:p>
      <w:r>
        <w:t>POSSIBLE 2025: Scaling Decision‐Support Tools to Promote Soil Health: Insights From Stakeholders in Europe and Turkey — https://doi.org/10.1111/ejss.70113</w:t>
      </w:r>
    </w:p>
    <w:p>
      <w:r>
        <w:t>Shared claim-specific concepts: insights, drivers; EU scope visible. This is a provisional connection, not an outcome finding.</w:t>
      </w:r>
    </w:p>
    <w:p>
      <w:r>
        <w:t>Available abstract (not full text): ABSTRACT Soil health and climate change are increasingly impacting agriculture across Europe. Decision support tools (DSTs) have emerged as essential tools to help make accurate, evidence‐based agricultural decisions aimed at enhancing productivity, profitability, and effective soil health management. Nevertheless, the adoption of these tools remains limited among farmers and varies across different regions. The aim of this study was to investigate, through a participatory approach, the challenges and drivers influencing the uptake and adoption of DSTs for sustainable soil management in Europe and Turkey. Our goal was to engage various stakeholders to identify the challenges and drivers associated with this process and collaboratively develop actionable recommendations to expand the application of DSTs. Multi‐stakeholder workshops were conducted in Italy, Latvia, Sweden and Turkey, bringing together end‐users, farmers, advisors, tool developers, researchers and policymakers from diverse agricultural contexts. The discussions during these workshops addressed the current use of DSTs, barriers to adoption, and potential solutions for scaling their use. The findings revealed that the primary barriers to adoption and scaling included costs, tool viability, data complexity, limited access to technical support, compatibility issues and insufficient marketing. To overcome these barrier</w:t>
      </w:r>
    </w:p>
    <w:p>
      <w:r>
        <w:t>POSSIBLE 2023: Arguing — https://doi.org/10.1093/oso/9780198866053.003.0008</w:t>
      </w:r>
    </w:p>
    <w:p>
      <w:r>
        <w:t>Shared claim-specific concepts: insights, particularly, suited; EU scope visible. This is a provisional connection, not an outcome finding.</w:t>
      </w:r>
    </w:p>
    <w:p>
      <w:r>
        <w:t>Available abstract (not full text): Abstract This chapter discusses three genres concerned with argumentative advocacy of or against certain positions. The dialogue, a genre with deep ancient roots, was by its very nature suitable for the discussion of controversial subjects. The dissertation, an extremely prolific genre in Central and Northern Europe, was originally the basis of a disputatio, an academic exercise in scholarly argumentation; from the eighteenth century, it began to evolve into the proof of a candidate’s scientific capacity which it is today. Dissertations were avidly collected by some because of the novelty of their contents. Innovativeness was also a hallmark of the monograph, the focused treatment of a single, coherent topic, which rose to new prominence in early modern times. Medium-sized, neatly structured, and thoroughly argued, this type of book was particularly well suited to the presentation of new insights and theories.</w:t>
      </w:r>
    </w:p>
    <w:p>
      <w:r>
        <w:t>POSSIBLE 2022: Strategic partnerships and China’s diplomacy in Europe: Insights from Italy — https://doi.org/10.1177/13691481221127571</w:t>
      </w:r>
    </w:p>
    <w:p>
      <w:r>
        <w:t>Shared claim-specific concepts: insights, strategic, ideational; EU scope visible. This is a provisional connection, not an outcome finding.</w:t>
      </w:r>
    </w:p>
    <w:p>
      <w:r>
        <w:t>Available abstract (not full text): As discussions of a ‘new cold war’ between China and the West intensify, it has never been more important to understand how China engages internationally. Crucially, as of 2022, China has established 110 ‘strategic partnerships’, without stipulating any formal treaty of alliance, but we know little about strategic partnerships and how China uses them, despite their centrality as a foreign policy tool. Departing from the assumption of the state as a unitary and monolithic actor in international affairs, this article proposes a new framework of strategic partnerships which incorporates sub-state entities as well as an ideational component, highlighting the image-building purpose that these partnerships serve. Empirically, the analysis focuses on the evolution of the Sino-Italian strategic partnership, drawing on a critical discourse analysis of 1294 news articles published as part of the agreement between the Chinese and Italian news agencies Xinhua and ANSA.</w:t>
      </w:r>
    </w:p>
    <w:p>
      <w:r>
        <w:t>POSSIBLE 2022: Strategic European counterterrorism? An empirical analysis — https://doi.org/10.1080/09662839.2022.2029847</w:t>
      </w:r>
    </w:p>
    <w:p>
      <w:r>
        <w:t>Shared claim-specific concepts: insights, strategic, assessment; EU scope visible. This is a provisional connection, not an outcome finding.</w:t>
      </w:r>
    </w:p>
    <w:p>
      <w:r>
        <w:t>Available abstract (not full text): This paper investigates the extent to which the European Union is strategically engaging against terrorism. It builds on traditional scholarship on strategic thinking and elaborates an analytical framework to empirically assess strategic policy formulation at the supranational level in the case of terrorism. The framework revolves around three analytical categories: i) threat assessment; ii) objectives setting; and iii) policy measures. Through qualitative content analysis of text data, we show that, while objectives are clearly presented in the documents, the threat that the strategy is supposed to counter is unspecified. In addition to that, the formulation of concrete policy measures remains largely vague. Overall, the article adds to the growing academic debate on EU security governance and offers fresh empirical insights on strategic thinking in counterterrorism policy.</w:t>
      </w:r>
    </w:p>
    <w:p>
      <w:r>
        <w:t>POSSIBLE 2021: Demystifying the modernized European data protection regime: Cross‐disciplinary insights from legal and regulatory governance scholarship — https://doi.org/10.1111/rego.12401</w:t>
      </w:r>
    </w:p>
    <w:p>
      <w:r>
        <w:t>Shared claim-specific concepts: insights, key, uncertainties; EU scope visible. This is a provisional connection, not an outcome finding.</w:t>
      </w:r>
    </w:p>
    <w:p>
      <w:r>
        <w:t xml:space="preserve">Available abstract (not full text): Abstract This article critically examines fundamental aspects of the recently reformed European regime for protection of personal data, focusing on the General Data Protection Regulation (GDPR) adopted by the European Union (EU) in 2016. Although the GDPR is now a central concern for many organizations across multiple sectors, many complain that it is arcane, confusing, and complex. By combining knowledge from two disciplinary perspectives – from regulatory governance scholarship, on the one hand, with legal scholarship from the fields of data protection law, constitutional law, and fundamental rights, on the other hand – this article seeks to “demystify” the key elements of the regime's architecture and approach in light of the significant uncertainties concerning the nature of its requirements. In particular, this article examines the tension between the regime's pronounced “risk‐based” approach to compliance and its basic objective of safeguarding fundamental rights, and the challenges facing data protection authorities in providing timely clarifications of the regime's norms. We argue that, despite its complex and arcane character and continuing uncertainty about the precise scope of its requirements, the regime is an innovative hybrid with a significant degree of in‐built “future‐proofing” that should help render it more resistant to being rapidly overtaken or outpaced by </w:t>
      </w:r>
    </w:p>
    <w:p>
      <w:pPr>
        <w:pStyle w:val="Heading2"/>
      </w:pPr>
      <w:r>
        <w:t>Trends and Possible Future Developments in Global Forest-Product Markets—Implications for the Swedish Forest Sector</w:t>
      </w:r>
    </w:p>
    <w:p>
      <w:r>
        <w:t>Original source (2011): https://doi.org/10.3390/f2010147</w:t>
      </w:r>
    </w:p>
    <w:p>
      <w:r>
        <w:t>Original wording (abstract; indexed_source_text_not_full_document_verified): These so-called critical uncertainties were found to be degrees to which: (i) current patterns of globalization will continue, or be replaced by regionalism, and (ii) concern about the environment, particularly climate change, related policy initiatives and customer preferences, will materialize. The overall future of the Swedish solid wood-product industry looks bright, irrespective of which of the four possible futures occurs, provided it accommodates the expected growth in demand for factory-made, energy-efficient construction components.</w:t>
      </w:r>
    </w:p>
    <w:p>
      <w:r>
        <w:t>POSSIBLE 2025: Editorial: Critical perspectives in times of uncertainty — https://doi.org/10.1108/dpm-08-2025-435</w:t>
      </w:r>
    </w:p>
    <w:p>
      <w:r>
        <w:t>Shared claim-specific concepts: critical, environment, climate; EU scope not established. This is a provisional connection, not an outcome finding.</w:t>
      </w:r>
    </w:p>
    <w:p>
      <w:r>
        <w:t>Available abstract (not full text): This special issue centers diverse voices of scholars, practitioners and community leaders and highlights different methods of communicating these critical approaches within the field of disasters, hazards and risks. Many scholars have reminded us that “critical” scholarship and approaches are not necessarily new. This special issue serves as a testament to scholars, activists and practitioners who have sought to employ critical approaches to their work and its continuous development. Just in the past couple of years, the global community has witnessed and experienced the dire effects of climate change, the COVID-19 pandemic, the development of the Ukraine–Russia war, the genocide in Gaza and, most recently, the involvement of the United States in the developing conflict between Iran and Israel. These shifting realities, each with endless and complex possibilities, compel people to respond. Whether these events are labeled a crisis, an emergency, a disaster or a catastrophe, when humanity is threatened, when the constitution of acceptable risk reaches its threshold, people are called to respond. This special issue is dedicated to the recognition that critical perspectives evolve in times of uncertainty.In the face of uncertainty, vulnerable spaces become sites of contestation as people resist and adapt to satisfy their needs in a changing environment. Yet, change itself does no</w:t>
      </w:r>
    </w:p>
    <w:p>
      <w:r>
        <w:t>POSSIBLE 2025: A Critical Review of the 2025 RSHE Guidance and Alternative Approach Framed in Safe Uncertainty — https://doi.org/10.1111/chso.70004</w:t>
      </w:r>
    </w:p>
    <w:p>
      <w:r>
        <w:t>Shared claim-specific concepts: critical, concern; EU scope not established. This is a provisional connection, not an outcome finding.</w:t>
      </w:r>
    </w:p>
    <w:p>
      <w:r>
        <w:t>Available abstract (not full text): ABSTRACT This policy review critically examines the English government's 2025 statutory guidance on Relationships Education, Relationship and Sex Education and Health Education (RSHE), analysing its educational assumptions, strengths and limitations through the lens of safe uncertainty. While the updated guidance somewhat reinstates key inclusive elements and promotes social and emotional literacy, it continues to position RSHE as a risk domain requiring tight control and cautious delivery. This review highlights areas of concern including contradictions in the guidance's treatment of digital image sharing, the approach to gender and the conditional framing of children's rights and participation. Drawing on the concept of safe uncertainty, we advocate a more coherent rights‐based framework, clearer policy direction and sustained investment in teacher support and infrastructure. We call for RSHE policy and practice to move beyond compliance and certainty, and instead build relational, reflective and dialogic spaces where students can engage meaningfully with the ethical and social dimensions of their lives. In doing so, RSHE can fulfil its broader educational promise in preventing harm and supporting the flourishing of students as relational and sexual citizens.</w:t>
      </w:r>
    </w:p>
    <w:p>
      <w:r>
        <w:t>POSSIBLE 2025: A Critical Review of the 2025 RSHE Guidance and Alternative Approach Framed in Safe Uncertainty — https://doi.org/10.1111/chso.13012</w:t>
      </w:r>
    </w:p>
    <w:p>
      <w:r>
        <w:t>Shared claim-specific concepts: critical, concern; EU scope not established. This is a provisional connection, not an outcome finding.</w:t>
      </w:r>
    </w:p>
    <w:p>
      <w:r>
        <w:t>Available abstract (not full text): ABSTRACT This policy review critically examines the English government's 2025 statutory guidance on Relationships Education, Relationship and Sex Education and Health Education (RSHE), analysing its educational assumptions, strengths and limitations through the lens of safe uncertainty. While the updated guidance somewhat reinstates key inclusive elements and promotes social and emotional literacy, it continues to position RSHE as a risk domain requiring tight control and cautious delivery. This review highlights areas of concern including contradictions in the guidance's treatment of digital image sharing, the approach to gender and the conditional framing of children's rights and participation. Drawing on the concept of safe uncertainty, we advocate a more coherent rights‐based framework, clearer policy direction and sustained investment in teacher support and infrastructure. We call for RSHE policy and practice to move beyond compliance and certainty, and instead build relational, reflective and dialogic spaces where students can engage meaningfully with the ethical and social dimensions of their lives. In doing so, RSHE can fulfil its broader educational promise in preventing harm and supporting the flourishing of students as relational and sexual citizens.</w:t>
      </w:r>
    </w:p>
    <w:p>
      <w:r>
        <w:t>POSSIBLE 2024: Lithium: critical, or not so critical? — https://doi.org/10.1144/geoenergy2023-045</w:t>
      </w:r>
    </w:p>
    <w:p>
      <w:r>
        <w:t>Shared claim-specific concepts: critical, current, overall; EU scope not established. This is a provisional connection, not an outcome finding.</w:t>
      </w:r>
    </w:p>
    <w:p>
      <w:r>
        <w:t>Available abstract (not full text): Some metals necessary to deliver renewable energy are considered critical. Metal criticality is a major factor in achieving energy decarbonization, leading to efforts to make metals uncritical . Among the most critical is lithium which, like many critical metals, represents a small-scale market experiencing significant demand increase causing price and supply volatility, thereby hindering necessary transformative investment. Global lithium demand is soaring, with current supply now dominated by pegmatite-sourced lithium hydroxide. Clay extraction has yet to be industrially proven, thus there remains uncertainty from where and in what quantity future lithium supply will come, and whether lithium remains critical, however geoscience research is best focused on pegmatite and clay-sourced lithium to improve discovery and extraction. Of five lithium criticality scenarios (business as usual; clays onstream; everything plus recycling; shift away from lithium; black swan event), only two project a longer-term criticality reduction. However, few metals will be critical over the very long term as techno-economic and environmental, social, and governance challenges can be overcome and/or metal demand will be structurally adjusted by substitution. Although criticality may be a short to medium term barrier to the energy transition, effective research and overall market forces will reduce th</w:t>
      </w:r>
    </w:p>
    <w:p>
      <w:r>
        <w:t>POSSIBLE 2024: Critical Disposition Towards the Uncertainty of Events – Aspirations, Endeavour and Plans of Future Teachers — https://doi.org/10.17951/j.2023.36.4.19-35</w:t>
      </w:r>
    </w:p>
    <w:p>
      <w:r>
        <w:t>Shared claim-specific concepts: so-called, critical; EU scope not established. This is a provisional connection, not an outcome finding.</w:t>
      </w:r>
    </w:p>
    <w:p>
      <w:r>
        <w:t>Available abstract (not full text): Functioning in a situation of change and uncertainty has become an important determinant of contemporary teachers’ condition. The article assumes the essential role of critical dispositions (especially the so-called critical orientation): courage, reflectiveness, rationality, reality, scepticism, progressive engagement, intellectual submissiveness, principle, independence, flexibility and tolerance for ambiguity, mindfulness and openness, and curiosity as mediators in the purchase of critical rationality, as well as in coping with non-obviousness of events. The qualitative analysis of essays’ content for 66 future teachers of preschool and early school education was concentrated on decoding their aspirations and plans within the process of creating the status change and on revealing by narrators their critical dispositions. Adopting a qualitative text analysis strategy allowed for capturing an in-depth, contextual view of the examined problem. Analysis of the content and form of written statements indicate significant negligence of this development area for students, which may be a derivative of macro-social, educational and personal barriers. Within the light of elaborated research material, it seems to be a matter of great importance to promote the value of critical dispositions as well as to create and apply programmes developing them during the process of preparing future t</w:t>
      </w:r>
    </w:p>
    <w:p>
      <w:r>
        <w:t>POSSIBLE 2024: The So-Called Creative PhD — https://doi.org/10.31182/cubic.2024.7.75</w:t>
      </w:r>
    </w:p>
    <w:p>
      <w:r>
        <w:t>Shared claim-specific concepts: so-called, concern, particularly; EU scope not established. This is a provisional connection, not an outcome finding.</w:t>
      </w:r>
    </w:p>
    <w:p>
      <w:r>
        <w:t>Available abstract (not full text): This paper constitutes a short reflection on architectural research and knowledge production in the tertiary education sector, with particular reference to the establishment of a ‘creative’ PhD degree in South Africa. It arises from the growing interest in and pressure for the establishment of a practice-led (architecture) PhD. This interest has emerged predominantly from within performance-based disciplines whose application takes the form of practice-based and professionally produced work. In reflecting on the nature of PhDs and on various ‘alternative’ approaches, I conclude that the conventional PhD implicitly infers creativity and is entirely capable of sponsoring any performance-based PhD enquiry – particularly within practice-based disciplines in which theory and method have been critically identified to support appropriate investigations. Concern is therefore raised regarding the emerging predominance of an author’s self-evaluation of their own ‘creative’ production at the level of a PhD enquiry. On the one hand, knowledge remains largely embedded within the performance/production, and on the other hand, the subjectivity intrinsic to autoethnographic studies is noted for its privileging of the self over the other, and its method often follows what may be termed a self-fulfilling prophesy.</w:t>
      </w:r>
    </w:p>
    <w:p>
      <w:r>
        <w:t>POSSIBLE 2023: A Critical Comment on T.S. Kuhn’s Views about the So-called Copernican Revolution and Several Current Prejudices – Barriers in Scientific Communities — https://doi.org/10.4467/2543702xshs.23.004.17695</w:t>
      </w:r>
    </w:p>
    <w:p>
      <w:r>
        <w:t>Shared claim-specific concepts: so-called, critical, current, about; EU scope not established. This is a provisional connection, not an outcome finding.</w:t>
      </w:r>
    </w:p>
    <w:p>
      <w:r>
        <w:t>Available abstract (not full text): The article is a case study on the views of the famous T.S. Kuhn about the so-called Copernican revolution. Generally, Kuhn is presented as a very successful historian and philosopher of science: an author of world bestsellers. The division among his supporters, i.e. about so-called left-wing and right-wing Kuhnians, is recalled, and the fact that Kuhn himself vehemently dissociated from a large proportion of his adherents. It is also noted here, that in the last 30 years, in addition to abundant hagiographic literature on T. S. Kuhn, there have also been a few critical studies of Kuhn’s achievements. The rest of the article presents the author’s critical analysis of Kuhn’s views on the so-called Copernican Revolution, which formed the basis of Kuhn’s scheme of scientific development presented in The Structure of Scientific Revolutions (1962); i.e. the world’s most famous monograph in social sciences and humanities so far. The criticism encompasses a genesis, content and reception of Kuhn’s views and the development of his interpretations. The analysis is carried out by the means of methodology of historical sciences and a scientific method, which the author describes as the hypothetico-deductive method of correspondence thinking. The criticism is based on the author’s current publications (developed here further on), which were sadly unnoticed by the researchers, although pres</w:t>
      </w:r>
    </w:p>
    <w:p>
      <w:r>
        <w:t>POSSIBLE 2023: Knowledge, Integration and Scope of Deepfakes in Arts Education: The Development of Critical Thinking in Postgraduate Students in Primary Education and Master’s Degree in Secondary Education — https://doi.org/10.3390/educsci13111073</w:t>
      </w:r>
    </w:p>
    <w:p>
      <w:r>
        <w:t>Shared claim-specific concepts: so-called, critical, current; EU scope not established. This is a provisional connection, not an outcome finding.</w:t>
      </w:r>
    </w:p>
    <w:p>
      <w:r>
        <w:t>Available abstract (not full text): If the appearance of digital images does not coincide with what they look like when they are presented as authentic photos or videos, we must reflect on concepts such as mimesis, truth, Artificial Intelligence and impersonation, something that is currently gaining prominence in the education of teachers and university professors. The current study presents the results of a research focused on the scope and knowledge of the so-called ‘deepfake images’ by the university student body of the Visual and Plastic Education subject, in the Graduate Certificate in Primary Education, and the student body of the Activity Design subject, in the master’s degree in Secondary Education—Specialty in Drawing, in the subject of Activity Design, University of Zaragoza. To do so, a quasi-experimental design with qualitative methodology was used, in which of 100 students participated. As a data collection strategy, reports were used, based on semi-structured questions, for the analysis of the development of critical thinking. The achieved results allow us to verify that deepfakes put forward an innovation in the study by university classrooms. The use of these deepfake representations is a novel issue that generates some moral and ethical controversy due to the different uses it can have, where the age of the interpreter is a differentiating factor for the knowledge and the possibilities that these</w:t>
      </w:r>
    </w:p>
    <w:p>
      <w:r>
        <w:t>POSSIBLE 2022: Supplying Critical Materials in a Time of Uncertainty — https://doi.org/10.31410/limen.2022.315</w:t>
      </w:r>
    </w:p>
    <w:p>
      <w:r>
        <w:t>Shared claim-specific concepts: so-called, critical, climate; EU scope not established. This is a provisional connection, not an outcome finding.</w:t>
      </w:r>
    </w:p>
    <w:p>
      <w:r>
        <w:t>Available abstract (not full text): The high demand for energy, food, and raw materials is putting an enormous strain on ecosystems around the planet. Therefore, the indus­trial strategies of many countries rely on the so-called green plan and tran­sition toward climate neutrality. In this sense, the need for new materials greatly exceeds the existing possibilities and capacities. Critical materials are raw materials that have great economic importance and for which there is a probability of shortage. Since the world is facing more and more serious problems, whether it is an economic crisis, a pandemic, or war conflicts, the general character of the present and, one would say, future time, is uncer­tain. Prediction of uncertainty is a task that decision-makers must keep in mind when deciding on the present and the future, not only of economies but of entire ecosystems and populations as a whole. The paper shows how critical materials affect development and growth, and the fulfillment of en­vironmental requirements, using examples from various industries.</w:t>
      </w:r>
    </w:p>
    <w:p>
      <w:r>
        <w:t>POSSIBLE 2022: Truth and uncertainty. A critical discussion of the error concept versus the uncertainty concept — https://doi.org/10.5194/amt-15-1145-2022</w:t>
      </w:r>
    </w:p>
    <w:p>
      <w:r>
        <w:t>Shared claim-specific concepts: critical, uncertainties, found; EU scope not established. This is a provisional connection, not an outcome finding.</w:t>
      </w:r>
    </w:p>
    <w:p>
      <w:r>
        <w:t>Available abstract (not full text): Abstract. Contrary to the claims put forward in “Evaluation of measurement data – Guide to the expression of uncertainty in measurement”, issued by the Joint Committee for Guides in Metrology, the error concept and the uncertainty concept are the same. Arguments in favour of the contrary have been analyzed and were found not compelling. Neither was any evidence presented in this document that “errors” and “uncertainties” define a different relation between the measured and the true value of the variable of interest, nor does this document refer to a Bayesian account of uncertainty beyond the mere endorsement of a degree-of-belief-type conception of probability.</w:t>
      </w:r>
    </w:p>
    <w:p>
      <w:r>
        <w:t>POSSIBLE 2022: Last Call for 1.5 Degrees: — https://doi.org/10.21552/cclr/2022/4/4</w:t>
      </w:r>
    </w:p>
    <w:p>
      <w:r>
        <w:t>Shared claim-specific concepts: degrees, climate; EU scope not established. This is a provisional connection, not an outcome finding.</w:t>
      </w:r>
    </w:p>
    <w:p>
      <w:r>
        <w:t>Available abstract (not full text): The twenty-seventh Conference of the Parties (COP27) to the United Nations Framework Convention on Climate Change (UNFCCC) in Sharm el-Sheikh made history by for the first time ever discussing and ultimately even agreeing to establish a fund to address loss and damage caused by climate change. However, the conference did little to limit the occurrence of loss and damage in the first place by containing the extent of climate change. This article discusses the conference's outcomes in the areas of mitigation and adaptation, loss and damage, the Global Stocktake, cooperation under Article 6 of the Paris Agreement, climate finance, and gender-responsiveness. While modest progress can be observed, it is too slow to actually achieve the objectives of the Paris Agreement. This pace is leading many, not least the most vulnerable countries, to search for parallel arenas of cooperation.</w:t>
      </w:r>
    </w:p>
    <w:p>
      <w:r>
        <w:t>POSSIBLE 2021: Responsible prediction under critical uncertainty: an epistemic analysis of neuroprognostic innovation practices after cardiac arrest — https://doi.org/10.3990/1.9789036552349</w:t>
      </w:r>
    </w:p>
    <w:p>
      <w:r>
        <w:t>Shared claim-specific concepts: critical, uncertainties, preferences; EU scope not established. This is a provisional connection, not an outcome finding.</w:t>
      </w:r>
    </w:p>
    <w:p>
      <w:r>
        <w:t xml:space="preserve">Available abstract (not full text): Preferences for prognostication of coma after cardiac arrest: the Dutch societal perspective on physiological and normative futility "Deciding whether and when to use a new tool can be one of the most difficult challenges in clinical practice."Kenneth W. Goodman -Ethics, Medicine, and Information Technology "The only certainty, whether spoken or not, is that the doctors, nurses, and technicians are fighting not only death, but their own uncertainties as well.In most resuscitations, those uncertainties can be narrowed down to two main questions: Are we doing the right things?and, Should we be doing anything at all?" Sherwin B. Nuland -How We Die … to my mother and the one we lost Unfortunately, a degree of uncertainty always remains in prognosis (Smith et al. 2013) and neuroprognostication after cardiac arrest is especially precarious.Predicting how much damage the brain suffered is very difficult and the implications for the patient' s mental and physical recovery are only really apparent after the patient regains consciousness-if they regain consciousness at all.Better prognostic tools are needed but each tool has its own epistemological and ethical shortcomings.With this research, I sought to identify and analyze these shortcomings so that they can adequately be addressed.This would help ensure responsible innovation of the neuroprognostic practice for patients in coma after </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Research collection · Sources should be checked before publication as findings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VV FUTURES  /  EUROPEAN FORESIGHT OBSERVATORY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