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VV Futures — development findings</w:t>
      </w:r>
    </w:p>
    <w:p>
      <w:r>
        <w:t>Research testing record · 23 October 2026 · These are findings about the scanner, not conclusions about European developments.</w:t>
      </w:r>
    </w:p>
    <w:p>
      <w:pPr>
        <w:pStyle w:val="Heading2"/>
      </w:pPr>
      <w:r>
        <w:t>What has been tested</w:t>
      </w:r>
    </w:p>
    <w:p>
      <w:r>
        <w:t>Short offline checks of text extraction, provisional source selection, claim handover, and match filtering. Green checks demonstrate component behavior only.</w:t>
      </w:r>
    </w:p>
    <w:p>
      <w:pPr>
        <w:pStyle w:val="Heading2"/>
      </w:pPr>
      <w:r>
        <w:t>Observed live scanning</w:t>
      </w:r>
    </w:p>
    <w:p>
      <w:r>
        <w:t>Repeated 10-minute runs and one 25-minute run discovered later publications and attempted real document retrieval. They did not produce verified, evidence-supported developmental interpretations.</w:t>
      </w:r>
    </w:p>
    <w:p>
      <w:pPr>
        <w:pStyle w:val="Heading2"/>
      </w:pPr>
      <w:r>
        <w:t>Specific problems found</w:t>
      </w:r>
    </w:p>
    <w:p>
      <w:r>
        <w:t>Earlier searches relied on generic title fragments. Example failures linked EU aviation fuel research to cereal supply or medical supplies and EU carbon pricing to unrelated computer-science papers.</w:t>
      </w:r>
    </w:p>
    <w:p>
      <w:pPr>
        <w:pStyle w:val="Heading2"/>
      </w:pPr>
      <w:r>
        <w:t>Document access</w:t>
      </w:r>
    </w:p>
    <w:p>
      <w:r>
        <w:t>A reported successful HTTP fetch may be a challenge page or other non-research content. PDF and HTML extraction tests improved reading but do not establish that a whole source was studied.</w:t>
      </w:r>
    </w:p>
    <w:p>
      <w:pPr>
        <w:pStyle w:val="Heading2"/>
      </w:pPr>
      <w:r>
        <w:t>Research method decision</w:t>
      </w:r>
    </w:p>
    <w:p>
      <w:r>
        <w:t>Collect historical claims and possible later source connections automatically; ask an LLM and editor to investigate, evaluate, and compose final accounts later. Store unchecked possibilities separately from reviewed interpretations.</w:t>
      </w:r>
    </w:p>
    <w:p>
      <w:pPr>
        <w:pStyle w:val="Heading2"/>
      </w:pPr>
      <w:r>
        <w:t>New design guardrails</w:t>
      </w:r>
    </w:p>
    <w:p>
      <w:r>
        <w:t>Claims 2011–2022; stable IDs; later sources strictly later than the original; claim-specific subject overlap; geographical ambiguity recorded; no automatic verdicts; permanent cumulative state; two automatic cycles per day.</w:t>
      </w:r>
    </w:p>
    <w:p>
      <w:pPr>
        <w:pStyle w:val="Heading2"/>
      </w:pPr>
      <w:r>
        <w:t>Remaining validation</w:t>
      </w:r>
    </w:p>
    <w:p>
      <w:r>
        <w:t>The new twice-daily scheduled scanner has not yet completed a live run in GitHub. Keyword-based matching may still admit irrelevant sources or miss synonymic matches. First live output requires editorial sampling.</w:t>
      </w:r>
    </w:p>
    <w:p>
      <w:pPr>
        <w:pStyle w:val="Heading1"/>
      </w:pPr>
      <w:r>
        <w:t>Knowledge integration — 26 October 2026</w:t>
      </w:r>
    </w:p>
    <w:p>
      <w:r>
        <w:t>Two external LLM research batches investigated twelve European futures studies and returned original-source checks, 32 later-evidence items, connection explanations, alternative readings, source links and unresolved issues. These are research accounts, not binary foresight accuracy scores.</w:t>
      </w:r>
    </w:p>
    <w:p>
      <w:r>
        <w:t>Research publication approach: retain the original study and its conditions; distinguish policy announcements from implementation, model output from observation, association from direct influence, and unlike geographic or statistical denominators; provide the dates and URLs of later evidence. Reviewed research can identify well-supported relationships despite open questions. Case-level source-access limits and numeric inconsistencies are disclosed, not silently discarded.</w:t>
      </w:r>
    </w:p>
    <w:p>
      <w:r>
        <w:t>Regeneration: scripts/present_outputs.py reads radar2-research-notes.json to add source-context notes to the historical catalogue, document the researched accounts in Reviewed Findings, and preserve research evidence and syntheses in the published workbook. Further source checks can correct or revise those accounts as understanding develops.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